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98B" w:rsidRPr="00315F60" w:rsidRDefault="00D01C60" w:rsidP="00B078F7">
      <w:pPr>
        <w:spacing w:before="1800"/>
        <w:rPr>
          <w:b/>
          <w:sz w:val="24"/>
        </w:rPr>
      </w:pPr>
      <w:r w:rsidRPr="00315F60">
        <w:rPr>
          <w:b/>
          <w:sz w:val="24"/>
        </w:rPr>
        <w:t>Final</w:t>
      </w:r>
      <w:r w:rsidR="00F631EF" w:rsidRPr="00315F60">
        <w:rPr>
          <w:b/>
          <w:sz w:val="24"/>
        </w:rPr>
        <w:t xml:space="preserve"> Report</w:t>
      </w:r>
      <w:bookmarkStart w:id="0" w:name="_GoBack"/>
      <w:bookmarkEnd w:id="0"/>
    </w:p>
    <w:p w:rsidR="0000798B" w:rsidRPr="00315F60" w:rsidRDefault="009A4E2A" w:rsidP="0000798B">
      <w:pPr>
        <w:pStyle w:val="Covertitle216ptB"/>
        <w:rPr>
          <w:rFonts w:ascii="KPMG Extralight" w:hAnsi="KPMG Extralight"/>
          <w:b w:val="0"/>
          <w:color w:val="auto"/>
          <w:sz w:val="120"/>
          <w:szCs w:val="120"/>
        </w:rPr>
      </w:pPr>
      <w:r w:rsidRPr="00315F60">
        <w:rPr>
          <w:rFonts w:ascii="KPMG Extralight" w:hAnsi="KPMG Extralight"/>
          <w:b w:val="0"/>
          <w:color w:val="auto"/>
          <w:sz w:val="120"/>
          <w:szCs w:val="120"/>
        </w:rPr>
        <w:t xml:space="preserve">Prevalence </w:t>
      </w:r>
      <w:r w:rsidR="00F24C36" w:rsidRPr="00315F60">
        <w:rPr>
          <w:rFonts w:ascii="KPMG Extralight" w:hAnsi="KPMG Extralight"/>
          <w:b w:val="0"/>
          <w:color w:val="auto"/>
          <w:sz w:val="120"/>
          <w:szCs w:val="120"/>
        </w:rPr>
        <w:t>Study</w:t>
      </w:r>
      <w:r w:rsidRPr="00315F60">
        <w:rPr>
          <w:rFonts w:ascii="KPMG Extralight" w:hAnsi="KPMG Extralight"/>
          <w:b w:val="0"/>
          <w:color w:val="auto"/>
          <w:sz w:val="120"/>
          <w:szCs w:val="120"/>
        </w:rPr>
        <w:t xml:space="preserve"> for a Serious Incident Response Scheme</w:t>
      </w:r>
      <w:r w:rsidR="00F24C36" w:rsidRPr="00315F60">
        <w:rPr>
          <w:rFonts w:ascii="KPMG Extralight" w:hAnsi="KPMG Extralight"/>
          <w:b w:val="0"/>
          <w:color w:val="auto"/>
          <w:sz w:val="120"/>
          <w:szCs w:val="120"/>
        </w:rPr>
        <w:t xml:space="preserve"> (SIRS)</w:t>
      </w:r>
    </w:p>
    <w:p w:rsidR="009633A2" w:rsidRPr="00315F60" w:rsidRDefault="00C90917" w:rsidP="001B41A0">
      <w:pPr>
        <w:pStyle w:val="Covertitle412pt"/>
        <w:rPr>
          <w:b/>
          <w:color w:val="auto"/>
        </w:rPr>
      </w:pPr>
      <w:r w:rsidRPr="00315F60">
        <w:rPr>
          <w:b/>
          <w:color w:val="auto"/>
        </w:rPr>
        <w:t xml:space="preserve">November </w:t>
      </w:r>
      <w:r w:rsidR="0000798B" w:rsidRPr="00315F60">
        <w:rPr>
          <w:b/>
          <w:color w:val="auto"/>
        </w:rPr>
        <w:t>2019</w:t>
      </w:r>
    </w:p>
    <w:p w:rsidR="00943D20" w:rsidRPr="00315F60" w:rsidRDefault="00943D20" w:rsidP="009633A2"/>
    <w:p w:rsidR="009633A2" w:rsidRPr="00315F60" w:rsidRDefault="009633A2" w:rsidP="009633A2">
      <w:pPr>
        <w:sectPr w:rsidR="009633A2" w:rsidRPr="00315F60" w:rsidSect="001B41A0">
          <w:headerReference w:type="even" r:id="rId12"/>
          <w:headerReference w:type="first" r:id="rId13"/>
          <w:pgSz w:w="11906" w:h="16838"/>
          <w:pgMar w:top="2665" w:right="1418" w:bottom="1418" w:left="1899" w:header="709" w:footer="709" w:gutter="0"/>
          <w:cols w:space="708"/>
          <w:docGrid w:linePitch="360"/>
        </w:sectPr>
      </w:pPr>
    </w:p>
    <w:p w:rsidR="00220563" w:rsidRPr="00315F60" w:rsidRDefault="00220563" w:rsidP="00220563">
      <w:pPr>
        <w:pStyle w:val="BodyText"/>
        <w:pBdr>
          <w:top w:val="single" w:sz="4" w:space="1" w:color="auto"/>
          <w:left w:val="single" w:sz="4" w:space="4" w:color="auto"/>
          <w:bottom w:val="single" w:sz="4" w:space="1" w:color="auto"/>
          <w:right w:val="single" w:sz="4" w:space="4" w:color="auto"/>
        </w:pBdr>
        <w:rPr>
          <w:b/>
        </w:rPr>
      </w:pPr>
      <w:r w:rsidRPr="00315F60">
        <w:rPr>
          <w:b/>
        </w:rPr>
        <w:lastRenderedPageBreak/>
        <w:t>Disclaimer</w:t>
      </w:r>
    </w:p>
    <w:p w:rsidR="00220563" w:rsidRPr="00315F60" w:rsidRDefault="00220563" w:rsidP="00220563">
      <w:pPr>
        <w:pBdr>
          <w:top w:val="single" w:sz="4" w:space="1" w:color="auto"/>
          <w:left w:val="single" w:sz="4" w:space="4" w:color="auto"/>
          <w:bottom w:val="single" w:sz="4" w:space="1" w:color="auto"/>
          <w:right w:val="single" w:sz="4" w:space="4" w:color="auto"/>
        </w:pBdr>
        <w:rPr>
          <w:b/>
          <w:bCs/>
        </w:rPr>
      </w:pPr>
      <w:r w:rsidRPr="00315F60">
        <w:rPr>
          <w:b/>
          <w:bCs/>
        </w:rPr>
        <w:t>Inherent Limitations</w:t>
      </w:r>
    </w:p>
    <w:p w:rsidR="00220563" w:rsidRPr="00315F60" w:rsidRDefault="00220563" w:rsidP="00220563">
      <w:pPr>
        <w:pBdr>
          <w:top w:val="single" w:sz="4" w:space="1" w:color="auto"/>
          <w:left w:val="single" w:sz="4" w:space="4" w:color="auto"/>
          <w:bottom w:val="single" w:sz="4" w:space="1" w:color="auto"/>
          <w:right w:val="single" w:sz="4" w:space="4" w:color="auto"/>
        </w:pBdr>
      </w:pPr>
      <w:r w:rsidRPr="00315F60">
        <w:t xml:space="preserve">This </w:t>
      </w:r>
      <w:r w:rsidR="00F631EF" w:rsidRPr="00315F60">
        <w:t>report</w:t>
      </w:r>
      <w:r w:rsidR="0014682B" w:rsidRPr="00315F60">
        <w:t xml:space="preserve"> </w:t>
      </w:r>
      <w:r w:rsidRPr="00315F60">
        <w:t xml:space="preserve">has been prepared as outlined in the </w:t>
      </w:r>
      <w:r w:rsidR="00955BCF" w:rsidRPr="00315F60">
        <w:t>purpose and scope section of this document</w:t>
      </w:r>
      <w:r w:rsidR="009C0723" w:rsidRPr="00315F60">
        <w:t xml:space="preserve">. </w:t>
      </w:r>
      <w:r w:rsidRPr="00315F60">
        <w:t xml:space="preserve">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rsidR="00220563" w:rsidRPr="00315F60" w:rsidRDefault="00220563" w:rsidP="00220563">
      <w:pPr>
        <w:pBdr>
          <w:top w:val="single" w:sz="4" w:space="1" w:color="auto"/>
          <w:left w:val="single" w:sz="4" w:space="4" w:color="auto"/>
          <w:bottom w:val="single" w:sz="4" w:space="1" w:color="auto"/>
          <w:right w:val="single" w:sz="4" w:space="4" w:color="auto"/>
        </w:pBdr>
      </w:pPr>
      <w:r w:rsidRPr="00315F60">
        <w:t>No warranty of completeness, accuracy or reliability is given in relation to the statements and representations made by, and the information and documentation provided by</w:t>
      </w:r>
      <w:r w:rsidR="0014682B" w:rsidRPr="00315F60">
        <w:t xml:space="preserve"> </w:t>
      </w:r>
      <w:r w:rsidRPr="00315F60">
        <w:t>stakeholders consulted as part of the process.</w:t>
      </w:r>
    </w:p>
    <w:p w:rsidR="00220563" w:rsidRPr="00315F60" w:rsidRDefault="00220563" w:rsidP="00220563">
      <w:pPr>
        <w:pBdr>
          <w:top w:val="single" w:sz="4" w:space="1" w:color="auto"/>
          <w:left w:val="single" w:sz="4" w:space="4" w:color="auto"/>
          <w:bottom w:val="single" w:sz="4" w:space="1" w:color="auto"/>
          <w:right w:val="single" w:sz="4" w:space="4" w:color="auto"/>
        </w:pBdr>
      </w:pPr>
      <w:r w:rsidRPr="00315F60">
        <w:t xml:space="preserve">KPMG have indicated within this </w:t>
      </w:r>
      <w:r w:rsidR="0014682B" w:rsidRPr="00315F60">
        <w:t>document</w:t>
      </w:r>
      <w:r w:rsidRPr="00315F60">
        <w:t xml:space="preserve"> the sources of the information provided</w:t>
      </w:r>
      <w:r w:rsidR="009C0723" w:rsidRPr="00315F60">
        <w:t xml:space="preserve">. </w:t>
      </w:r>
      <w:r w:rsidRPr="00315F60">
        <w:t>We have not sought to independently verify those sources unless otherwise noted within the report.</w:t>
      </w:r>
    </w:p>
    <w:p w:rsidR="00220563" w:rsidRPr="00315F60" w:rsidRDefault="00220563" w:rsidP="00220563">
      <w:pPr>
        <w:pBdr>
          <w:top w:val="single" w:sz="4" w:space="1" w:color="auto"/>
          <w:left w:val="single" w:sz="4" w:space="4" w:color="auto"/>
          <w:bottom w:val="single" w:sz="4" w:space="1" w:color="auto"/>
          <w:right w:val="single" w:sz="4" w:space="4" w:color="auto"/>
        </w:pBdr>
      </w:pPr>
      <w:r w:rsidRPr="00315F60">
        <w:t xml:space="preserve">KPMG is under no obligation in any circumstance to update this </w:t>
      </w:r>
      <w:r w:rsidR="0014682B" w:rsidRPr="00315F60">
        <w:t>document</w:t>
      </w:r>
      <w:r w:rsidRPr="00315F60">
        <w:t>, in either oral or written form, for events occurring after the report has been issued in final form.</w:t>
      </w:r>
    </w:p>
    <w:p w:rsidR="00220563" w:rsidRPr="00315F60" w:rsidRDefault="00220563" w:rsidP="00220563">
      <w:pPr>
        <w:pBdr>
          <w:top w:val="single" w:sz="4" w:space="1" w:color="auto"/>
          <w:left w:val="single" w:sz="4" w:space="4" w:color="auto"/>
          <w:bottom w:val="single" w:sz="4" w:space="1" w:color="auto"/>
          <w:right w:val="single" w:sz="4" w:space="4" w:color="auto"/>
        </w:pBdr>
      </w:pPr>
      <w:r w:rsidRPr="00315F60">
        <w:t xml:space="preserve">The findings in this </w:t>
      </w:r>
      <w:r w:rsidR="0014682B" w:rsidRPr="00315F60">
        <w:t xml:space="preserve">document </w:t>
      </w:r>
      <w:r w:rsidRPr="00315F60">
        <w:t>have been formed on the above basis.</w:t>
      </w:r>
    </w:p>
    <w:p w:rsidR="00220563" w:rsidRPr="00315F60" w:rsidRDefault="00220563" w:rsidP="00220563">
      <w:pPr>
        <w:pBdr>
          <w:top w:val="single" w:sz="4" w:space="1" w:color="auto"/>
          <w:left w:val="single" w:sz="4" w:space="4" w:color="auto"/>
          <w:bottom w:val="single" w:sz="4" w:space="1" w:color="auto"/>
          <w:right w:val="single" w:sz="4" w:space="4" w:color="auto"/>
        </w:pBdr>
        <w:rPr>
          <w:b/>
          <w:bCs/>
        </w:rPr>
      </w:pPr>
      <w:r w:rsidRPr="00315F60">
        <w:rPr>
          <w:b/>
          <w:bCs/>
        </w:rPr>
        <w:t>Third Party Reliance</w:t>
      </w:r>
    </w:p>
    <w:p w:rsidR="00220563" w:rsidRPr="00315F60" w:rsidRDefault="00220563" w:rsidP="00220563">
      <w:pPr>
        <w:pBdr>
          <w:top w:val="single" w:sz="4" w:space="1" w:color="auto"/>
          <w:left w:val="single" w:sz="4" w:space="4" w:color="auto"/>
          <w:bottom w:val="single" w:sz="4" w:space="1" w:color="auto"/>
          <w:right w:val="single" w:sz="4" w:space="4" w:color="auto"/>
        </w:pBdr>
      </w:pPr>
      <w:r w:rsidRPr="00315F60">
        <w:t xml:space="preserve">This </w:t>
      </w:r>
      <w:r w:rsidR="00F631EF" w:rsidRPr="00315F60">
        <w:t>Report</w:t>
      </w:r>
      <w:r w:rsidR="0014682B" w:rsidRPr="00315F60">
        <w:t xml:space="preserve"> </w:t>
      </w:r>
      <w:r w:rsidRPr="00315F60">
        <w:t xml:space="preserve">is solely for the purpose set out in the </w:t>
      </w:r>
      <w:r w:rsidR="00955BCF" w:rsidRPr="00315F60">
        <w:t>purpose and scope</w:t>
      </w:r>
      <w:r w:rsidRPr="00315F60">
        <w:t xml:space="preserve"> section and for </w:t>
      </w:r>
      <w:r w:rsidR="00955BCF" w:rsidRPr="00315F60">
        <w:t xml:space="preserve">the Department of </w:t>
      </w:r>
      <w:r w:rsidR="006F53DE" w:rsidRPr="00315F60">
        <w:t>Health</w:t>
      </w:r>
      <w:r w:rsidR="00955BCF" w:rsidRPr="00315F60">
        <w:t>’s</w:t>
      </w:r>
      <w:r w:rsidRPr="00315F60">
        <w:t xml:space="preserve"> information, and is not to be used for any other purpose or distributed to any other party without KPMG’s prior written consent.</w:t>
      </w:r>
    </w:p>
    <w:p w:rsidR="00220563" w:rsidRPr="00315F60" w:rsidRDefault="00955BCF" w:rsidP="00220563">
      <w:pPr>
        <w:pBdr>
          <w:top w:val="single" w:sz="4" w:space="1" w:color="auto"/>
          <w:left w:val="single" w:sz="4" w:space="4" w:color="auto"/>
          <w:bottom w:val="single" w:sz="4" w:space="1" w:color="auto"/>
          <w:right w:val="single" w:sz="4" w:space="4" w:color="auto"/>
        </w:pBdr>
      </w:pPr>
      <w:r w:rsidRPr="00315F60">
        <w:t xml:space="preserve">This </w:t>
      </w:r>
      <w:r w:rsidR="00F631EF" w:rsidRPr="00315F60">
        <w:t>Report</w:t>
      </w:r>
      <w:r w:rsidR="00220563" w:rsidRPr="00315F60">
        <w:t xml:space="preserve"> has been prepared at the request of </w:t>
      </w:r>
      <w:r w:rsidR="006F53DE" w:rsidRPr="00315F60">
        <w:t>the Department of</w:t>
      </w:r>
      <w:r w:rsidR="00C81BC6" w:rsidRPr="00315F60">
        <w:t xml:space="preserve"> Health </w:t>
      </w:r>
      <w:r w:rsidR="00220563" w:rsidRPr="00315F60">
        <w:t xml:space="preserve">in accordance with the terms of KPMG’s contract dated </w:t>
      </w:r>
      <w:r w:rsidR="006F53DE" w:rsidRPr="00315F60">
        <w:t>31 July</w:t>
      </w:r>
      <w:r w:rsidR="00C9536F" w:rsidRPr="00315F60">
        <w:t xml:space="preserve"> 2019</w:t>
      </w:r>
      <w:r w:rsidR="00220563" w:rsidRPr="00315F60">
        <w:t xml:space="preserve">. Other than our responsibility to </w:t>
      </w:r>
      <w:r w:rsidR="006F53DE" w:rsidRPr="00315F60">
        <w:t>the Department of Health</w:t>
      </w:r>
      <w:r w:rsidRPr="00315F60">
        <w:t>,</w:t>
      </w:r>
      <w:r w:rsidR="00220563" w:rsidRPr="00315F60">
        <w:t xml:space="preserve"> neither KPMG nor any member or employee of KPMG undertakes responsibility arising in any way from reliance placed b</w:t>
      </w:r>
      <w:r w:rsidR="009C0723" w:rsidRPr="00315F60">
        <w:t>y a third party on this report.</w:t>
      </w:r>
      <w:r w:rsidR="00220563" w:rsidRPr="00315F60">
        <w:t xml:space="preserve"> Any reliance placed is that party’s sole responsibility.</w:t>
      </w:r>
    </w:p>
    <w:p w:rsidR="000A0672" w:rsidRPr="00315F60" w:rsidRDefault="000A0672" w:rsidP="00220563">
      <w:pPr>
        <w:pBdr>
          <w:top w:val="single" w:sz="4" w:space="1" w:color="auto"/>
          <w:left w:val="single" w:sz="4" w:space="4" w:color="auto"/>
          <w:bottom w:val="single" w:sz="4" w:space="1" w:color="auto"/>
          <w:right w:val="single" w:sz="4" w:space="4" w:color="auto"/>
        </w:pBdr>
        <w:rPr>
          <w:b/>
        </w:rPr>
      </w:pPr>
      <w:r w:rsidRPr="00315F60">
        <w:rPr>
          <w:b/>
        </w:rPr>
        <w:t>Accessibility</w:t>
      </w:r>
    </w:p>
    <w:p w:rsidR="000A0672" w:rsidRPr="00315F60" w:rsidRDefault="000A0672" w:rsidP="00220563">
      <w:pPr>
        <w:pBdr>
          <w:top w:val="single" w:sz="4" w:space="1" w:color="auto"/>
          <w:left w:val="single" w:sz="4" w:space="4" w:color="auto"/>
          <w:bottom w:val="single" w:sz="4" w:space="1" w:color="auto"/>
          <w:right w:val="single" w:sz="4" w:space="4" w:color="auto"/>
        </w:pBdr>
      </w:pPr>
      <w:r w:rsidRPr="00315F60">
        <w:rPr>
          <w:iCs/>
        </w:rPr>
        <w:t>To comply with the Commonwealth Government’s accessibility requirements for publishing on the internet, two versions of this Report are available: a KPMG-branded PDF version and an unbranded Microsoft Word version. The KPMG-branded PDF version of this Report remains the definitive version of this Report.</w:t>
      </w:r>
    </w:p>
    <w:p w:rsidR="00220563" w:rsidRPr="00315F60" w:rsidRDefault="00220563" w:rsidP="00D65A2D">
      <w:pPr>
        <w:pStyle w:val="BodyText"/>
      </w:pPr>
    </w:p>
    <w:p w:rsidR="00D65A2D" w:rsidRPr="00315F60" w:rsidRDefault="00D65A2D" w:rsidP="00D65A2D">
      <w:pPr>
        <w:pStyle w:val="BodyText"/>
      </w:pPr>
    </w:p>
    <w:p w:rsidR="00D65A2D" w:rsidRPr="00315F60" w:rsidRDefault="00D65A2D" w:rsidP="00D65A2D">
      <w:pPr>
        <w:pStyle w:val="BodyText"/>
        <w:sectPr w:rsidR="00D65A2D" w:rsidRPr="00315F60" w:rsidSect="0062660C">
          <w:headerReference w:type="even" r:id="rId14"/>
          <w:headerReference w:type="default" r:id="rId15"/>
          <w:footerReference w:type="default" r:id="rId16"/>
          <w:headerReference w:type="first" r:id="rId17"/>
          <w:pgSz w:w="11906" w:h="16838"/>
          <w:pgMar w:top="2423" w:right="1418" w:bottom="1418" w:left="1418" w:header="709" w:footer="454" w:gutter="0"/>
          <w:pgNumType w:fmt="lowerRoman" w:start="1"/>
          <w:cols w:space="708"/>
          <w:docGrid w:linePitch="360"/>
        </w:sectPr>
      </w:pPr>
    </w:p>
    <w:p w:rsidR="009633A2" w:rsidRPr="00315F60" w:rsidRDefault="007634C5" w:rsidP="0062660C">
      <w:pPr>
        <w:pStyle w:val="BodyText"/>
        <w:rPr>
          <w:rFonts w:ascii="KPMG Light" w:hAnsi="KPMG Light"/>
          <w:sz w:val="80"/>
          <w:szCs w:val="80"/>
        </w:rPr>
      </w:pPr>
      <w:r w:rsidRPr="00315F60">
        <w:rPr>
          <w:rFonts w:ascii="KPMG Light" w:hAnsi="KPMG Light"/>
          <w:sz w:val="80"/>
          <w:szCs w:val="80"/>
        </w:rPr>
        <w:lastRenderedPageBreak/>
        <w:t>Contents</w:t>
      </w:r>
    </w:p>
    <w:p w:rsidR="003E201D" w:rsidRPr="00315F60" w:rsidRDefault="003E201D">
      <w:pPr>
        <w:pStyle w:val="TOC1"/>
      </w:pPr>
    </w:p>
    <w:p w:rsidR="00797A64" w:rsidRPr="00315F60" w:rsidRDefault="003E201D">
      <w:pPr>
        <w:pStyle w:val="TOC1"/>
        <w:rPr>
          <w:rFonts w:asciiTheme="minorHAnsi" w:eastAsiaTheme="minorEastAsia" w:hAnsiTheme="minorHAnsi"/>
          <w:lang w:eastAsia="en-AU"/>
        </w:rPr>
      </w:pPr>
      <w:r w:rsidRPr="00315F60">
        <w:fldChar w:fldCharType="begin"/>
      </w:r>
      <w:r w:rsidRPr="00315F60">
        <w:instrText xml:space="preserve"> TOC \o "1-2" \h \z \u </w:instrText>
      </w:r>
      <w:r w:rsidRPr="00315F60">
        <w:fldChar w:fldCharType="separate"/>
      </w:r>
      <w:hyperlink w:anchor="_Toc26979122" w:history="1">
        <w:r w:rsidR="00797A64" w:rsidRPr="00315F60">
          <w:rPr>
            <w:rStyle w:val="Hyperlink"/>
          </w:rPr>
          <w:t>Glossary</w:t>
        </w:r>
        <w:r w:rsidR="00797A64" w:rsidRPr="00315F60">
          <w:rPr>
            <w:webHidden/>
          </w:rPr>
          <w:tab/>
        </w:r>
        <w:r w:rsidR="00797A64" w:rsidRPr="00315F60">
          <w:rPr>
            <w:webHidden/>
          </w:rPr>
          <w:fldChar w:fldCharType="begin"/>
        </w:r>
        <w:r w:rsidR="00797A64" w:rsidRPr="00315F60">
          <w:rPr>
            <w:webHidden/>
          </w:rPr>
          <w:instrText xml:space="preserve"> PAGEREF _Toc26979122 \h </w:instrText>
        </w:r>
        <w:r w:rsidR="00797A64" w:rsidRPr="00315F60">
          <w:rPr>
            <w:webHidden/>
          </w:rPr>
        </w:r>
        <w:r w:rsidR="00797A64" w:rsidRPr="00315F60">
          <w:rPr>
            <w:webHidden/>
          </w:rPr>
          <w:fldChar w:fldCharType="separate"/>
        </w:r>
        <w:r w:rsidR="00797A64" w:rsidRPr="00315F60">
          <w:rPr>
            <w:webHidden/>
          </w:rPr>
          <w:t>1</w:t>
        </w:r>
        <w:r w:rsidR="00797A64" w:rsidRPr="00315F60">
          <w:rPr>
            <w:webHidden/>
          </w:rPr>
          <w:fldChar w:fldCharType="end"/>
        </w:r>
      </w:hyperlink>
    </w:p>
    <w:p w:rsidR="00797A64" w:rsidRPr="00315F60" w:rsidRDefault="00913F96">
      <w:pPr>
        <w:pStyle w:val="TOC1"/>
        <w:rPr>
          <w:rFonts w:asciiTheme="minorHAnsi" w:eastAsiaTheme="minorEastAsia" w:hAnsiTheme="minorHAnsi"/>
          <w:lang w:eastAsia="en-AU"/>
        </w:rPr>
      </w:pPr>
      <w:hyperlink w:anchor="_Toc26979123" w:history="1">
        <w:r w:rsidR="00797A64" w:rsidRPr="00315F60">
          <w:rPr>
            <w:rStyle w:val="Hyperlink"/>
          </w:rPr>
          <w:t>Executive Summary</w:t>
        </w:r>
        <w:r w:rsidR="00797A64" w:rsidRPr="00315F60">
          <w:rPr>
            <w:webHidden/>
          </w:rPr>
          <w:tab/>
        </w:r>
        <w:r w:rsidR="00797A64" w:rsidRPr="00315F60">
          <w:rPr>
            <w:webHidden/>
          </w:rPr>
          <w:fldChar w:fldCharType="begin"/>
        </w:r>
        <w:r w:rsidR="00797A64" w:rsidRPr="00315F60">
          <w:rPr>
            <w:webHidden/>
          </w:rPr>
          <w:instrText xml:space="preserve"> PAGEREF _Toc26979123 \h </w:instrText>
        </w:r>
        <w:r w:rsidR="00797A64" w:rsidRPr="00315F60">
          <w:rPr>
            <w:webHidden/>
          </w:rPr>
        </w:r>
        <w:r w:rsidR="00797A64" w:rsidRPr="00315F60">
          <w:rPr>
            <w:webHidden/>
          </w:rPr>
          <w:fldChar w:fldCharType="separate"/>
        </w:r>
        <w:r w:rsidR="00797A64" w:rsidRPr="00315F60">
          <w:rPr>
            <w:webHidden/>
          </w:rPr>
          <w:t>2</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24" w:history="1">
        <w:r w:rsidR="00797A64" w:rsidRPr="00315F60">
          <w:rPr>
            <w:rStyle w:val="Hyperlink"/>
          </w:rPr>
          <w:t>Project context</w:t>
        </w:r>
        <w:r w:rsidR="00797A64" w:rsidRPr="00315F60">
          <w:rPr>
            <w:webHidden/>
          </w:rPr>
          <w:tab/>
        </w:r>
        <w:r w:rsidR="00797A64" w:rsidRPr="00315F60">
          <w:rPr>
            <w:webHidden/>
          </w:rPr>
          <w:fldChar w:fldCharType="begin"/>
        </w:r>
        <w:r w:rsidR="00797A64" w:rsidRPr="00315F60">
          <w:rPr>
            <w:webHidden/>
          </w:rPr>
          <w:instrText xml:space="preserve"> PAGEREF _Toc26979124 \h </w:instrText>
        </w:r>
        <w:r w:rsidR="00797A64" w:rsidRPr="00315F60">
          <w:rPr>
            <w:webHidden/>
          </w:rPr>
        </w:r>
        <w:r w:rsidR="00797A64" w:rsidRPr="00315F60">
          <w:rPr>
            <w:webHidden/>
          </w:rPr>
          <w:fldChar w:fldCharType="separate"/>
        </w:r>
        <w:r w:rsidR="00797A64" w:rsidRPr="00315F60">
          <w:rPr>
            <w:webHidden/>
          </w:rPr>
          <w:t>2</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25" w:history="1">
        <w:r w:rsidR="00797A64" w:rsidRPr="00315F60">
          <w:rPr>
            <w:rStyle w:val="Hyperlink"/>
          </w:rPr>
          <w:t>Prevalence study methodology</w:t>
        </w:r>
        <w:r w:rsidR="00797A64" w:rsidRPr="00315F60">
          <w:rPr>
            <w:webHidden/>
          </w:rPr>
          <w:tab/>
        </w:r>
        <w:r w:rsidR="00797A64" w:rsidRPr="00315F60">
          <w:rPr>
            <w:webHidden/>
          </w:rPr>
          <w:fldChar w:fldCharType="begin"/>
        </w:r>
        <w:r w:rsidR="00797A64" w:rsidRPr="00315F60">
          <w:rPr>
            <w:webHidden/>
          </w:rPr>
          <w:instrText xml:space="preserve"> PAGEREF _Toc26979125 \h </w:instrText>
        </w:r>
        <w:r w:rsidR="00797A64" w:rsidRPr="00315F60">
          <w:rPr>
            <w:webHidden/>
          </w:rPr>
        </w:r>
        <w:r w:rsidR="00797A64" w:rsidRPr="00315F60">
          <w:rPr>
            <w:webHidden/>
          </w:rPr>
          <w:fldChar w:fldCharType="separate"/>
        </w:r>
        <w:r w:rsidR="00797A64" w:rsidRPr="00315F60">
          <w:rPr>
            <w:webHidden/>
          </w:rPr>
          <w:t>3</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26" w:history="1">
        <w:r w:rsidR="00797A64" w:rsidRPr="00315F60">
          <w:rPr>
            <w:rStyle w:val="Hyperlink"/>
          </w:rPr>
          <w:t>Findings</w:t>
        </w:r>
        <w:r w:rsidR="00797A64" w:rsidRPr="00315F60">
          <w:rPr>
            <w:webHidden/>
          </w:rPr>
          <w:tab/>
        </w:r>
        <w:r w:rsidR="00797A64" w:rsidRPr="00315F60">
          <w:rPr>
            <w:webHidden/>
          </w:rPr>
          <w:fldChar w:fldCharType="begin"/>
        </w:r>
        <w:r w:rsidR="00797A64" w:rsidRPr="00315F60">
          <w:rPr>
            <w:webHidden/>
          </w:rPr>
          <w:instrText xml:space="preserve"> PAGEREF _Toc26979126 \h </w:instrText>
        </w:r>
        <w:r w:rsidR="00797A64" w:rsidRPr="00315F60">
          <w:rPr>
            <w:webHidden/>
          </w:rPr>
        </w:r>
        <w:r w:rsidR="00797A64" w:rsidRPr="00315F60">
          <w:rPr>
            <w:webHidden/>
          </w:rPr>
          <w:fldChar w:fldCharType="separate"/>
        </w:r>
        <w:r w:rsidR="00797A64" w:rsidRPr="00315F60">
          <w:rPr>
            <w:webHidden/>
          </w:rPr>
          <w:t>5</w:t>
        </w:r>
        <w:r w:rsidR="00797A64" w:rsidRPr="00315F60">
          <w:rPr>
            <w:webHidden/>
          </w:rPr>
          <w:fldChar w:fldCharType="end"/>
        </w:r>
      </w:hyperlink>
    </w:p>
    <w:p w:rsidR="00797A64" w:rsidRPr="00315F60" w:rsidRDefault="00913F96">
      <w:pPr>
        <w:pStyle w:val="TOC1"/>
        <w:rPr>
          <w:rFonts w:asciiTheme="minorHAnsi" w:eastAsiaTheme="minorEastAsia" w:hAnsiTheme="minorHAnsi"/>
          <w:lang w:eastAsia="en-AU"/>
        </w:rPr>
      </w:pPr>
      <w:hyperlink w:anchor="_Toc26979127" w:history="1">
        <w:r w:rsidR="00797A64" w:rsidRPr="00315F60">
          <w:rPr>
            <w:rStyle w:val="Hyperlink"/>
          </w:rPr>
          <w:t>1</w:t>
        </w:r>
        <w:r w:rsidR="00797A64" w:rsidRPr="00315F60">
          <w:rPr>
            <w:rFonts w:asciiTheme="minorHAnsi" w:eastAsiaTheme="minorEastAsia" w:hAnsiTheme="minorHAnsi"/>
            <w:lang w:eastAsia="en-AU"/>
          </w:rPr>
          <w:tab/>
        </w:r>
        <w:r w:rsidR="00797A64" w:rsidRPr="00315F60">
          <w:rPr>
            <w:rStyle w:val="Hyperlink"/>
          </w:rPr>
          <w:t>Introduction</w:t>
        </w:r>
        <w:r w:rsidR="00797A64" w:rsidRPr="00315F60">
          <w:rPr>
            <w:webHidden/>
          </w:rPr>
          <w:tab/>
        </w:r>
        <w:r w:rsidR="00797A64" w:rsidRPr="00315F60">
          <w:rPr>
            <w:webHidden/>
          </w:rPr>
          <w:fldChar w:fldCharType="begin"/>
        </w:r>
        <w:r w:rsidR="00797A64" w:rsidRPr="00315F60">
          <w:rPr>
            <w:webHidden/>
          </w:rPr>
          <w:instrText xml:space="preserve"> PAGEREF _Toc26979127 \h </w:instrText>
        </w:r>
        <w:r w:rsidR="00797A64" w:rsidRPr="00315F60">
          <w:rPr>
            <w:webHidden/>
          </w:rPr>
        </w:r>
        <w:r w:rsidR="00797A64" w:rsidRPr="00315F60">
          <w:rPr>
            <w:webHidden/>
          </w:rPr>
          <w:fldChar w:fldCharType="separate"/>
        </w:r>
        <w:r w:rsidR="00797A64" w:rsidRPr="00315F60">
          <w:rPr>
            <w:webHidden/>
          </w:rPr>
          <w:t>8</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28" w:history="1">
        <w:r w:rsidR="00797A64" w:rsidRPr="00315F60">
          <w:rPr>
            <w:rStyle w:val="Hyperlink"/>
          </w:rPr>
          <w:t>1.1</w:t>
        </w:r>
        <w:r w:rsidR="00797A64" w:rsidRPr="00315F60">
          <w:rPr>
            <w:rFonts w:asciiTheme="minorHAnsi" w:eastAsiaTheme="minorEastAsia" w:hAnsiTheme="minorHAnsi"/>
            <w:sz w:val="22"/>
            <w:lang w:eastAsia="en-AU"/>
          </w:rPr>
          <w:tab/>
        </w:r>
        <w:r w:rsidR="00797A64" w:rsidRPr="00315F60">
          <w:rPr>
            <w:rStyle w:val="Hyperlink"/>
          </w:rPr>
          <w:t>Project context</w:t>
        </w:r>
        <w:r w:rsidR="00797A64" w:rsidRPr="00315F60">
          <w:rPr>
            <w:webHidden/>
          </w:rPr>
          <w:tab/>
        </w:r>
        <w:r w:rsidR="00797A64" w:rsidRPr="00315F60">
          <w:rPr>
            <w:webHidden/>
          </w:rPr>
          <w:fldChar w:fldCharType="begin"/>
        </w:r>
        <w:r w:rsidR="00797A64" w:rsidRPr="00315F60">
          <w:rPr>
            <w:webHidden/>
          </w:rPr>
          <w:instrText xml:space="preserve"> PAGEREF _Toc26979128 \h </w:instrText>
        </w:r>
        <w:r w:rsidR="00797A64" w:rsidRPr="00315F60">
          <w:rPr>
            <w:webHidden/>
          </w:rPr>
        </w:r>
        <w:r w:rsidR="00797A64" w:rsidRPr="00315F60">
          <w:rPr>
            <w:webHidden/>
          </w:rPr>
          <w:fldChar w:fldCharType="separate"/>
        </w:r>
        <w:r w:rsidR="00797A64" w:rsidRPr="00315F60">
          <w:rPr>
            <w:webHidden/>
          </w:rPr>
          <w:t>8</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29" w:history="1">
        <w:r w:rsidR="00797A64" w:rsidRPr="00315F60">
          <w:rPr>
            <w:rStyle w:val="Hyperlink"/>
          </w:rPr>
          <w:t>1.2</w:t>
        </w:r>
        <w:r w:rsidR="00797A64" w:rsidRPr="00315F60">
          <w:rPr>
            <w:rFonts w:asciiTheme="minorHAnsi" w:eastAsiaTheme="minorEastAsia" w:hAnsiTheme="minorHAnsi"/>
            <w:sz w:val="22"/>
            <w:lang w:eastAsia="en-AU"/>
          </w:rPr>
          <w:tab/>
        </w:r>
        <w:r w:rsidR="00797A64" w:rsidRPr="00315F60">
          <w:rPr>
            <w:rStyle w:val="Hyperlink"/>
          </w:rPr>
          <w:t>Project objectives and scope</w:t>
        </w:r>
        <w:r w:rsidR="00797A64" w:rsidRPr="00315F60">
          <w:rPr>
            <w:webHidden/>
          </w:rPr>
          <w:tab/>
        </w:r>
        <w:r w:rsidR="00797A64" w:rsidRPr="00315F60">
          <w:rPr>
            <w:webHidden/>
          </w:rPr>
          <w:fldChar w:fldCharType="begin"/>
        </w:r>
        <w:r w:rsidR="00797A64" w:rsidRPr="00315F60">
          <w:rPr>
            <w:webHidden/>
          </w:rPr>
          <w:instrText xml:space="preserve"> PAGEREF _Toc26979129 \h </w:instrText>
        </w:r>
        <w:r w:rsidR="00797A64" w:rsidRPr="00315F60">
          <w:rPr>
            <w:webHidden/>
          </w:rPr>
        </w:r>
        <w:r w:rsidR="00797A64" w:rsidRPr="00315F60">
          <w:rPr>
            <w:webHidden/>
          </w:rPr>
          <w:fldChar w:fldCharType="separate"/>
        </w:r>
        <w:r w:rsidR="00797A64" w:rsidRPr="00315F60">
          <w:rPr>
            <w:webHidden/>
          </w:rPr>
          <w:t>10</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30" w:history="1">
        <w:r w:rsidR="00797A64" w:rsidRPr="00315F60">
          <w:rPr>
            <w:rStyle w:val="Hyperlink"/>
          </w:rPr>
          <w:t>1.3</w:t>
        </w:r>
        <w:r w:rsidR="00797A64" w:rsidRPr="00315F60">
          <w:rPr>
            <w:rFonts w:asciiTheme="minorHAnsi" w:eastAsiaTheme="minorEastAsia" w:hAnsiTheme="minorHAnsi"/>
            <w:sz w:val="22"/>
            <w:lang w:eastAsia="en-AU"/>
          </w:rPr>
          <w:tab/>
        </w:r>
        <w:r w:rsidR="00797A64" w:rsidRPr="00315F60">
          <w:rPr>
            <w:rStyle w:val="Hyperlink"/>
          </w:rPr>
          <w:t>Purpose and structure of the report</w:t>
        </w:r>
        <w:r w:rsidR="00797A64" w:rsidRPr="00315F60">
          <w:rPr>
            <w:webHidden/>
          </w:rPr>
          <w:tab/>
        </w:r>
        <w:r w:rsidR="00797A64" w:rsidRPr="00315F60">
          <w:rPr>
            <w:webHidden/>
          </w:rPr>
          <w:fldChar w:fldCharType="begin"/>
        </w:r>
        <w:r w:rsidR="00797A64" w:rsidRPr="00315F60">
          <w:rPr>
            <w:webHidden/>
          </w:rPr>
          <w:instrText xml:space="preserve"> PAGEREF _Toc26979130 \h </w:instrText>
        </w:r>
        <w:r w:rsidR="00797A64" w:rsidRPr="00315F60">
          <w:rPr>
            <w:webHidden/>
          </w:rPr>
        </w:r>
        <w:r w:rsidR="00797A64" w:rsidRPr="00315F60">
          <w:rPr>
            <w:webHidden/>
          </w:rPr>
          <w:fldChar w:fldCharType="separate"/>
        </w:r>
        <w:r w:rsidR="00797A64" w:rsidRPr="00315F60">
          <w:rPr>
            <w:webHidden/>
          </w:rPr>
          <w:t>11</w:t>
        </w:r>
        <w:r w:rsidR="00797A64" w:rsidRPr="00315F60">
          <w:rPr>
            <w:webHidden/>
          </w:rPr>
          <w:fldChar w:fldCharType="end"/>
        </w:r>
      </w:hyperlink>
    </w:p>
    <w:p w:rsidR="00797A64" w:rsidRPr="00315F60" w:rsidRDefault="00913F96">
      <w:pPr>
        <w:pStyle w:val="TOC1"/>
        <w:rPr>
          <w:rFonts w:asciiTheme="minorHAnsi" w:eastAsiaTheme="minorEastAsia" w:hAnsiTheme="minorHAnsi"/>
          <w:lang w:eastAsia="en-AU"/>
        </w:rPr>
      </w:pPr>
      <w:hyperlink w:anchor="_Toc26979131" w:history="1">
        <w:r w:rsidR="00797A64" w:rsidRPr="00315F60">
          <w:rPr>
            <w:rStyle w:val="Hyperlink"/>
          </w:rPr>
          <w:t>2</w:t>
        </w:r>
        <w:r w:rsidR="00797A64" w:rsidRPr="00315F60">
          <w:rPr>
            <w:rFonts w:asciiTheme="minorHAnsi" w:eastAsiaTheme="minorEastAsia" w:hAnsiTheme="minorHAnsi"/>
            <w:lang w:eastAsia="en-AU"/>
          </w:rPr>
          <w:tab/>
        </w:r>
        <w:r w:rsidR="00797A64" w:rsidRPr="00315F60">
          <w:rPr>
            <w:rStyle w:val="Hyperlink"/>
          </w:rPr>
          <w:t>Prevalence study methodology</w:t>
        </w:r>
        <w:r w:rsidR="00797A64" w:rsidRPr="00315F60">
          <w:rPr>
            <w:webHidden/>
          </w:rPr>
          <w:tab/>
        </w:r>
        <w:r w:rsidR="00797A64" w:rsidRPr="00315F60">
          <w:rPr>
            <w:webHidden/>
          </w:rPr>
          <w:fldChar w:fldCharType="begin"/>
        </w:r>
        <w:r w:rsidR="00797A64" w:rsidRPr="00315F60">
          <w:rPr>
            <w:webHidden/>
          </w:rPr>
          <w:instrText xml:space="preserve"> PAGEREF _Toc26979131 \h </w:instrText>
        </w:r>
        <w:r w:rsidR="00797A64" w:rsidRPr="00315F60">
          <w:rPr>
            <w:webHidden/>
          </w:rPr>
        </w:r>
        <w:r w:rsidR="00797A64" w:rsidRPr="00315F60">
          <w:rPr>
            <w:webHidden/>
          </w:rPr>
          <w:fldChar w:fldCharType="separate"/>
        </w:r>
        <w:r w:rsidR="00797A64" w:rsidRPr="00315F60">
          <w:rPr>
            <w:webHidden/>
          </w:rPr>
          <w:t>13</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32" w:history="1">
        <w:r w:rsidR="00797A64" w:rsidRPr="00315F60">
          <w:rPr>
            <w:rStyle w:val="Hyperlink"/>
          </w:rPr>
          <w:t>2.1</w:t>
        </w:r>
        <w:r w:rsidR="00797A64" w:rsidRPr="00315F60">
          <w:rPr>
            <w:rFonts w:asciiTheme="minorHAnsi" w:eastAsiaTheme="minorEastAsia" w:hAnsiTheme="minorHAnsi"/>
            <w:sz w:val="22"/>
            <w:lang w:eastAsia="en-AU"/>
          </w:rPr>
          <w:tab/>
        </w:r>
        <w:r w:rsidR="00797A64" w:rsidRPr="00315F60">
          <w:rPr>
            <w:rStyle w:val="Hyperlink"/>
          </w:rPr>
          <w:t>Development of the data collection approach</w:t>
        </w:r>
        <w:r w:rsidR="00797A64" w:rsidRPr="00315F60">
          <w:rPr>
            <w:webHidden/>
          </w:rPr>
          <w:tab/>
        </w:r>
        <w:r w:rsidR="00797A64" w:rsidRPr="00315F60">
          <w:rPr>
            <w:webHidden/>
          </w:rPr>
          <w:fldChar w:fldCharType="begin"/>
        </w:r>
        <w:r w:rsidR="00797A64" w:rsidRPr="00315F60">
          <w:rPr>
            <w:webHidden/>
          </w:rPr>
          <w:instrText xml:space="preserve"> PAGEREF _Toc26979132 \h </w:instrText>
        </w:r>
        <w:r w:rsidR="00797A64" w:rsidRPr="00315F60">
          <w:rPr>
            <w:webHidden/>
          </w:rPr>
        </w:r>
        <w:r w:rsidR="00797A64" w:rsidRPr="00315F60">
          <w:rPr>
            <w:webHidden/>
          </w:rPr>
          <w:fldChar w:fldCharType="separate"/>
        </w:r>
        <w:r w:rsidR="00797A64" w:rsidRPr="00315F60">
          <w:rPr>
            <w:webHidden/>
          </w:rPr>
          <w:t>13</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33" w:history="1">
        <w:r w:rsidR="00797A64" w:rsidRPr="00315F60">
          <w:rPr>
            <w:rStyle w:val="Hyperlink"/>
          </w:rPr>
          <w:t>2.2</w:t>
        </w:r>
        <w:r w:rsidR="00797A64" w:rsidRPr="00315F60">
          <w:rPr>
            <w:rFonts w:asciiTheme="minorHAnsi" w:eastAsiaTheme="minorEastAsia" w:hAnsiTheme="minorHAnsi"/>
            <w:sz w:val="22"/>
            <w:lang w:eastAsia="en-AU"/>
          </w:rPr>
          <w:tab/>
        </w:r>
        <w:r w:rsidR="00797A64" w:rsidRPr="00315F60">
          <w:rPr>
            <w:rStyle w:val="Hyperlink"/>
          </w:rPr>
          <w:t>Data submission</w:t>
        </w:r>
        <w:r w:rsidR="00797A64" w:rsidRPr="00315F60">
          <w:rPr>
            <w:webHidden/>
          </w:rPr>
          <w:tab/>
        </w:r>
        <w:r w:rsidR="00797A64" w:rsidRPr="00315F60">
          <w:rPr>
            <w:webHidden/>
          </w:rPr>
          <w:fldChar w:fldCharType="begin"/>
        </w:r>
        <w:r w:rsidR="00797A64" w:rsidRPr="00315F60">
          <w:rPr>
            <w:webHidden/>
          </w:rPr>
          <w:instrText xml:space="preserve"> PAGEREF _Toc26979133 \h </w:instrText>
        </w:r>
        <w:r w:rsidR="00797A64" w:rsidRPr="00315F60">
          <w:rPr>
            <w:webHidden/>
          </w:rPr>
        </w:r>
        <w:r w:rsidR="00797A64" w:rsidRPr="00315F60">
          <w:rPr>
            <w:webHidden/>
          </w:rPr>
          <w:fldChar w:fldCharType="separate"/>
        </w:r>
        <w:r w:rsidR="00797A64" w:rsidRPr="00315F60">
          <w:rPr>
            <w:webHidden/>
          </w:rPr>
          <w:t>18</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34" w:history="1">
        <w:r w:rsidR="00797A64" w:rsidRPr="00315F60">
          <w:rPr>
            <w:rStyle w:val="Hyperlink"/>
          </w:rPr>
          <w:t>2.3</w:t>
        </w:r>
        <w:r w:rsidR="00797A64" w:rsidRPr="00315F60">
          <w:rPr>
            <w:rFonts w:asciiTheme="minorHAnsi" w:eastAsiaTheme="minorEastAsia" w:hAnsiTheme="minorHAnsi"/>
            <w:sz w:val="22"/>
            <w:lang w:eastAsia="en-AU"/>
          </w:rPr>
          <w:tab/>
        </w:r>
        <w:r w:rsidR="00797A64" w:rsidRPr="00315F60">
          <w:rPr>
            <w:rStyle w:val="Hyperlink"/>
          </w:rPr>
          <w:t>Data modelling and analysis</w:t>
        </w:r>
        <w:r w:rsidR="00797A64" w:rsidRPr="00315F60">
          <w:rPr>
            <w:webHidden/>
          </w:rPr>
          <w:tab/>
        </w:r>
        <w:r w:rsidR="00797A64" w:rsidRPr="00315F60">
          <w:rPr>
            <w:webHidden/>
          </w:rPr>
          <w:fldChar w:fldCharType="begin"/>
        </w:r>
        <w:r w:rsidR="00797A64" w:rsidRPr="00315F60">
          <w:rPr>
            <w:webHidden/>
          </w:rPr>
          <w:instrText xml:space="preserve"> PAGEREF _Toc26979134 \h </w:instrText>
        </w:r>
        <w:r w:rsidR="00797A64" w:rsidRPr="00315F60">
          <w:rPr>
            <w:webHidden/>
          </w:rPr>
        </w:r>
        <w:r w:rsidR="00797A64" w:rsidRPr="00315F60">
          <w:rPr>
            <w:webHidden/>
          </w:rPr>
          <w:fldChar w:fldCharType="separate"/>
        </w:r>
        <w:r w:rsidR="00797A64" w:rsidRPr="00315F60">
          <w:rPr>
            <w:webHidden/>
          </w:rPr>
          <w:t>20</w:t>
        </w:r>
        <w:r w:rsidR="00797A64" w:rsidRPr="00315F60">
          <w:rPr>
            <w:webHidden/>
          </w:rPr>
          <w:fldChar w:fldCharType="end"/>
        </w:r>
      </w:hyperlink>
    </w:p>
    <w:p w:rsidR="00797A64" w:rsidRPr="00315F60" w:rsidRDefault="00913F96">
      <w:pPr>
        <w:pStyle w:val="TOC1"/>
        <w:rPr>
          <w:rFonts w:asciiTheme="minorHAnsi" w:eastAsiaTheme="minorEastAsia" w:hAnsiTheme="minorHAnsi"/>
          <w:lang w:eastAsia="en-AU"/>
        </w:rPr>
      </w:pPr>
      <w:hyperlink w:anchor="_Toc26979135" w:history="1">
        <w:r w:rsidR="00797A64" w:rsidRPr="00315F60">
          <w:rPr>
            <w:rStyle w:val="Hyperlink"/>
          </w:rPr>
          <w:t>3</w:t>
        </w:r>
        <w:r w:rsidR="00797A64" w:rsidRPr="00315F60">
          <w:rPr>
            <w:rFonts w:asciiTheme="minorHAnsi" w:eastAsiaTheme="minorEastAsia" w:hAnsiTheme="minorHAnsi"/>
            <w:lang w:eastAsia="en-AU"/>
          </w:rPr>
          <w:tab/>
        </w:r>
        <w:r w:rsidR="00797A64" w:rsidRPr="00315F60">
          <w:rPr>
            <w:rStyle w:val="Hyperlink"/>
          </w:rPr>
          <w:t>Findings</w:t>
        </w:r>
        <w:r w:rsidR="00797A64" w:rsidRPr="00315F60">
          <w:rPr>
            <w:webHidden/>
          </w:rPr>
          <w:tab/>
        </w:r>
        <w:r w:rsidR="00797A64" w:rsidRPr="00315F60">
          <w:rPr>
            <w:webHidden/>
          </w:rPr>
          <w:fldChar w:fldCharType="begin"/>
        </w:r>
        <w:r w:rsidR="00797A64" w:rsidRPr="00315F60">
          <w:rPr>
            <w:webHidden/>
          </w:rPr>
          <w:instrText xml:space="preserve"> PAGEREF _Toc26979135 \h </w:instrText>
        </w:r>
        <w:r w:rsidR="00797A64" w:rsidRPr="00315F60">
          <w:rPr>
            <w:webHidden/>
          </w:rPr>
        </w:r>
        <w:r w:rsidR="00797A64" w:rsidRPr="00315F60">
          <w:rPr>
            <w:webHidden/>
          </w:rPr>
          <w:fldChar w:fldCharType="separate"/>
        </w:r>
        <w:r w:rsidR="00797A64" w:rsidRPr="00315F60">
          <w:rPr>
            <w:webHidden/>
          </w:rPr>
          <w:t>22</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36" w:history="1">
        <w:r w:rsidR="00797A64" w:rsidRPr="00315F60">
          <w:rPr>
            <w:rStyle w:val="Hyperlink"/>
          </w:rPr>
          <w:t>3.1</w:t>
        </w:r>
        <w:r w:rsidR="00797A64" w:rsidRPr="00315F60">
          <w:rPr>
            <w:rFonts w:asciiTheme="minorHAnsi" w:eastAsiaTheme="minorEastAsia" w:hAnsiTheme="minorHAnsi"/>
            <w:sz w:val="22"/>
            <w:lang w:eastAsia="en-AU"/>
          </w:rPr>
          <w:tab/>
        </w:r>
        <w:r w:rsidR="00797A64" w:rsidRPr="00315F60">
          <w:rPr>
            <w:rStyle w:val="Hyperlink"/>
          </w:rPr>
          <w:t>Characteristics of participating approved providers and services</w:t>
        </w:r>
        <w:r w:rsidR="00797A64" w:rsidRPr="00315F60">
          <w:rPr>
            <w:webHidden/>
          </w:rPr>
          <w:tab/>
        </w:r>
        <w:r w:rsidR="00797A64" w:rsidRPr="00315F60">
          <w:rPr>
            <w:webHidden/>
          </w:rPr>
          <w:fldChar w:fldCharType="begin"/>
        </w:r>
        <w:r w:rsidR="00797A64" w:rsidRPr="00315F60">
          <w:rPr>
            <w:webHidden/>
          </w:rPr>
          <w:instrText xml:space="preserve"> PAGEREF _Toc26979136 \h </w:instrText>
        </w:r>
        <w:r w:rsidR="00797A64" w:rsidRPr="00315F60">
          <w:rPr>
            <w:webHidden/>
          </w:rPr>
        </w:r>
        <w:r w:rsidR="00797A64" w:rsidRPr="00315F60">
          <w:rPr>
            <w:webHidden/>
          </w:rPr>
          <w:fldChar w:fldCharType="separate"/>
        </w:r>
        <w:r w:rsidR="00797A64" w:rsidRPr="00315F60">
          <w:rPr>
            <w:webHidden/>
          </w:rPr>
          <w:t>22</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37" w:history="1">
        <w:r w:rsidR="00797A64" w:rsidRPr="00315F60">
          <w:rPr>
            <w:rStyle w:val="Hyperlink"/>
          </w:rPr>
          <w:t>3.2</w:t>
        </w:r>
        <w:r w:rsidR="00797A64" w:rsidRPr="00315F60">
          <w:rPr>
            <w:rFonts w:asciiTheme="minorHAnsi" w:eastAsiaTheme="minorEastAsia" w:hAnsiTheme="minorHAnsi"/>
            <w:sz w:val="22"/>
            <w:lang w:eastAsia="en-AU"/>
          </w:rPr>
          <w:tab/>
        </w:r>
        <w:r w:rsidR="00797A64" w:rsidRPr="00315F60">
          <w:rPr>
            <w:rStyle w:val="Hyperlink"/>
          </w:rPr>
          <w:t>Descriptive analysis of incident data</w:t>
        </w:r>
        <w:r w:rsidR="00797A64" w:rsidRPr="00315F60">
          <w:rPr>
            <w:webHidden/>
          </w:rPr>
          <w:tab/>
        </w:r>
        <w:r w:rsidR="00797A64" w:rsidRPr="00315F60">
          <w:rPr>
            <w:webHidden/>
          </w:rPr>
          <w:fldChar w:fldCharType="begin"/>
        </w:r>
        <w:r w:rsidR="00797A64" w:rsidRPr="00315F60">
          <w:rPr>
            <w:webHidden/>
          </w:rPr>
          <w:instrText xml:space="preserve"> PAGEREF _Toc26979137 \h </w:instrText>
        </w:r>
        <w:r w:rsidR="00797A64" w:rsidRPr="00315F60">
          <w:rPr>
            <w:webHidden/>
          </w:rPr>
        </w:r>
        <w:r w:rsidR="00797A64" w:rsidRPr="00315F60">
          <w:rPr>
            <w:webHidden/>
          </w:rPr>
          <w:fldChar w:fldCharType="separate"/>
        </w:r>
        <w:r w:rsidR="00797A64" w:rsidRPr="00315F60">
          <w:rPr>
            <w:webHidden/>
          </w:rPr>
          <w:t>26</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38" w:history="1">
        <w:r w:rsidR="00797A64" w:rsidRPr="00315F60">
          <w:rPr>
            <w:rStyle w:val="Hyperlink"/>
          </w:rPr>
          <w:t>3.3</w:t>
        </w:r>
        <w:r w:rsidR="00797A64" w:rsidRPr="00315F60">
          <w:rPr>
            <w:rFonts w:asciiTheme="minorHAnsi" w:eastAsiaTheme="minorEastAsia" w:hAnsiTheme="minorHAnsi"/>
            <w:sz w:val="22"/>
            <w:lang w:eastAsia="en-AU"/>
          </w:rPr>
          <w:tab/>
        </w:r>
        <w:r w:rsidR="00797A64" w:rsidRPr="00315F60">
          <w:rPr>
            <w:rStyle w:val="Hyperlink"/>
          </w:rPr>
          <w:t>National estimates of incidents</w:t>
        </w:r>
        <w:r w:rsidR="00797A64" w:rsidRPr="00315F60">
          <w:rPr>
            <w:webHidden/>
          </w:rPr>
          <w:tab/>
        </w:r>
        <w:r w:rsidR="00797A64" w:rsidRPr="00315F60">
          <w:rPr>
            <w:webHidden/>
          </w:rPr>
          <w:fldChar w:fldCharType="begin"/>
        </w:r>
        <w:r w:rsidR="00797A64" w:rsidRPr="00315F60">
          <w:rPr>
            <w:webHidden/>
          </w:rPr>
          <w:instrText xml:space="preserve"> PAGEREF _Toc26979138 \h </w:instrText>
        </w:r>
        <w:r w:rsidR="00797A64" w:rsidRPr="00315F60">
          <w:rPr>
            <w:webHidden/>
          </w:rPr>
        </w:r>
        <w:r w:rsidR="00797A64" w:rsidRPr="00315F60">
          <w:rPr>
            <w:webHidden/>
          </w:rPr>
          <w:fldChar w:fldCharType="separate"/>
        </w:r>
        <w:r w:rsidR="00797A64" w:rsidRPr="00315F60">
          <w:rPr>
            <w:webHidden/>
          </w:rPr>
          <w:t>35</w:t>
        </w:r>
        <w:r w:rsidR="00797A64" w:rsidRPr="00315F60">
          <w:rPr>
            <w:webHidden/>
          </w:rPr>
          <w:fldChar w:fldCharType="end"/>
        </w:r>
      </w:hyperlink>
    </w:p>
    <w:p w:rsidR="00797A64" w:rsidRPr="00315F60" w:rsidRDefault="00913F96">
      <w:pPr>
        <w:pStyle w:val="TOC1"/>
        <w:rPr>
          <w:rFonts w:asciiTheme="minorHAnsi" w:eastAsiaTheme="minorEastAsia" w:hAnsiTheme="minorHAnsi"/>
          <w:lang w:eastAsia="en-AU"/>
        </w:rPr>
      </w:pPr>
      <w:hyperlink w:anchor="_Toc26979139" w:history="1">
        <w:r w:rsidR="00797A64" w:rsidRPr="00315F60">
          <w:rPr>
            <w:rStyle w:val="Hyperlink"/>
          </w:rPr>
          <w:t>4</w:t>
        </w:r>
        <w:r w:rsidR="00797A64" w:rsidRPr="00315F60">
          <w:rPr>
            <w:rFonts w:asciiTheme="minorHAnsi" w:eastAsiaTheme="minorEastAsia" w:hAnsiTheme="minorHAnsi"/>
            <w:lang w:eastAsia="en-AU"/>
          </w:rPr>
          <w:tab/>
        </w:r>
        <w:r w:rsidR="00797A64" w:rsidRPr="00315F60">
          <w:rPr>
            <w:rStyle w:val="Hyperlink"/>
          </w:rPr>
          <w:t>Study implications for the design of a SIRS</w:t>
        </w:r>
        <w:r w:rsidR="00797A64" w:rsidRPr="00315F60">
          <w:rPr>
            <w:webHidden/>
          </w:rPr>
          <w:tab/>
        </w:r>
        <w:r w:rsidR="00797A64" w:rsidRPr="00315F60">
          <w:rPr>
            <w:webHidden/>
          </w:rPr>
          <w:fldChar w:fldCharType="begin"/>
        </w:r>
        <w:r w:rsidR="00797A64" w:rsidRPr="00315F60">
          <w:rPr>
            <w:webHidden/>
          </w:rPr>
          <w:instrText xml:space="preserve"> PAGEREF _Toc26979139 \h </w:instrText>
        </w:r>
        <w:r w:rsidR="00797A64" w:rsidRPr="00315F60">
          <w:rPr>
            <w:webHidden/>
          </w:rPr>
        </w:r>
        <w:r w:rsidR="00797A64" w:rsidRPr="00315F60">
          <w:rPr>
            <w:webHidden/>
          </w:rPr>
          <w:fldChar w:fldCharType="separate"/>
        </w:r>
        <w:r w:rsidR="00797A64" w:rsidRPr="00315F60">
          <w:rPr>
            <w:webHidden/>
          </w:rPr>
          <w:t>39</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40" w:history="1">
        <w:r w:rsidR="00797A64" w:rsidRPr="00315F60">
          <w:rPr>
            <w:rStyle w:val="Hyperlink"/>
          </w:rPr>
          <w:t>4.1</w:t>
        </w:r>
        <w:r w:rsidR="00797A64" w:rsidRPr="00315F60">
          <w:rPr>
            <w:rFonts w:asciiTheme="minorHAnsi" w:eastAsiaTheme="minorEastAsia" w:hAnsiTheme="minorHAnsi"/>
            <w:sz w:val="22"/>
            <w:lang w:eastAsia="en-AU"/>
          </w:rPr>
          <w:tab/>
        </w:r>
        <w:r w:rsidR="00797A64" w:rsidRPr="00315F60">
          <w:rPr>
            <w:rStyle w:val="Hyperlink"/>
          </w:rPr>
          <w:t>Options for reporting thresholds</w:t>
        </w:r>
        <w:r w:rsidR="00797A64" w:rsidRPr="00315F60">
          <w:rPr>
            <w:webHidden/>
          </w:rPr>
          <w:tab/>
        </w:r>
        <w:r w:rsidR="00797A64" w:rsidRPr="00315F60">
          <w:rPr>
            <w:webHidden/>
          </w:rPr>
          <w:fldChar w:fldCharType="begin"/>
        </w:r>
        <w:r w:rsidR="00797A64" w:rsidRPr="00315F60">
          <w:rPr>
            <w:webHidden/>
          </w:rPr>
          <w:instrText xml:space="preserve"> PAGEREF _Toc26979140 \h </w:instrText>
        </w:r>
        <w:r w:rsidR="00797A64" w:rsidRPr="00315F60">
          <w:rPr>
            <w:webHidden/>
          </w:rPr>
        </w:r>
        <w:r w:rsidR="00797A64" w:rsidRPr="00315F60">
          <w:rPr>
            <w:webHidden/>
          </w:rPr>
          <w:fldChar w:fldCharType="separate"/>
        </w:r>
        <w:r w:rsidR="00797A64" w:rsidRPr="00315F60">
          <w:rPr>
            <w:webHidden/>
          </w:rPr>
          <w:t>39</w:t>
        </w:r>
        <w:r w:rsidR="00797A64" w:rsidRPr="00315F60">
          <w:rPr>
            <w:webHidden/>
          </w:rPr>
          <w:fldChar w:fldCharType="end"/>
        </w:r>
      </w:hyperlink>
    </w:p>
    <w:p w:rsidR="00797A64" w:rsidRPr="00315F60" w:rsidRDefault="00913F96">
      <w:pPr>
        <w:pStyle w:val="TOC2"/>
        <w:rPr>
          <w:rFonts w:asciiTheme="minorHAnsi" w:eastAsiaTheme="minorEastAsia" w:hAnsiTheme="minorHAnsi"/>
          <w:sz w:val="22"/>
          <w:lang w:eastAsia="en-AU"/>
        </w:rPr>
      </w:pPr>
      <w:hyperlink w:anchor="_Toc26979141" w:history="1">
        <w:r w:rsidR="00797A64" w:rsidRPr="00315F60">
          <w:rPr>
            <w:rStyle w:val="Hyperlink"/>
          </w:rPr>
          <w:t>4.2</w:t>
        </w:r>
        <w:r w:rsidR="00797A64" w:rsidRPr="00315F60">
          <w:rPr>
            <w:rFonts w:asciiTheme="minorHAnsi" w:eastAsiaTheme="minorEastAsia" w:hAnsiTheme="minorHAnsi"/>
            <w:sz w:val="22"/>
            <w:lang w:eastAsia="en-AU"/>
          </w:rPr>
          <w:tab/>
        </w:r>
        <w:r w:rsidR="00797A64" w:rsidRPr="00315F60">
          <w:rPr>
            <w:rStyle w:val="Hyperlink"/>
          </w:rPr>
          <w:t>Other considerations</w:t>
        </w:r>
        <w:r w:rsidR="00797A64" w:rsidRPr="00315F60">
          <w:rPr>
            <w:webHidden/>
          </w:rPr>
          <w:tab/>
        </w:r>
        <w:r w:rsidR="00797A64" w:rsidRPr="00315F60">
          <w:rPr>
            <w:webHidden/>
          </w:rPr>
          <w:fldChar w:fldCharType="begin"/>
        </w:r>
        <w:r w:rsidR="00797A64" w:rsidRPr="00315F60">
          <w:rPr>
            <w:webHidden/>
          </w:rPr>
          <w:instrText xml:space="preserve"> PAGEREF _Toc26979141 \h </w:instrText>
        </w:r>
        <w:r w:rsidR="00797A64" w:rsidRPr="00315F60">
          <w:rPr>
            <w:webHidden/>
          </w:rPr>
        </w:r>
        <w:r w:rsidR="00797A64" w:rsidRPr="00315F60">
          <w:rPr>
            <w:webHidden/>
          </w:rPr>
          <w:fldChar w:fldCharType="separate"/>
        </w:r>
        <w:r w:rsidR="00797A64" w:rsidRPr="00315F60">
          <w:rPr>
            <w:webHidden/>
          </w:rPr>
          <w:t>54</w:t>
        </w:r>
        <w:r w:rsidR="00797A64" w:rsidRPr="00315F60">
          <w:rPr>
            <w:webHidden/>
          </w:rPr>
          <w:fldChar w:fldCharType="end"/>
        </w:r>
      </w:hyperlink>
    </w:p>
    <w:p w:rsidR="00797A64" w:rsidRPr="00315F60" w:rsidRDefault="00913F96">
      <w:pPr>
        <w:pStyle w:val="TOC1"/>
        <w:rPr>
          <w:rFonts w:asciiTheme="minorHAnsi" w:eastAsiaTheme="minorEastAsia" w:hAnsiTheme="minorHAnsi"/>
          <w:lang w:eastAsia="en-AU"/>
        </w:rPr>
      </w:pPr>
      <w:hyperlink w:anchor="_Toc26979142" w:history="1">
        <w:r w:rsidR="00797A64" w:rsidRPr="00315F60">
          <w:rPr>
            <w:rStyle w:val="Hyperlink"/>
          </w:rPr>
          <w:t>Appendix A : Questions and data fields captured in this study</w:t>
        </w:r>
        <w:r w:rsidR="00797A64" w:rsidRPr="00315F60">
          <w:rPr>
            <w:webHidden/>
          </w:rPr>
          <w:tab/>
        </w:r>
        <w:r w:rsidR="00797A64" w:rsidRPr="00315F60">
          <w:rPr>
            <w:webHidden/>
          </w:rPr>
          <w:fldChar w:fldCharType="begin"/>
        </w:r>
        <w:r w:rsidR="00797A64" w:rsidRPr="00315F60">
          <w:rPr>
            <w:webHidden/>
          </w:rPr>
          <w:instrText xml:space="preserve"> PAGEREF _Toc26979142 \h </w:instrText>
        </w:r>
        <w:r w:rsidR="00797A64" w:rsidRPr="00315F60">
          <w:rPr>
            <w:webHidden/>
          </w:rPr>
        </w:r>
        <w:r w:rsidR="00797A64" w:rsidRPr="00315F60">
          <w:rPr>
            <w:webHidden/>
          </w:rPr>
          <w:fldChar w:fldCharType="separate"/>
        </w:r>
        <w:r w:rsidR="00797A64" w:rsidRPr="00315F60">
          <w:rPr>
            <w:webHidden/>
          </w:rPr>
          <w:t>60</w:t>
        </w:r>
        <w:r w:rsidR="00797A64" w:rsidRPr="00315F60">
          <w:rPr>
            <w:webHidden/>
          </w:rPr>
          <w:fldChar w:fldCharType="end"/>
        </w:r>
      </w:hyperlink>
    </w:p>
    <w:p w:rsidR="00797A64" w:rsidRPr="00315F60" w:rsidRDefault="00913F96">
      <w:pPr>
        <w:pStyle w:val="TOC1"/>
        <w:rPr>
          <w:rFonts w:asciiTheme="minorHAnsi" w:eastAsiaTheme="minorEastAsia" w:hAnsiTheme="minorHAnsi"/>
          <w:lang w:eastAsia="en-AU"/>
        </w:rPr>
      </w:pPr>
      <w:hyperlink w:anchor="_Toc26979143" w:history="1">
        <w:r w:rsidR="00797A64" w:rsidRPr="00315F60">
          <w:rPr>
            <w:rStyle w:val="Hyperlink"/>
          </w:rPr>
          <w:t>Appendix B : Prevalence study resource manual</w:t>
        </w:r>
        <w:r w:rsidR="00797A64" w:rsidRPr="00315F60">
          <w:rPr>
            <w:webHidden/>
          </w:rPr>
          <w:tab/>
        </w:r>
        <w:r w:rsidR="00797A64" w:rsidRPr="00315F60">
          <w:rPr>
            <w:webHidden/>
          </w:rPr>
          <w:fldChar w:fldCharType="begin"/>
        </w:r>
        <w:r w:rsidR="00797A64" w:rsidRPr="00315F60">
          <w:rPr>
            <w:webHidden/>
          </w:rPr>
          <w:instrText xml:space="preserve"> PAGEREF _Toc26979143 \h </w:instrText>
        </w:r>
        <w:r w:rsidR="00797A64" w:rsidRPr="00315F60">
          <w:rPr>
            <w:webHidden/>
          </w:rPr>
        </w:r>
        <w:r w:rsidR="00797A64" w:rsidRPr="00315F60">
          <w:rPr>
            <w:webHidden/>
          </w:rPr>
          <w:fldChar w:fldCharType="separate"/>
        </w:r>
        <w:r w:rsidR="00797A64" w:rsidRPr="00315F60">
          <w:rPr>
            <w:webHidden/>
          </w:rPr>
          <w:t>63</w:t>
        </w:r>
        <w:r w:rsidR="00797A64" w:rsidRPr="00315F60">
          <w:rPr>
            <w:webHidden/>
          </w:rPr>
          <w:fldChar w:fldCharType="end"/>
        </w:r>
      </w:hyperlink>
    </w:p>
    <w:p w:rsidR="00797A64" w:rsidRPr="00315F60" w:rsidRDefault="00913F96">
      <w:pPr>
        <w:pStyle w:val="TOC1"/>
        <w:rPr>
          <w:rFonts w:asciiTheme="minorHAnsi" w:eastAsiaTheme="minorEastAsia" w:hAnsiTheme="minorHAnsi"/>
          <w:lang w:eastAsia="en-AU"/>
        </w:rPr>
      </w:pPr>
      <w:hyperlink w:anchor="_Toc26979144" w:history="1">
        <w:r w:rsidR="00797A64" w:rsidRPr="00315F60">
          <w:rPr>
            <w:rStyle w:val="Hyperlink"/>
          </w:rPr>
          <w:t>Appendix C : Field validation in the data submission tool</w:t>
        </w:r>
        <w:r w:rsidR="00797A64" w:rsidRPr="00315F60">
          <w:rPr>
            <w:webHidden/>
          </w:rPr>
          <w:tab/>
        </w:r>
        <w:r w:rsidR="00797A64" w:rsidRPr="00315F60">
          <w:rPr>
            <w:webHidden/>
          </w:rPr>
          <w:fldChar w:fldCharType="begin"/>
        </w:r>
        <w:r w:rsidR="00797A64" w:rsidRPr="00315F60">
          <w:rPr>
            <w:webHidden/>
          </w:rPr>
          <w:instrText xml:space="preserve"> PAGEREF _Toc26979144 \h </w:instrText>
        </w:r>
        <w:r w:rsidR="00797A64" w:rsidRPr="00315F60">
          <w:rPr>
            <w:webHidden/>
          </w:rPr>
        </w:r>
        <w:r w:rsidR="00797A64" w:rsidRPr="00315F60">
          <w:rPr>
            <w:webHidden/>
          </w:rPr>
          <w:fldChar w:fldCharType="separate"/>
        </w:r>
        <w:r w:rsidR="00797A64" w:rsidRPr="00315F60">
          <w:rPr>
            <w:webHidden/>
          </w:rPr>
          <w:t>64</w:t>
        </w:r>
        <w:r w:rsidR="00797A64" w:rsidRPr="00315F60">
          <w:rPr>
            <w:webHidden/>
          </w:rPr>
          <w:fldChar w:fldCharType="end"/>
        </w:r>
      </w:hyperlink>
    </w:p>
    <w:p w:rsidR="00797A64" w:rsidRPr="00315F60" w:rsidRDefault="00913F96">
      <w:pPr>
        <w:pStyle w:val="TOC1"/>
        <w:rPr>
          <w:rFonts w:asciiTheme="minorHAnsi" w:eastAsiaTheme="minorEastAsia" w:hAnsiTheme="minorHAnsi"/>
          <w:lang w:eastAsia="en-AU"/>
        </w:rPr>
      </w:pPr>
      <w:hyperlink w:anchor="_Toc26979145" w:history="1">
        <w:r w:rsidR="00797A64" w:rsidRPr="00315F60">
          <w:rPr>
            <w:rStyle w:val="Hyperlink"/>
          </w:rPr>
          <w:t>Appendix D : Guidance and resources to support aged care services to participate</w:t>
        </w:r>
        <w:r w:rsidR="00797A64" w:rsidRPr="00315F60">
          <w:rPr>
            <w:webHidden/>
          </w:rPr>
          <w:tab/>
        </w:r>
        <w:r w:rsidR="00797A64" w:rsidRPr="00315F60">
          <w:rPr>
            <w:webHidden/>
          </w:rPr>
          <w:fldChar w:fldCharType="begin"/>
        </w:r>
        <w:r w:rsidR="00797A64" w:rsidRPr="00315F60">
          <w:rPr>
            <w:webHidden/>
          </w:rPr>
          <w:instrText xml:space="preserve"> PAGEREF _Toc26979145 \h </w:instrText>
        </w:r>
        <w:r w:rsidR="00797A64" w:rsidRPr="00315F60">
          <w:rPr>
            <w:webHidden/>
          </w:rPr>
        </w:r>
        <w:r w:rsidR="00797A64" w:rsidRPr="00315F60">
          <w:rPr>
            <w:webHidden/>
          </w:rPr>
          <w:fldChar w:fldCharType="separate"/>
        </w:r>
        <w:r w:rsidR="00797A64" w:rsidRPr="00315F60">
          <w:rPr>
            <w:webHidden/>
          </w:rPr>
          <w:t>65</w:t>
        </w:r>
        <w:r w:rsidR="00797A64" w:rsidRPr="00315F60">
          <w:rPr>
            <w:webHidden/>
          </w:rPr>
          <w:fldChar w:fldCharType="end"/>
        </w:r>
      </w:hyperlink>
    </w:p>
    <w:p w:rsidR="00797A64" w:rsidRPr="00315F60" w:rsidRDefault="00913F96">
      <w:pPr>
        <w:pStyle w:val="TOC1"/>
        <w:rPr>
          <w:rFonts w:asciiTheme="minorHAnsi" w:eastAsiaTheme="minorEastAsia" w:hAnsiTheme="minorHAnsi"/>
          <w:lang w:eastAsia="en-AU"/>
        </w:rPr>
      </w:pPr>
      <w:hyperlink w:anchor="_Toc26979146" w:history="1">
        <w:r w:rsidR="00797A64" w:rsidRPr="00315F60">
          <w:rPr>
            <w:rStyle w:val="Hyperlink"/>
          </w:rPr>
          <w:t>Appendix E : Approach to modelling data</w:t>
        </w:r>
        <w:r w:rsidR="00797A64" w:rsidRPr="00315F60">
          <w:rPr>
            <w:webHidden/>
          </w:rPr>
          <w:tab/>
        </w:r>
        <w:r w:rsidR="00797A64" w:rsidRPr="00315F60">
          <w:rPr>
            <w:webHidden/>
          </w:rPr>
          <w:fldChar w:fldCharType="begin"/>
        </w:r>
        <w:r w:rsidR="00797A64" w:rsidRPr="00315F60">
          <w:rPr>
            <w:webHidden/>
          </w:rPr>
          <w:instrText xml:space="preserve"> PAGEREF _Toc26979146 \h </w:instrText>
        </w:r>
        <w:r w:rsidR="00797A64" w:rsidRPr="00315F60">
          <w:rPr>
            <w:webHidden/>
          </w:rPr>
        </w:r>
        <w:r w:rsidR="00797A64" w:rsidRPr="00315F60">
          <w:rPr>
            <w:webHidden/>
          </w:rPr>
          <w:fldChar w:fldCharType="separate"/>
        </w:r>
        <w:r w:rsidR="00797A64" w:rsidRPr="00315F60">
          <w:rPr>
            <w:webHidden/>
          </w:rPr>
          <w:t>67</w:t>
        </w:r>
        <w:r w:rsidR="00797A64" w:rsidRPr="00315F60">
          <w:rPr>
            <w:webHidden/>
          </w:rPr>
          <w:fldChar w:fldCharType="end"/>
        </w:r>
      </w:hyperlink>
    </w:p>
    <w:p w:rsidR="0062660C" w:rsidRPr="00315F60" w:rsidRDefault="003E201D" w:rsidP="0093030E">
      <w:pPr>
        <w:pStyle w:val="BodyText"/>
      </w:pPr>
      <w:r w:rsidRPr="00315F60">
        <w:fldChar w:fldCharType="end"/>
      </w:r>
    </w:p>
    <w:p w:rsidR="0062660C" w:rsidRPr="00315F60" w:rsidRDefault="0062660C" w:rsidP="0093030E">
      <w:pPr>
        <w:pStyle w:val="BodyText"/>
        <w:sectPr w:rsidR="0062660C" w:rsidRPr="00315F60" w:rsidSect="00013847">
          <w:headerReference w:type="even" r:id="rId18"/>
          <w:headerReference w:type="default" r:id="rId19"/>
          <w:headerReference w:type="first" r:id="rId20"/>
          <w:pgSz w:w="11906" w:h="16838"/>
          <w:pgMar w:top="1418" w:right="1418" w:bottom="1418" w:left="1560" w:header="709" w:footer="709" w:gutter="0"/>
          <w:pgNumType w:fmt="lowerRoman"/>
          <w:cols w:space="708"/>
          <w:docGrid w:linePitch="360"/>
        </w:sectPr>
      </w:pPr>
    </w:p>
    <w:p w:rsidR="00366547" w:rsidRPr="00315F60" w:rsidRDefault="0034486D" w:rsidP="00EF6B6C">
      <w:pPr>
        <w:pStyle w:val="HeadingLevel1NoNumber"/>
        <w:rPr>
          <w:color w:val="auto"/>
        </w:rPr>
      </w:pPr>
      <w:bookmarkStart w:id="1" w:name="_Toc26979122"/>
      <w:bookmarkStart w:id="2" w:name="_Toc499818025"/>
      <w:bookmarkStart w:id="3" w:name="_Toc8905093"/>
      <w:bookmarkStart w:id="4" w:name="_Toc450138051"/>
      <w:bookmarkStart w:id="5" w:name="_Toc450296014"/>
      <w:r w:rsidRPr="00315F60">
        <w:rPr>
          <w:color w:val="auto"/>
        </w:rPr>
        <w:lastRenderedPageBreak/>
        <w:t>Glossary</w:t>
      </w:r>
      <w:bookmarkEnd w:id="1"/>
    </w:p>
    <w:tbl>
      <w:tblPr>
        <w:tblStyle w:val="TableGridKPMGBlue"/>
        <w:tblW w:w="5000" w:type="pct"/>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Description w:val="This table provides a glossary of key terms within this report and their definition. "/>
      </w:tblPr>
      <w:tblGrid>
        <w:gridCol w:w="2647"/>
        <w:gridCol w:w="6423"/>
      </w:tblGrid>
      <w:tr w:rsidR="00315F60" w:rsidRPr="00315F60" w:rsidTr="00315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shd w:val="clear" w:color="auto" w:fill="000000" w:themeFill="text1"/>
          </w:tcPr>
          <w:p w:rsidR="00366547" w:rsidRPr="00315F60" w:rsidRDefault="0034486D" w:rsidP="0093030E">
            <w:pPr>
              <w:pStyle w:val="Tableheading"/>
              <w:rPr>
                <w:color w:val="auto"/>
              </w:rPr>
            </w:pPr>
            <w:r w:rsidRPr="00315F60">
              <w:rPr>
                <w:color w:val="auto"/>
              </w:rPr>
              <w:t>Terms</w:t>
            </w:r>
          </w:p>
        </w:tc>
        <w:tc>
          <w:tcPr>
            <w:tcW w:w="3541" w:type="pct"/>
            <w:shd w:val="clear" w:color="auto" w:fill="000000" w:themeFill="text1"/>
          </w:tcPr>
          <w:p w:rsidR="00366547" w:rsidRPr="00315F60" w:rsidRDefault="00366547" w:rsidP="0093030E">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Definition</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Aged Care Quality and Safety Commission (the Commission)</w:t>
            </w:r>
          </w:p>
        </w:tc>
        <w:tc>
          <w:tcPr>
            <w:tcW w:w="3541" w:type="pct"/>
          </w:tcPr>
          <w:p w:rsidR="002B2522" w:rsidRPr="00315F60" w:rsidRDefault="002B2522" w:rsidP="001952BF">
            <w:pPr>
              <w:pStyle w:val="Tabletext"/>
              <w:cnfStyle w:val="000000000000" w:firstRow="0" w:lastRow="0" w:firstColumn="0" w:lastColumn="0" w:oddVBand="0" w:evenVBand="0" w:oddHBand="0" w:evenHBand="0" w:firstRowFirstColumn="0" w:firstRowLastColumn="0" w:lastRowFirstColumn="0" w:lastRowLastColumn="0"/>
            </w:pPr>
            <w:r w:rsidRPr="00315F60">
              <w:rPr>
                <w:shd w:val="clear" w:color="auto" w:fill="FFFFFF"/>
              </w:rPr>
              <w:t xml:space="preserve">The Commission independently accredit, assess and monitor aged care services subsidised by the </w:t>
            </w:r>
            <w:r w:rsidR="001952BF" w:rsidRPr="00315F60">
              <w:rPr>
                <w:shd w:val="clear" w:color="auto" w:fill="FFFFFF"/>
              </w:rPr>
              <w:t xml:space="preserve">Commonwealth </w:t>
            </w:r>
            <w:r w:rsidRPr="00315F60">
              <w:rPr>
                <w:shd w:val="clear" w:color="auto" w:fill="FFFFFF"/>
              </w:rPr>
              <w:t>Government. </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Aged Care Quality Standards (the Standards)</w:t>
            </w:r>
          </w:p>
        </w:tc>
        <w:tc>
          <w:tcPr>
            <w:tcW w:w="3541" w:type="pct"/>
          </w:tcPr>
          <w:p w:rsidR="002B2522" w:rsidRPr="00315F60" w:rsidRDefault="002B2522" w:rsidP="0093030E">
            <w:pPr>
              <w:pStyle w:val="Tabletext"/>
              <w:cnfStyle w:val="000000000000" w:firstRow="0" w:lastRow="0" w:firstColumn="0" w:lastColumn="0" w:oddVBand="0" w:evenVBand="0" w:oddHBand="0" w:evenHBand="0" w:firstRowFirstColumn="0" w:firstRowLastColumn="0" w:lastRowFirstColumn="0" w:lastRowLastColumn="0"/>
            </w:pPr>
            <w:r w:rsidRPr="00315F60">
              <w:t>Organisations providing Commonwealth subsidised aged care services are required to comply with the Standards. Organisations are assessed and must be able to provide evidence of their compliance with and performance against the Standards.</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Aged Care Act 1997 (the Act)</w:t>
            </w:r>
          </w:p>
        </w:tc>
        <w:tc>
          <w:tcPr>
            <w:tcW w:w="3541" w:type="pct"/>
          </w:tcPr>
          <w:p w:rsidR="002B2522" w:rsidRPr="00315F60" w:rsidRDefault="002B2522" w:rsidP="001952BF">
            <w:pPr>
              <w:pStyle w:val="Tabletext"/>
              <w:cnfStyle w:val="000000000000" w:firstRow="0" w:lastRow="0" w:firstColumn="0" w:lastColumn="0" w:oddVBand="0" w:evenVBand="0" w:oddHBand="0" w:evenHBand="0" w:firstRowFirstColumn="0" w:firstRowLastColumn="0" w:lastRowFirstColumn="0" w:lastRowLastColumn="0"/>
            </w:pPr>
            <w:r w:rsidRPr="00315F60">
              <w:t xml:space="preserve">Outlines </w:t>
            </w:r>
            <w:r w:rsidRPr="00315F60">
              <w:rPr>
                <w:shd w:val="clear" w:color="auto" w:fill="FFFFFF"/>
              </w:rPr>
              <w:t xml:space="preserve">the responsibilities of approved providers and the standards they must meet when delivering </w:t>
            </w:r>
            <w:r w:rsidR="001952BF" w:rsidRPr="00315F60">
              <w:rPr>
                <w:shd w:val="clear" w:color="auto" w:fill="FFFFFF"/>
              </w:rPr>
              <w:t xml:space="preserve">aged </w:t>
            </w:r>
            <w:r w:rsidRPr="00315F60">
              <w:rPr>
                <w:shd w:val="clear" w:color="auto" w:fill="FFFFFF"/>
              </w:rPr>
              <w:t>care services.</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Aged care service</w:t>
            </w:r>
            <w:r w:rsidR="00837C0C" w:rsidRPr="00315F60">
              <w:t xml:space="preserve"> (service)</w:t>
            </w:r>
          </w:p>
        </w:tc>
        <w:tc>
          <w:tcPr>
            <w:tcW w:w="3541" w:type="pct"/>
          </w:tcPr>
          <w:p w:rsidR="002B2522" w:rsidRPr="00315F60" w:rsidRDefault="00890AE6" w:rsidP="0093030E">
            <w:pPr>
              <w:pStyle w:val="Tabletext"/>
              <w:cnfStyle w:val="000000000000" w:firstRow="0" w:lastRow="0" w:firstColumn="0" w:lastColumn="0" w:oddVBand="0" w:evenVBand="0" w:oddHBand="0" w:evenHBand="0" w:firstRowFirstColumn="0" w:firstRowLastColumn="0" w:lastRowFirstColumn="0" w:lastRowLastColumn="0"/>
            </w:pPr>
            <w:r w:rsidRPr="00315F60">
              <w:t>A care facility that provides residential aged care.</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Approved provider</w:t>
            </w:r>
          </w:p>
        </w:tc>
        <w:tc>
          <w:tcPr>
            <w:tcW w:w="3541" w:type="pct"/>
          </w:tcPr>
          <w:p w:rsidR="002B2522" w:rsidRPr="00315F60" w:rsidRDefault="002B2522" w:rsidP="0093030E">
            <w:pPr>
              <w:pStyle w:val="Tabletext"/>
              <w:cnfStyle w:val="000000000000" w:firstRow="0" w:lastRow="0" w:firstColumn="0" w:lastColumn="0" w:oddVBand="0" w:evenVBand="0" w:oddHBand="0" w:evenHBand="0" w:firstRowFirstColumn="0" w:firstRowLastColumn="0" w:lastRowFirstColumn="0" w:lastRowLastColumn="0"/>
            </w:pPr>
            <w:r w:rsidRPr="00315F60">
              <w:t>An approved provider receives subsidies for the delivery of aged care to care recipients and is responsible for making decisions about the delivery of quality care to care recipients, the financial management of subsidies and for managing care recipients</w:t>
            </w:r>
            <w:r w:rsidR="001952BF" w:rsidRPr="00315F60">
              <w:t>’</w:t>
            </w:r>
            <w:r w:rsidRPr="00315F60">
              <w:t xml:space="preserve"> fees and payments.</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GEN Aged Care</w:t>
            </w:r>
          </w:p>
        </w:tc>
        <w:tc>
          <w:tcPr>
            <w:tcW w:w="3541" w:type="pct"/>
          </w:tcPr>
          <w:p w:rsidR="002B2522" w:rsidRPr="00315F60" w:rsidRDefault="002B2522" w:rsidP="0093030E">
            <w:pPr>
              <w:pStyle w:val="Tabletext"/>
              <w:cnfStyle w:val="000000000000" w:firstRow="0" w:lastRow="0" w:firstColumn="0" w:lastColumn="0" w:oddVBand="0" w:evenVBand="0" w:oddHBand="0" w:evenHBand="0" w:firstRowFirstColumn="0" w:firstRowLastColumn="0" w:lastRowFirstColumn="0" w:lastRowLastColumn="0"/>
            </w:pPr>
            <w:r w:rsidRPr="00315F60">
              <w:t>Comprehensive platform for data and information about aged care services in Australia. It reports on capacity and activity in the aged care system focusing on the people, their care assessments and the services they use.</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Organisation or service</w:t>
            </w:r>
          </w:p>
        </w:tc>
        <w:tc>
          <w:tcPr>
            <w:tcW w:w="3541" w:type="pct"/>
          </w:tcPr>
          <w:p w:rsidR="002B2522" w:rsidRPr="00315F60" w:rsidRDefault="002B2522" w:rsidP="0093030E">
            <w:pPr>
              <w:pStyle w:val="Tabletext"/>
              <w:cnfStyle w:val="000000000000" w:firstRow="0" w:lastRow="0" w:firstColumn="0" w:lastColumn="0" w:oddVBand="0" w:evenVBand="0" w:oddHBand="0" w:evenHBand="0" w:firstRowFirstColumn="0" w:firstRowLastColumn="0" w:lastRowFirstColumn="0" w:lastRowLastColumn="0"/>
            </w:pPr>
            <w:r w:rsidRPr="00315F60">
              <w:t>This report refers to organisations (or services) providing residential</w:t>
            </w:r>
            <w:r w:rsidR="00A75F38" w:rsidRPr="00315F60">
              <w:t xml:space="preserve"> aged</w:t>
            </w:r>
            <w:r w:rsidRPr="00315F60">
              <w:t xml:space="preserve"> care.</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Reportable assaults</w:t>
            </w:r>
          </w:p>
        </w:tc>
        <w:tc>
          <w:tcPr>
            <w:tcW w:w="3541" w:type="pct"/>
          </w:tcPr>
          <w:p w:rsidR="002B2522" w:rsidRPr="00315F60" w:rsidRDefault="002B2522" w:rsidP="0093030E">
            <w:pPr>
              <w:pStyle w:val="Tabletext"/>
              <w:cnfStyle w:val="000000000000" w:firstRow="0" w:lastRow="0" w:firstColumn="0" w:lastColumn="0" w:oddVBand="0" w:evenVBand="0" w:oddHBand="0" w:evenHBand="0" w:firstRowFirstColumn="0" w:firstRowLastColumn="0" w:lastRowFirstColumn="0" w:lastRowLastColumn="0"/>
            </w:pPr>
            <w:r w:rsidRPr="00315F60">
              <w:t xml:space="preserve">Defined as unlawful sexual contact and unreasonable use of force. </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Resident</w:t>
            </w:r>
          </w:p>
        </w:tc>
        <w:tc>
          <w:tcPr>
            <w:tcW w:w="3541" w:type="pct"/>
          </w:tcPr>
          <w:p w:rsidR="002B2522" w:rsidRPr="00315F60" w:rsidRDefault="002B2522" w:rsidP="0093030E">
            <w:pPr>
              <w:pStyle w:val="Tabletext"/>
              <w:cnfStyle w:val="000000000000" w:firstRow="0" w:lastRow="0" w:firstColumn="0" w:lastColumn="0" w:oddVBand="0" w:evenVBand="0" w:oddHBand="0" w:evenHBand="0" w:firstRowFirstColumn="0" w:firstRowLastColumn="0" w:lastRowFirstColumn="0" w:lastRowLastColumn="0"/>
            </w:pPr>
            <w:r w:rsidRPr="00315F60">
              <w:t xml:space="preserve">Resident </w:t>
            </w:r>
            <w:r w:rsidR="0034486D" w:rsidRPr="00315F60">
              <w:t xml:space="preserve">is </w:t>
            </w:r>
            <w:r w:rsidRPr="00315F60">
              <w:t>a person to whom an organisation provides or is to provide care through an aged care service.</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Unlawful sexual contact</w:t>
            </w:r>
          </w:p>
        </w:tc>
        <w:tc>
          <w:tcPr>
            <w:tcW w:w="3541" w:type="pct"/>
          </w:tcPr>
          <w:p w:rsidR="002B2522" w:rsidRPr="00315F60" w:rsidRDefault="002B2522" w:rsidP="0093030E">
            <w:pPr>
              <w:pStyle w:val="Tabletext"/>
              <w:cnfStyle w:val="000000000000" w:firstRow="0" w:lastRow="0" w:firstColumn="0" w:lastColumn="0" w:oddVBand="0" w:evenVBand="0" w:oddHBand="0" w:evenHBand="0" w:firstRowFirstColumn="0" w:firstRowLastColumn="0" w:lastRowFirstColumn="0" w:lastRowLastColumn="0"/>
            </w:pPr>
            <w:r w:rsidRPr="00315F60">
              <w:t xml:space="preserve">Non-consensual sexual contact involving residents in </w:t>
            </w:r>
            <w:r w:rsidR="00612376" w:rsidRPr="00315F60">
              <w:t xml:space="preserve">residential </w:t>
            </w:r>
            <w:r w:rsidRPr="00315F60">
              <w:t>aged care facilities. Where the contact involves residents with an assessed cognitive or mental impairment, the resident may not have the ability to provide informed consent.</w:t>
            </w:r>
          </w:p>
        </w:tc>
      </w:tr>
      <w:tr w:rsidR="00315F60" w:rsidRPr="00315F60" w:rsidTr="00FA0BA9">
        <w:trPr>
          <w:trHeight w:val="312"/>
        </w:trPr>
        <w:tc>
          <w:tcPr>
            <w:cnfStyle w:val="001000000000" w:firstRow="0" w:lastRow="0" w:firstColumn="1" w:lastColumn="0" w:oddVBand="0" w:evenVBand="0" w:oddHBand="0" w:evenHBand="0" w:firstRowFirstColumn="0" w:firstRowLastColumn="0" w:lastRowFirstColumn="0" w:lastRowLastColumn="0"/>
            <w:tcW w:w="1459" w:type="pct"/>
            <w:shd w:val="clear" w:color="auto" w:fill="F2F2F2" w:themeFill="background1" w:themeFillShade="F2"/>
          </w:tcPr>
          <w:p w:rsidR="002B2522" w:rsidRPr="00315F60" w:rsidRDefault="002B2522" w:rsidP="0093030E">
            <w:pPr>
              <w:pStyle w:val="Tabletext"/>
            </w:pPr>
            <w:r w:rsidRPr="00315F60">
              <w:t>Unreasonable use of force</w:t>
            </w:r>
          </w:p>
        </w:tc>
        <w:tc>
          <w:tcPr>
            <w:tcW w:w="3541" w:type="pct"/>
          </w:tcPr>
          <w:p w:rsidR="002B2522" w:rsidRPr="00315F60" w:rsidRDefault="002B2522" w:rsidP="0093030E">
            <w:pPr>
              <w:pStyle w:val="Tabletext"/>
              <w:cnfStyle w:val="000000000000" w:firstRow="0" w:lastRow="0" w:firstColumn="0" w:lastColumn="0" w:oddVBand="0" w:evenVBand="0" w:oddHBand="0" w:evenHBand="0" w:firstRowFirstColumn="0" w:firstRowLastColumn="0" w:lastRowFirstColumn="0" w:lastRowLastColumn="0"/>
            </w:pPr>
            <w:r w:rsidRPr="00315F60">
              <w:t>Assaults ranging from deliberate and violent physical attacks on residents to the use of unwarranted physical force on a resident. This may include hitting, punching or kicking a resident regardless of whether this causes visible harm, such as bruising.</w:t>
            </w:r>
          </w:p>
        </w:tc>
      </w:tr>
    </w:tbl>
    <w:p w:rsidR="00F24C36" w:rsidRPr="00315F60" w:rsidRDefault="00F24C36" w:rsidP="0093030E">
      <w:pPr>
        <w:pStyle w:val="BodyText"/>
        <w:sectPr w:rsidR="00F24C36" w:rsidRPr="00315F60" w:rsidSect="0093030E">
          <w:headerReference w:type="default" r:id="rId21"/>
          <w:pgSz w:w="11906" w:h="16838"/>
          <w:pgMar w:top="1418" w:right="1418" w:bottom="1418" w:left="1418" w:header="709" w:footer="453" w:gutter="0"/>
          <w:pgNumType w:start="1"/>
          <w:cols w:space="708"/>
          <w:docGrid w:linePitch="360"/>
        </w:sectPr>
      </w:pPr>
    </w:p>
    <w:p w:rsidR="00F24C36" w:rsidRPr="00315F60" w:rsidRDefault="00F24C36" w:rsidP="009F1F87">
      <w:pPr>
        <w:pStyle w:val="Heading1"/>
        <w:numPr>
          <w:ilvl w:val="0"/>
          <w:numId w:val="0"/>
        </w:numPr>
        <w:rPr>
          <w:color w:val="auto"/>
        </w:rPr>
      </w:pPr>
      <w:bookmarkStart w:id="6" w:name="_Toc26979123"/>
      <w:r w:rsidRPr="00315F60">
        <w:rPr>
          <w:color w:val="auto"/>
        </w:rPr>
        <w:lastRenderedPageBreak/>
        <w:t>Executive Summary</w:t>
      </w:r>
      <w:bookmarkEnd w:id="6"/>
    </w:p>
    <w:p w:rsidR="00630964" w:rsidRPr="00315F60" w:rsidRDefault="00630964" w:rsidP="002E7D8E">
      <w:pPr>
        <w:pStyle w:val="HeadingLevel2NoNumber"/>
        <w:rPr>
          <w:color w:val="auto"/>
        </w:rPr>
      </w:pPr>
      <w:bookmarkStart w:id="7" w:name="_Toc26979124"/>
      <w:r w:rsidRPr="00315F60">
        <w:rPr>
          <w:color w:val="auto"/>
        </w:rPr>
        <w:t>Project context</w:t>
      </w:r>
      <w:bookmarkEnd w:id="7"/>
    </w:p>
    <w:p w:rsidR="00630964" w:rsidRPr="00315F60" w:rsidRDefault="00630964" w:rsidP="00630964">
      <w:pPr>
        <w:pStyle w:val="BodyText0"/>
        <w:jc w:val="both"/>
      </w:pPr>
      <w:r w:rsidRPr="00315F60">
        <w:t>Elder abuse in Australia has become more visible and its prevalence appears to be growing. Estimates indicate that between two and 14 per cent of older people experience abuse.</w:t>
      </w:r>
      <w:r w:rsidRPr="00315F60">
        <w:rPr>
          <w:rStyle w:val="FootnoteReference"/>
          <w:sz w:val="20"/>
        </w:rPr>
        <w:footnoteReference w:id="1"/>
      </w:r>
      <w:r w:rsidR="001952BF" w:rsidRPr="00315F60">
        <w:rPr>
          <w:sz w:val="24"/>
        </w:rPr>
        <w:t xml:space="preserve"> </w:t>
      </w:r>
      <w:r w:rsidRPr="00315F60">
        <w:t>There is limited research on the incidence of elder abuse in Commonwealth-funded aged care. However, older people in residential aged care settings are particularly vulnerable to abuse as they tend to be frailer and dependent on others to provide care.</w:t>
      </w:r>
      <w:r w:rsidRPr="00315F60">
        <w:rPr>
          <w:rStyle w:val="FootnoteReference"/>
          <w:sz w:val="20"/>
        </w:rPr>
        <w:footnoteReference w:id="2"/>
      </w:r>
      <w:r w:rsidRPr="00315F60">
        <w:t xml:space="preserve"> </w:t>
      </w:r>
    </w:p>
    <w:p w:rsidR="00630964" w:rsidRPr="00315F60" w:rsidRDefault="00630964" w:rsidP="00411FCA">
      <w:pPr>
        <w:pStyle w:val="Bullet1stlevel"/>
        <w:numPr>
          <w:ilvl w:val="0"/>
          <w:numId w:val="0"/>
        </w:numPr>
      </w:pPr>
      <w:r w:rsidRPr="00315F60">
        <w:t xml:space="preserve">Safeguards are currently in place to protect older people in residential aged care from abuse. Existing provisions in the </w:t>
      </w:r>
      <w:r w:rsidRPr="00315F60">
        <w:rPr>
          <w:i/>
        </w:rPr>
        <w:t>Aged Care Act 1997</w:t>
      </w:r>
      <w:r w:rsidRPr="00315F60">
        <w:t xml:space="preserve"> (the Act) require approved providers of residential aged care to report an allegation, or a suspicion, of a ‘reportable assault’ on a resident.</w:t>
      </w:r>
      <w:r w:rsidRPr="00315F60">
        <w:rPr>
          <w:rStyle w:val="FootnoteReference"/>
          <w:sz w:val="20"/>
        </w:rPr>
        <w:footnoteReference w:id="3"/>
      </w:r>
      <w:r w:rsidRPr="00315F60">
        <w:t xml:space="preserve"> However</w:t>
      </w:r>
      <w:r w:rsidR="00F710EA" w:rsidRPr="00315F60">
        <w:t>,</w:t>
      </w:r>
      <w:r w:rsidRPr="00315F60">
        <w:t xml:space="preserve"> a number of inquiries and reviews have highlighted issues related to the current reportable assaults arrangements, including that the exemptions relating to the reporting of </w:t>
      </w:r>
      <w:r w:rsidR="004C4435" w:rsidRPr="00315F60">
        <w:t>resident on resident</w:t>
      </w:r>
      <w:r w:rsidR="009541EA" w:rsidRPr="00315F60">
        <w:t xml:space="preserve"> violence when the resident has cognitive impairment, </w:t>
      </w:r>
      <w:r w:rsidRPr="00315F60">
        <w:t xml:space="preserve">may not be effective in ensuring a violence and abuse-free environment for residents. Both the </w:t>
      </w:r>
      <w:r w:rsidR="00837C0C" w:rsidRPr="00315F60">
        <w:t>Australian Law Reform Commission (ALRC) 2017 report, Elder Abuse – a National Legal Response (ALRC report)</w:t>
      </w:r>
      <w:r w:rsidR="00F710EA" w:rsidRPr="00315F60">
        <w:t>,</w:t>
      </w:r>
      <w:r w:rsidR="00837C0C" w:rsidRPr="00315F60">
        <w:t xml:space="preserve"> and the Review of National Aged Care Quality Regulation Report (Carnell-Paterson Review)</w:t>
      </w:r>
      <w:r w:rsidRPr="00315F60">
        <w:t xml:space="preserve"> recommended that a new Serious Incident Response Scheme (SIRS or Scheme) be implemented.</w:t>
      </w:r>
      <w:r w:rsidRPr="00315F60">
        <w:rPr>
          <w:rStyle w:val="FootnoteReference"/>
          <w:sz w:val="20"/>
        </w:rPr>
        <w:footnoteReference w:id="4"/>
      </w:r>
      <w:r w:rsidR="001952BF" w:rsidRPr="00315F60">
        <w:t xml:space="preserve"> </w:t>
      </w:r>
    </w:p>
    <w:p w:rsidR="00630964" w:rsidRPr="00315F60" w:rsidRDefault="00630964" w:rsidP="00630964">
      <w:pPr>
        <w:pStyle w:val="BodyText0"/>
        <w:jc w:val="both"/>
      </w:pPr>
      <w:r w:rsidRPr="00315F60">
        <w:t xml:space="preserve">In response to this recommendation, the </w:t>
      </w:r>
      <w:r w:rsidR="00F710EA" w:rsidRPr="00315F60">
        <w:t xml:space="preserve">Commonwealth </w:t>
      </w:r>
      <w:r w:rsidRPr="00315F60">
        <w:t xml:space="preserve">Government announced in the 2018-19 Budget that it would develop options for a SIRS, in consultation with the aged care sector. </w:t>
      </w:r>
    </w:p>
    <w:p w:rsidR="00630964" w:rsidRPr="00315F60" w:rsidRDefault="00630964" w:rsidP="00630964">
      <w:pPr>
        <w:pStyle w:val="BodyText0"/>
        <w:jc w:val="both"/>
      </w:pPr>
      <w:r w:rsidRPr="00315F60">
        <w:t xml:space="preserve">During 2018, options for a SIRS were developed </w:t>
      </w:r>
      <w:r w:rsidR="00837C0C" w:rsidRPr="00315F60">
        <w:t xml:space="preserve">by KPMG </w:t>
      </w:r>
      <w:r w:rsidRPr="00315F60">
        <w:t>in consultation with the aged care sector to resolve the issues presented in the ALRC report, including one to introduce a SIRS that includes aggression and abuse between residents in residential aged care and removes current exemptions that apply to residents with cognitive impairment.</w:t>
      </w:r>
    </w:p>
    <w:p w:rsidR="00630964" w:rsidRPr="00315F60" w:rsidRDefault="00630964" w:rsidP="00630964">
      <w:pPr>
        <w:pStyle w:val="BodyText0"/>
        <w:jc w:val="both"/>
      </w:pPr>
      <w:r w:rsidRPr="00315F60">
        <w:t xml:space="preserve">The 2018 report recommended that the Department investigate the prevalence of such incidents, including the nature and severity of these incidents, to assist in the establishment of a SIRS and setting </w:t>
      </w:r>
      <w:r w:rsidR="004C4435" w:rsidRPr="00315F60">
        <w:t xml:space="preserve">of </w:t>
      </w:r>
      <w:r w:rsidRPr="00315F60">
        <w:t>a threshold which will support safeguarding of older Australians in residential aged care.</w:t>
      </w:r>
      <w:r w:rsidR="00A26E32" w:rsidRPr="00315F60">
        <w:rPr>
          <w:rStyle w:val="FootnoteReference"/>
          <w:sz w:val="20"/>
        </w:rPr>
        <w:footnoteReference w:id="5"/>
      </w:r>
      <w:r w:rsidRPr="00315F60">
        <w:t xml:space="preserve"> </w:t>
      </w:r>
    </w:p>
    <w:p w:rsidR="00630964" w:rsidRPr="00315F60" w:rsidRDefault="00630964" w:rsidP="002F54AD">
      <w:pPr>
        <w:pStyle w:val="HeadingLevel4NoNumber"/>
        <w:rPr>
          <w:color w:val="auto"/>
        </w:rPr>
      </w:pPr>
      <w:r w:rsidRPr="00315F60">
        <w:rPr>
          <w:color w:val="auto"/>
        </w:rPr>
        <w:t xml:space="preserve">Scope </w:t>
      </w:r>
    </w:p>
    <w:p w:rsidR="00630964" w:rsidRPr="00315F60" w:rsidRDefault="00630964" w:rsidP="00630964">
      <w:pPr>
        <w:pStyle w:val="BodyText0"/>
        <w:jc w:val="both"/>
      </w:pPr>
      <w:r w:rsidRPr="00315F60">
        <w:t>KPMG was engaged by the Commonwealth Department of Health (the Department) to undertake research on the prevalence of resident</w:t>
      </w:r>
      <w:r w:rsidR="004C4435" w:rsidRPr="00315F60">
        <w:t xml:space="preserve"> </w:t>
      </w:r>
      <w:r w:rsidRPr="00315F60">
        <w:t>on</w:t>
      </w:r>
      <w:r w:rsidR="004C4435" w:rsidRPr="00315F60">
        <w:t xml:space="preserve"> </w:t>
      </w:r>
      <w:r w:rsidRPr="00315F60">
        <w:t>resident incidents in residential aged care nationally (the study). The purpose of this study was to understand resident</w:t>
      </w:r>
      <w:r w:rsidR="004C4435" w:rsidRPr="00315F60">
        <w:t xml:space="preserve"> </w:t>
      </w:r>
      <w:r w:rsidRPr="00315F60">
        <w:t>on</w:t>
      </w:r>
      <w:r w:rsidR="004C4435" w:rsidRPr="00315F60">
        <w:t xml:space="preserve"> </w:t>
      </w:r>
      <w:r w:rsidRPr="00315F60">
        <w:t>resident incidents that are exempt from reporting, including to:</w:t>
      </w:r>
    </w:p>
    <w:p w:rsidR="00630964" w:rsidRPr="00315F60" w:rsidRDefault="00630964" w:rsidP="00411FCA">
      <w:pPr>
        <w:pStyle w:val="Bullet1stlevel"/>
      </w:pPr>
      <w:r w:rsidRPr="00315F60">
        <w:lastRenderedPageBreak/>
        <w:t>Collect data on the volume and nature of resident</w:t>
      </w:r>
      <w:r w:rsidR="0028709D" w:rsidRPr="00315F60">
        <w:t xml:space="preserve"> </w:t>
      </w:r>
      <w:r w:rsidRPr="00315F60">
        <w:t>on</w:t>
      </w:r>
      <w:r w:rsidR="0028709D" w:rsidRPr="00315F60">
        <w:t xml:space="preserve"> </w:t>
      </w:r>
      <w:r w:rsidRPr="00315F60">
        <w:t>resident incidents that are exempt from reporting in residential aged care</w:t>
      </w:r>
    </w:p>
    <w:p w:rsidR="00630964" w:rsidRPr="00315F60" w:rsidRDefault="00630964" w:rsidP="00411FCA">
      <w:pPr>
        <w:pStyle w:val="Bullet1stlevel"/>
      </w:pPr>
      <w:r w:rsidRPr="00315F60">
        <w:t>Using the data collected, model the national prevalence of resident</w:t>
      </w:r>
      <w:r w:rsidR="004C4435" w:rsidRPr="00315F60">
        <w:t xml:space="preserve"> </w:t>
      </w:r>
      <w:r w:rsidRPr="00315F60">
        <w:t>on</w:t>
      </w:r>
      <w:r w:rsidR="004C4435" w:rsidRPr="00315F60">
        <w:t xml:space="preserve"> </w:t>
      </w:r>
      <w:r w:rsidRPr="00315F60">
        <w:t>resident incidents that are exempt from being reported to the Department</w:t>
      </w:r>
    </w:p>
    <w:p w:rsidR="00630964" w:rsidRPr="00315F60" w:rsidRDefault="00630964" w:rsidP="00411FCA">
      <w:pPr>
        <w:pStyle w:val="Bullet1stlevel"/>
      </w:pPr>
      <w:r w:rsidRPr="00315F60">
        <w:t>On the basis of this modelling, provide information and findings to the Department to inform the scope of resident</w:t>
      </w:r>
      <w:r w:rsidR="0028709D" w:rsidRPr="00315F60">
        <w:t xml:space="preserve"> </w:t>
      </w:r>
      <w:r w:rsidRPr="00315F60">
        <w:t>on</w:t>
      </w:r>
      <w:r w:rsidR="0028709D" w:rsidRPr="00315F60">
        <w:t xml:space="preserve"> </w:t>
      </w:r>
      <w:r w:rsidRPr="00315F60">
        <w:t xml:space="preserve">resident incidents that are captured in a SIRS. </w:t>
      </w:r>
    </w:p>
    <w:p w:rsidR="000C6F01" w:rsidRPr="00315F60" w:rsidRDefault="000C6F01" w:rsidP="000C6F01">
      <w:pPr>
        <w:jc w:val="both"/>
      </w:pPr>
      <w:r w:rsidRPr="00315F60">
        <w:t>Due to the complexity of the study and constrained timeframes in gathering data, a number of data points on resident</w:t>
      </w:r>
      <w:r w:rsidR="0028709D" w:rsidRPr="00315F60">
        <w:t xml:space="preserve"> </w:t>
      </w:r>
      <w:r w:rsidRPr="00315F60">
        <w:t>on</w:t>
      </w:r>
      <w:r w:rsidR="0028709D" w:rsidRPr="00315F60">
        <w:t xml:space="preserve"> </w:t>
      </w:r>
      <w:r w:rsidRPr="00315F60">
        <w:t>resident incidents were out of scope for this study (identified in Section</w:t>
      </w:r>
      <w:r w:rsidR="006D2780" w:rsidRPr="00315F60">
        <w:t xml:space="preserve"> </w:t>
      </w:r>
      <w:r w:rsidR="006D2780" w:rsidRPr="00315F60">
        <w:fldChar w:fldCharType="begin"/>
      </w:r>
      <w:r w:rsidR="006D2780" w:rsidRPr="00315F60">
        <w:instrText xml:space="preserve"> REF _Ref23413829 \r \h </w:instrText>
      </w:r>
      <w:r w:rsidR="006D2780" w:rsidRPr="00315F60">
        <w:fldChar w:fldCharType="separate"/>
      </w:r>
      <w:r w:rsidR="004355CA" w:rsidRPr="00315F60">
        <w:t>1.2.1</w:t>
      </w:r>
      <w:r w:rsidR="006D2780" w:rsidRPr="00315F60">
        <w:fldChar w:fldCharType="end"/>
      </w:r>
      <w:r w:rsidRPr="00315F60">
        <w:t>). Other design aspects of a SIRS were also out of scope for this project, such as:</w:t>
      </w:r>
    </w:p>
    <w:p w:rsidR="000C6F01" w:rsidRPr="00315F60" w:rsidRDefault="0028709D" w:rsidP="00411FCA">
      <w:pPr>
        <w:pStyle w:val="Bullet1stlevel"/>
      </w:pPr>
      <w:r w:rsidRPr="00315F60">
        <w:t>The r</w:t>
      </w:r>
      <w:r w:rsidR="000C6F01" w:rsidRPr="00315F60">
        <w:t xml:space="preserve">oles and responsibilities of </w:t>
      </w:r>
      <w:r w:rsidR="003971E4" w:rsidRPr="00315F60">
        <w:t xml:space="preserve">Aged Care Quality and Safety Commission (the Commission) </w:t>
      </w:r>
      <w:r w:rsidR="000C6F01" w:rsidRPr="00315F60">
        <w:t>and providers</w:t>
      </w:r>
    </w:p>
    <w:p w:rsidR="000C6F01" w:rsidRPr="00315F60" w:rsidRDefault="000C6F01" w:rsidP="00411FCA">
      <w:pPr>
        <w:pStyle w:val="Bullet1stlevel"/>
      </w:pPr>
      <w:r w:rsidRPr="00315F60">
        <w:t>T</w:t>
      </w:r>
      <w:r w:rsidR="0028709D" w:rsidRPr="00315F60">
        <w:t>he t</w:t>
      </w:r>
      <w:r w:rsidRPr="00315F60">
        <w:t>hreshold set for other types of incidents</w:t>
      </w:r>
    </w:p>
    <w:p w:rsidR="000C6F01" w:rsidRPr="00315F60" w:rsidRDefault="000C6F01" w:rsidP="00411FCA">
      <w:pPr>
        <w:pStyle w:val="Bullet1stlevel"/>
      </w:pPr>
      <w:r w:rsidRPr="00315F60">
        <w:t xml:space="preserve">Other policy levers that could be used to respond to or prevent </w:t>
      </w:r>
      <w:r w:rsidR="00A75F38" w:rsidRPr="00315F60">
        <w:t>resident on resident</w:t>
      </w:r>
      <w:r w:rsidRPr="00315F60">
        <w:t xml:space="preserve"> incidents from occurring</w:t>
      </w:r>
    </w:p>
    <w:p w:rsidR="000C6F01" w:rsidRPr="00315F60" w:rsidRDefault="000C6F01" w:rsidP="00411FCA">
      <w:pPr>
        <w:pStyle w:val="Bullet1stlevel"/>
      </w:pPr>
      <w:r w:rsidRPr="00315F60">
        <w:t>How the broader quality and safety framework will complement or interface with a SIRS.</w:t>
      </w:r>
    </w:p>
    <w:p w:rsidR="00630964" w:rsidRPr="00315F60" w:rsidRDefault="00630964" w:rsidP="002E7D8E">
      <w:pPr>
        <w:pStyle w:val="HeadingLevel2NoNumber"/>
        <w:rPr>
          <w:color w:val="auto"/>
        </w:rPr>
      </w:pPr>
      <w:bookmarkStart w:id="8" w:name="_Toc26979125"/>
      <w:r w:rsidRPr="00315F60">
        <w:rPr>
          <w:color w:val="auto"/>
        </w:rPr>
        <w:t>Prevalence study methodology</w:t>
      </w:r>
      <w:bookmarkEnd w:id="8"/>
    </w:p>
    <w:p w:rsidR="00630964" w:rsidRPr="00315F60" w:rsidRDefault="00630964" w:rsidP="00630964">
      <w:pPr>
        <w:pStyle w:val="BodyText"/>
      </w:pPr>
      <w:r w:rsidRPr="00315F60">
        <w:t xml:space="preserve">The project ran from July 2019 to November 2019. The key stages of the study and the associated timeframes of these stages are summarised </w:t>
      </w:r>
      <w:r w:rsidR="00FA0BA9" w:rsidRPr="00315F60">
        <w:t xml:space="preserve">in </w:t>
      </w:r>
      <w:r w:rsidR="00FA0BA9" w:rsidRPr="00315F60">
        <w:fldChar w:fldCharType="begin"/>
      </w:r>
      <w:r w:rsidR="00FA0BA9" w:rsidRPr="00315F60">
        <w:instrText xml:space="preserve"> REF _Ref25408505 \h </w:instrText>
      </w:r>
      <w:r w:rsidR="00FA0BA9" w:rsidRPr="00315F60">
        <w:fldChar w:fldCharType="separate"/>
      </w:r>
      <w:r w:rsidR="004355CA" w:rsidRPr="00315F60">
        <w:t xml:space="preserve">Table </w:t>
      </w:r>
      <w:r w:rsidR="004355CA" w:rsidRPr="00315F60">
        <w:rPr>
          <w:noProof/>
        </w:rPr>
        <w:t>1</w:t>
      </w:r>
      <w:r w:rsidR="00FA0BA9" w:rsidRPr="00315F60">
        <w:fldChar w:fldCharType="end"/>
      </w:r>
      <w:r w:rsidRPr="00315F60">
        <w:t xml:space="preserve"> below. </w:t>
      </w:r>
    </w:p>
    <w:p w:rsidR="00630964" w:rsidRPr="00315F60" w:rsidRDefault="00630964" w:rsidP="00630964">
      <w:pPr>
        <w:pStyle w:val="Caption"/>
        <w:rPr>
          <w:color w:val="auto"/>
          <w:szCs w:val="20"/>
        </w:rPr>
      </w:pPr>
      <w:bookmarkStart w:id="9" w:name="_Ref25408505"/>
      <w:r w:rsidRPr="00315F60">
        <w:rPr>
          <w:color w:val="auto"/>
        </w:rPr>
        <w:t xml:space="preserve">Table </w:t>
      </w:r>
      <w:r w:rsidRPr="00315F60">
        <w:rPr>
          <w:noProof/>
          <w:color w:val="auto"/>
        </w:rPr>
        <w:fldChar w:fldCharType="begin"/>
      </w:r>
      <w:r w:rsidRPr="00315F60">
        <w:rPr>
          <w:noProof/>
          <w:color w:val="auto"/>
        </w:rPr>
        <w:instrText xml:space="preserve"> SEQ Table \* ARABIC </w:instrText>
      </w:r>
      <w:r w:rsidRPr="00315F60">
        <w:rPr>
          <w:noProof/>
          <w:color w:val="auto"/>
        </w:rPr>
        <w:fldChar w:fldCharType="separate"/>
      </w:r>
      <w:r w:rsidR="004355CA" w:rsidRPr="00315F60">
        <w:rPr>
          <w:noProof/>
          <w:color w:val="auto"/>
        </w:rPr>
        <w:t>1</w:t>
      </w:r>
      <w:r w:rsidRPr="00315F60">
        <w:rPr>
          <w:noProof/>
          <w:color w:val="auto"/>
        </w:rPr>
        <w:fldChar w:fldCharType="end"/>
      </w:r>
      <w:bookmarkEnd w:id="9"/>
      <w:r w:rsidRPr="00315F60">
        <w:rPr>
          <w:color w:val="auto"/>
        </w:rPr>
        <w:t>:</w:t>
      </w:r>
      <w:r w:rsidRPr="00315F60">
        <w:rPr>
          <w:color w:val="auto"/>
          <w:szCs w:val="20"/>
        </w:rPr>
        <w:t xml:space="preserve"> Summary of key stages for the prevalence study</w:t>
      </w:r>
    </w:p>
    <w:tbl>
      <w:tblPr>
        <w:tblStyle w:val="TableGridKPMGBlue"/>
        <w:tblW w:w="0" w:type="auto"/>
        <w:tblLook w:val="04A0" w:firstRow="1" w:lastRow="0" w:firstColumn="1" w:lastColumn="0" w:noHBand="0" w:noVBand="1"/>
        <w:tblDescription w:val="This table provides a summary of the key stages for the prevalence study, including a brief description of each stage and the timeframe of each stage."/>
      </w:tblPr>
      <w:tblGrid>
        <w:gridCol w:w="1737"/>
        <w:gridCol w:w="5244"/>
        <w:gridCol w:w="2079"/>
      </w:tblGrid>
      <w:tr w:rsidR="00315F60" w:rsidRPr="00315F60" w:rsidTr="00506A16">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37" w:type="dxa"/>
            <w:shd w:val="clear" w:color="auto" w:fill="000000" w:themeFill="text1"/>
          </w:tcPr>
          <w:p w:rsidR="00630964" w:rsidRPr="00315F60" w:rsidRDefault="00630964" w:rsidP="00252CA3">
            <w:pPr>
              <w:pStyle w:val="BodyText"/>
              <w:spacing w:before="130" w:after="130" w:line="276" w:lineRule="auto"/>
              <w:jc w:val="left"/>
              <w:rPr>
                <w:b/>
                <w:color w:val="auto"/>
                <w:sz w:val="18"/>
              </w:rPr>
            </w:pPr>
            <w:r w:rsidRPr="00315F60">
              <w:rPr>
                <w:b/>
                <w:color w:val="auto"/>
                <w:sz w:val="18"/>
              </w:rPr>
              <w:t>Stage</w:t>
            </w:r>
          </w:p>
        </w:tc>
        <w:tc>
          <w:tcPr>
            <w:tcW w:w="5244" w:type="dxa"/>
            <w:shd w:val="clear" w:color="auto" w:fill="000000" w:themeFill="text1"/>
          </w:tcPr>
          <w:p w:rsidR="00630964" w:rsidRPr="00315F60" w:rsidRDefault="00630964" w:rsidP="00252CA3">
            <w:pPr>
              <w:pStyle w:val="BodyText"/>
              <w:spacing w:before="130" w:after="130" w:line="276" w:lineRule="auto"/>
              <w:jc w:val="left"/>
              <w:cnfStyle w:val="100000000000" w:firstRow="1" w:lastRow="0" w:firstColumn="0" w:lastColumn="0" w:oddVBand="0" w:evenVBand="0" w:oddHBand="0" w:evenHBand="0" w:firstRowFirstColumn="0" w:firstRowLastColumn="0" w:lastRowFirstColumn="0" w:lastRowLastColumn="0"/>
              <w:rPr>
                <w:b/>
                <w:color w:val="auto"/>
                <w:sz w:val="18"/>
              </w:rPr>
            </w:pPr>
            <w:r w:rsidRPr="00315F60">
              <w:rPr>
                <w:b/>
                <w:color w:val="auto"/>
                <w:sz w:val="18"/>
              </w:rPr>
              <w:t>Detail</w:t>
            </w:r>
          </w:p>
        </w:tc>
        <w:tc>
          <w:tcPr>
            <w:tcW w:w="2079" w:type="dxa"/>
            <w:shd w:val="clear" w:color="auto" w:fill="000000" w:themeFill="text1"/>
          </w:tcPr>
          <w:p w:rsidR="00630964" w:rsidRPr="00315F60" w:rsidRDefault="00630964" w:rsidP="00252CA3">
            <w:pPr>
              <w:pStyle w:val="BodyText"/>
              <w:spacing w:before="130" w:after="130" w:line="276" w:lineRule="auto"/>
              <w:jc w:val="left"/>
              <w:cnfStyle w:val="100000000000" w:firstRow="1" w:lastRow="0" w:firstColumn="0" w:lastColumn="0" w:oddVBand="0" w:evenVBand="0" w:oddHBand="0" w:evenHBand="0" w:firstRowFirstColumn="0" w:firstRowLastColumn="0" w:lastRowFirstColumn="0" w:lastRowLastColumn="0"/>
              <w:rPr>
                <w:b/>
                <w:color w:val="auto"/>
                <w:sz w:val="18"/>
              </w:rPr>
            </w:pPr>
            <w:r w:rsidRPr="00315F60">
              <w:rPr>
                <w:b/>
                <w:color w:val="auto"/>
                <w:sz w:val="18"/>
              </w:rPr>
              <w:t>Timeframe</w:t>
            </w:r>
          </w:p>
        </w:tc>
      </w:tr>
      <w:tr w:rsidR="00315F60" w:rsidRPr="00315F60" w:rsidTr="00252CA3">
        <w:tc>
          <w:tcPr>
            <w:cnfStyle w:val="001000000000" w:firstRow="0" w:lastRow="0" w:firstColumn="1" w:lastColumn="0" w:oddVBand="0" w:evenVBand="0" w:oddHBand="0" w:evenHBand="0" w:firstRowFirstColumn="0" w:firstRowLastColumn="0" w:lastRowFirstColumn="0" w:lastRowLastColumn="0"/>
            <w:tcW w:w="1737" w:type="dxa"/>
          </w:tcPr>
          <w:p w:rsidR="00630964" w:rsidRPr="00315F60" w:rsidRDefault="00630964" w:rsidP="00F710EA">
            <w:pPr>
              <w:pStyle w:val="Tabletext"/>
            </w:pPr>
            <w:r w:rsidRPr="00315F60">
              <w:t>Development of an approach to data collection</w:t>
            </w:r>
          </w:p>
        </w:tc>
        <w:tc>
          <w:tcPr>
            <w:tcW w:w="5244" w:type="dxa"/>
          </w:tcPr>
          <w:p w:rsidR="00630964" w:rsidRPr="00315F60" w:rsidRDefault="00630964" w:rsidP="00F710EA">
            <w:pPr>
              <w:pStyle w:val="Tabletext"/>
              <w:cnfStyle w:val="000000000000" w:firstRow="0" w:lastRow="0" w:firstColumn="0" w:lastColumn="0" w:oddVBand="0" w:evenVBand="0" w:oddHBand="0" w:evenHBand="0" w:firstRowFirstColumn="0" w:firstRowLastColumn="0" w:lastRowFirstColumn="0" w:lastRowLastColumn="0"/>
            </w:pPr>
            <w:r w:rsidRPr="00315F60">
              <w:t>An approach to data collection was designed in consultation with the Department to ensure data collected could be used to inform the design of a SIRS. Components of the approach that were developed with the Department included the scope of the data collection, questions and data fields to be captured, and the time period for data collection. This stage also involved the development of the data submission tool, the recruitment of</w:t>
            </w:r>
            <w:r w:rsidR="00AD452E" w:rsidRPr="00315F60">
              <w:t xml:space="preserve"> residential aged care</w:t>
            </w:r>
            <w:r w:rsidRPr="00315F60">
              <w:t xml:space="preserve"> services, and the provision of guidance and resources to support services to participate.</w:t>
            </w:r>
          </w:p>
        </w:tc>
        <w:tc>
          <w:tcPr>
            <w:tcW w:w="2079" w:type="dxa"/>
          </w:tcPr>
          <w:p w:rsidR="00630964" w:rsidRPr="00315F60" w:rsidRDefault="00630964" w:rsidP="00F710EA">
            <w:pPr>
              <w:pStyle w:val="Tabletext"/>
              <w:cnfStyle w:val="000000000000" w:firstRow="0" w:lastRow="0" w:firstColumn="0" w:lastColumn="0" w:oddVBand="0" w:evenVBand="0" w:oddHBand="0" w:evenHBand="0" w:firstRowFirstColumn="0" w:firstRowLastColumn="0" w:lastRowFirstColumn="0" w:lastRowLastColumn="0"/>
            </w:pPr>
            <w:r w:rsidRPr="00315F60">
              <w:t xml:space="preserve">August 2019 </w:t>
            </w:r>
          </w:p>
        </w:tc>
      </w:tr>
      <w:tr w:rsidR="00315F60" w:rsidRPr="00315F60" w:rsidTr="00252CA3">
        <w:tc>
          <w:tcPr>
            <w:cnfStyle w:val="001000000000" w:firstRow="0" w:lastRow="0" w:firstColumn="1" w:lastColumn="0" w:oddVBand="0" w:evenVBand="0" w:oddHBand="0" w:evenHBand="0" w:firstRowFirstColumn="0" w:firstRowLastColumn="0" w:lastRowFirstColumn="0" w:lastRowLastColumn="0"/>
            <w:tcW w:w="1737" w:type="dxa"/>
          </w:tcPr>
          <w:p w:rsidR="00630964" w:rsidRPr="00315F60" w:rsidRDefault="00630964" w:rsidP="00F710EA">
            <w:pPr>
              <w:pStyle w:val="Tabletext"/>
            </w:pPr>
            <w:r w:rsidRPr="00315F60">
              <w:t>Data collection and modelling</w:t>
            </w:r>
          </w:p>
        </w:tc>
        <w:tc>
          <w:tcPr>
            <w:tcW w:w="5244" w:type="dxa"/>
          </w:tcPr>
          <w:p w:rsidR="00630964" w:rsidRPr="00315F60" w:rsidRDefault="00630964" w:rsidP="00F710EA">
            <w:pPr>
              <w:pStyle w:val="Tabletext"/>
              <w:cnfStyle w:val="000000000000" w:firstRow="0" w:lastRow="0" w:firstColumn="0" w:lastColumn="0" w:oddVBand="0" w:evenVBand="0" w:oddHBand="0" w:evenHBand="0" w:firstRowFirstColumn="0" w:firstRowLastColumn="0" w:lastRowFirstColumn="0" w:lastRowLastColumn="0"/>
            </w:pPr>
            <w:r w:rsidRPr="00315F60">
              <w:t>Data collection and modelling involved the following key activities:</w:t>
            </w:r>
          </w:p>
          <w:p w:rsidR="00630964" w:rsidRPr="00315F60" w:rsidRDefault="00630964" w:rsidP="00411FCA">
            <w:pPr>
              <w:pStyle w:val="Bullet1stlevel"/>
              <w:cnfStyle w:val="000000000000" w:firstRow="0" w:lastRow="0" w:firstColumn="0" w:lastColumn="0" w:oddVBand="0" w:evenVBand="0" w:oddHBand="0" w:evenHBand="0" w:firstRowFirstColumn="0" w:firstRowLastColumn="0" w:lastRowFirstColumn="0" w:lastRowLastColumn="0"/>
            </w:pPr>
            <w:r w:rsidRPr="00315F60">
              <w:t>The collection and submission of data by services</w:t>
            </w:r>
          </w:p>
          <w:p w:rsidR="00630964" w:rsidRPr="00315F60" w:rsidRDefault="00630964" w:rsidP="00411FCA">
            <w:pPr>
              <w:pStyle w:val="Bullet1stlevel"/>
              <w:cnfStyle w:val="000000000000" w:firstRow="0" w:lastRow="0" w:firstColumn="0" w:lastColumn="0" w:oddVBand="0" w:evenVBand="0" w:oddHBand="0" w:evenHBand="0" w:firstRowFirstColumn="0" w:firstRowLastColumn="0" w:lastRowFirstColumn="0" w:lastRowLastColumn="0"/>
            </w:pPr>
            <w:r w:rsidRPr="00315F60">
              <w:t>Validation of submissions</w:t>
            </w:r>
          </w:p>
          <w:p w:rsidR="00630964" w:rsidRPr="00315F60" w:rsidRDefault="00630964" w:rsidP="00411FCA">
            <w:pPr>
              <w:pStyle w:val="Bullet1stlevel"/>
              <w:cnfStyle w:val="000000000000" w:firstRow="0" w:lastRow="0" w:firstColumn="0" w:lastColumn="0" w:oddVBand="0" w:evenVBand="0" w:oddHBand="0" w:evenHBand="0" w:firstRowFirstColumn="0" w:firstRowLastColumn="0" w:lastRowFirstColumn="0" w:lastRowLastColumn="0"/>
            </w:pPr>
            <w:r w:rsidRPr="00315F60">
              <w:t>Modelling of data.</w:t>
            </w:r>
          </w:p>
        </w:tc>
        <w:tc>
          <w:tcPr>
            <w:tcW w:w="2079" w:type="dxa"/>
          </w:tcPr>
          <w:p w:rsidR="00630964" w:rsidRPr="00315F60" w:rsidRDefault="00630964" w:rsidP="00F710EA">
            <w:pPr>
              <w:pStyle w:val="Tabletext"/>
              <w:cnfStyle w:val="000000000000" w:firstRow="0" w:lastRow="0" w:firstColumn="0" w:lastColumn="0" w:oddVBand="0" w:evenVBand="0" w:oddHBand="0" w:evenHBand="0" w:firstRowFirstColumn="0" w:firstRowLastColumn="0" w:lastRowFirstColumn="0" w:lastRowLastColumn="0"/>
            </w:pPr>
            <w:r w:rsidRPr="00315F60">
              <w:t>September to October 2019</w:t>
            </w:r>
          </w:p>
        </w:tc>
      </w:tr>
      <w:tr w:rsidR="00315F60" w:rsidRPr="00315F60" w:rsidTr="00252CA3">
        <w:tc>
          <w:tcPr>
            <w:cnfStyle w:val="001000000000" w:firstRow="0" w:lastRow="0" w:firstColumn="1" w:lastColumn="0" w:oddVBand="0" w:evenVBand="0" w:oddHBand="0" w:evenHBand="0" w:firstRowFirstColumn="0" w:firstRowLastColumn="0" w:lastRowFirstColumn="0" w:lastRowLastColumn="0"/>
            <w:tcW w:w="1737" w:type="dxa"/>
          </w:tcPr>
          <w:p w:rsidR="00630964" w:rsidRPr="00315F60" w:rsidRDefault="00630964" w:rsidP="00F710EA">
            <w:pPr>
              <w:pStyle w:val="Tabletext"/>
            </w:pPr>
            <w:r w:rsidRPr="00315F60">
              <w:t>Analysis and final reporting</w:t>
            </w:r>
          </w:p>
        </w:tc>
        <w:tc>
          <w:tcPr>
            <w:tcW w:w="5244" w:type="dxa"/>
          </w:tcPr>
          <w:p w:rsidR="00630964" w:rsidRPr="00315F60" w:rsidRDefault="00630964" w:rsidP="00A75F38">
            <w:pPr>
              <w:pStyle w:val="Tabletext"/>
              <w:cnfStyle w:val="000000000000" w:firstRow="0" w:lastRow="0" w:firstColumn="0" w:lastColumn="0" w:oddVBand="0" w:evenVBand="0" w:oddHBand="0" w:evenHBand="0" w:firstRowFirstColumn="0" w:firstRowLastColumn="0" w:lastRowFirstColumn="0" w:lastRowLastColumn="0"/>
            </w:pPr>
            <w:r w:rsidRPr="00315F60">
              <w:t xml:space="preserve">Data modelled during the project was analysed and synthesised to develop a final report (this report) for the Department. This included the validation of findings with the Department and the Commission to inform recommendations presented in this report. </w:t>
            </w:r>
          </w:p>
        </w:tc>
        <w:tc>
          <w:tcPr>
            <w:tcW w:w="2079" w:type="dxa"/>
          </w:tcPr>
          <w:p w:rsidR="00630964" w:rsidRPr="00315F60" w:rsidRDefault="00630964" w:rsidP="00F710EA">
            <w:pPr>
              <w:pStyle w:val="Tabletext"/>
              <w:cnfStyle w:val="000000000000" w:firstRow="0" w:lastRow="0" w:firstColumn="0" w:lastColumn="0" w:oddVBand="0" w:evenVBand="0" w:oddHBand="0" w:evenHBand="0" w:firstRowFirstColumn="0" w:firstRowLastColumn="0" w:lastRowFirstColumn="0" w:lastRowLastColumn="0"/>
            </w:pPr>
            <w:r w:rsidRPr="00315F60">
              <w:t>October to November 2019</w:t>
            </w:r>
          </w:p>
        </w:tc>
      </w:tr>
    </w:tbl>
    <w:p w:rsidR="00630964" w:rsidRPr="00315F60" w:rsidRDefault="00630964" w:rsidP="00FA0BA9">
      <w:pPr>
        <w:pStyle w:val="Source"/>
      </w:pPr>
      <w:r w:rsidRPr="00315F60">
        <w:t>Source: KPMG</w:t>
      </w:r>
    </w:p>
    <w:p w:rsidR="00630964" w:rsidRPr="00315F60" w:rsidRDefault="000C6F01" w:rsidP="002F54AD">
      <w:pPr>
        <w:pStyle w:val="Heading4"/>
        <w:rPr>
          <w:color w:val="auto"/>
        </w:rPr>
      </w:pPr>
      <w:r w:rsidRPr="00315F60">
        <w:rPr>
          <w:color w:val="auto"/>
        </w:rPr>
        <w:lastRenderedPageBreak/>
        <w:t>Development of the data collection approach</w:t>
      </w:r>
    </w:p>
    <w:p w:rsidR="000C6F01" w:rsidRPr="00315F60" w:rsidRDefault="000C6F01" w:rsidP="009F1F87">
      <w:pPr>
        <w:pStyle w:val="BodyTextkeepwithnext"/>
        <w:rPr>
          <w:szCs w:val="20"/>
        </w:rPr>
      </w:pPr>
      <w:r w:rsidRPr="00315F60">
        <w:t xml:space="preserve">The data collection approach, including </w:t>
      </w:r>
      <w:r w:rsidR="0088210D" w:rsidRPr="00315F60">
        <w:t xml:space="preserve">the </w:t>
      </w:r>
      <w:r w:rsidRPr="00315F60">
        <w:t xml:space="preserve">scope and </w:t>
      </w:r>
      <w:r w:rsidR="002F54AD" w:rsidRPr="00315F60">
        <w:t xml:space="preserve">the </w:t>
      </w:r>
      <w:r w:rsidRPr="00315F60">
        <w:t>data collection period, was developed in consultation with the Department. The study collected information about incidents between residents that are not currently</w:t>
      </w:r>
      <w:r w:rsidRPr="00315F60">
        <w:rPr>
          <w:szCs w:val="20"/>
        </w:rPr>
        <w:t xml:space="preserve"> reported to the Department. Two types of incidents were captured:</w:t>
      </w:r>
    </w:p>
    <w:p w:rsidR="000C6F01" w:rsidRPr="00315F60" w:rsidRDefault="000C6F01" w:rsidP="009F1F87">
      <w:pPr>
        <w:pStyle w:val="BodyText0"/>
        <w:numPr>
          <w:ilvl w:val="0"/>
          <w:numId w:val="39"/>
        </w:numPr>
        <w:ind w:left="360"/>
        <w:jc w:val="both"/>
      </w:pPr>
      <w:r w:rsidRPr="00315F60">
        <w:rPr>
          <w:b/>
        </w:rPr>
        <w:t>Type 1 incidents</w:t>
      </w:r>
      <w:r w:rsidRPr="00315F60">
        <w:t>: Resident</w:t>
      </w:r>
      <w:r w:rsidR="0028709D" w:rsidRPr="00315F60">
        <w:t xml:space="preserve"> </w:t>
      </w:r>
      <w:r w:rsidRPr="00315F60">
        <w:t>on</w:t>
      </w:r>
      <w:r w:rsidR="0028709D" w:rsidRPr="00315F60">
        <w:t xml:space="preserve"> </w:t>
      </w:r>
      <w:r w:rsidRPr="00315F60">
        <w:t>resident incidents that meet the Act’s definition of a reportable assault but which are exempt from being reported to the Department</w:t>
      </w:r>
      <w:r w:rsidR="00837C0C" w:rsidRPr="00315F60">
        <w:rPr>
          <w:vertAlign w:val="superscript"/>
        </w:rPr>
        <w:footnoteReference w:id="6"/>
      </w:r>
    </w:p>
    <w:p w:rsidR="000C6F01" w:rsidRPr="00315F60" w:rsidRDefault="000C6F01" w:rsidP="009F1F87">
      <w:pPr>
        <w:pStyle w:val="BodyText0"/>
        <w:numPr>
          <w:ilvl w:val="0"/>
          <w:numId w:val="39"/>
        </w:numPr>
        <w:ind w:left="360"/>
        <w:jc w:val="both"/>
      </w:pPr>
      <w:r w:rsidRPr="00315F60">
        <w:rPr>
          <w:b/>
        </w:rPr>
        <w:t>Type 2 incidents</w:t>
      </w:r>
      <w:r w:rsidRPr="00315F60">
        <w:t>: Other resident</w:t>
      </w:r>
      <w:r w:rsidR="0028709D" w:rsidRPr="00315F60">
        <w:t xml:space="preserve"> </w:t>
      </w:r>
      <w:r w:rsidRPr="00315F60">
        <w:t>on</w:t>
      </w:r>
      <w:r w:rsidR="0028709D" w:rsidRPr="00315F60">
        <w:t xml:space="preserve"> </w:t>
      </w:r>
      <w:r w:rsidRPr="00315F60">
        <w:t>resident incidents which do not meet the definition of a reportable assault but are recorded by the approved provider.</w:t>
      </w:r>
    </w:p>
    <w:p w:rsidR="000C6F01" w:rsidRPr="00315F60" w:rsidRDefault="000C6F01" w:rsidP="000C6F01">
      <w:pPr>
        <w:pStyle w:val="BodyText"/>
        <w:rPr>
          <w:szCs w:val="20"/>
        </w:rPr>
      </w:pPr>
      <w:r w:rsidRPr="00315F60">
        <w:rPr>
          <w:szCs w:val="20"/>
        </w:rPr>
        <w:t xml:space="preserve">The data collection period was a six month period </w:t>
      </w:r>
      <w:r w:rsidR="002F54AD" w:rsidRPr="00315F60">
        <w:rPr>
          <w:szCs w:val="20"/>
        </w:rPr>
        <w:t xml:space="preserve">from </w:t>
      </w:r>
      <w:r w:rsidRPr="00315F60">
        <w:rPr>
          <w:szCs w:val="20"/>
        </w:rPr>
        <w:t>1 February 2019 to 31 July 2019. The amount of detail collected about each incident differed depending on the incident type:</w:t>
      </w:r>
    </w:p>
    <w:p w:rsidR="000C6F01" w:rsidRPr="00315F60" w:rsidRDefault="000C6F01" w:rsidP="009F1F87">
      <w:pPr>
        <w:pStyle w:val="BodyText0"/>
        <w:numPr>
          <w:ilvl w:val="0"/>
          <w:numId w:val="39"/>
        </w:numPr>
        <w:ind w:left="360"/>
        <w:jc w:val="both"/>
      </w:pPr>
      <w:r w:rsidRPr="00315F60">
        <w:t xml:space="preserve">For Type 1 incidents, the study collected information about the total number of incidents that occurred at a service during the data collection period and specific information about each incident that is already recorded by </w:t>
      </w:r>
      <w:r w:rsidR="004B3D85" w:rsidRPr="00315F60">
        <w:t>services</w:t>
      </w:r>
      <w:r w:rsidRPr="00315F60">
        <w:t xml:space="preserve"> </w:t>
      </w:r>
    </w:p>
    <w:p w:rsidR="000C6F01" w:rsidRPr="00315F60" w:rsidRDefault="000C6F01" w:rsidP="009F1F87">
      <w:pPr>
        <w:pStyle w:val="BodyText0"/>
        <w:numPr>
          <w:ilvl w:val="0"/>
          <w:numId w:val="39"/>
        </w:numPr>
        <w:ind w:left="360"/>
        <w:jc w:val="both"/>
      </w:pPr>
      <w:r w:rsidRPr="00315F60">
        <w:t>For Type 2 incidents, only the number of incidents that occurred during the data collection period was captured.</w:t>
      </w:r>
    </w:p>
    <w:p w:rsidR="000C6F01" w:rsidRPr="00315F60" w:rsidRDefault="000C6F01" w:rsidP="000C6F01">
      <w:pPr>
        <w:pStyle w:val="BodyText"/>
      </w:pPr>
      <w:r w:rsidRPr="00315F60">
        <w:t>Participation in the study was voluntary</w:t>
      </w:r>
      <w:r w:rsidR="001952BF" w:rsidRPr="00315F60">
        <w:t xml:space="preserve">. </w:t>
      </w:r>
      <w:r w:rsidR="00516F23" w:rsidRPr="00315F60">
        <w:t xml:space="preserve">Recruitment of </w:t>
      </w:r>
      <w:r w:rsidR="00AD452E" w:rsidRPr="00315F60">
        <w:t xml:space="preserve">residential aged care </w:t>
      </w:r>
      <w:r w:rsidR="00516F23" w:rsidRPr="00315F60">
        <w:t>services occurred through direct email invitations sent to all aged care services listed on the</w:t>
      </w:r>
      <w:r w:rsidR="009C4EC3" w:rsidRPr="00315F60">
        <w:t xml:space="preserve"> Australian Aged Care Service List (</w:t>
      </w:r>
      <w:r w:rsidR="00516F23" w:rsidRPr="00315F60">
        <w:t>AACS List</w:t>
      </w:r>
      <w:r w:rsidR="009C4EC3" w:rsidRPr="00315F60">
        <w:t>)</w:t>
      </w:r>
      <w:r w:rsidR="002F54AD" w:rsidRPr="00315F60">
        <w:t xml:space="preserve"> dated</w:t>
      </w:r>
      <w:r w:rsidR="00516F23" w:rsidRPr="00315F60">
        <w:t xml:space="preserve"> 30 June 2019, an announcement about the prevalence study via the Department’s Bulk Information Distribution service to aged care </w:t>
      </w:r>
      <w:r w:rsidR="009C4EC3" w:rsidRPr="00315F60">
        <w:t>providers</w:t>
      </w:r>
      <w:r w:rsidR="00516F23" w:rsidRPr="00315F60">
        <w:t xml:space="preserve"> and an invitation to the Aged Care Sector Committee to promote the study within their networks</w:t>
      </w:r>
      <w:r w:rsidR="002F54AD" w:rsidRPr="00315F60">
        <w:t>.</w:t>
      </w:r>
      <w:r w:rsidR="001952BF" w:rsidRPr="00315F60">
        <w:t xml:space="preserve"> </w:t>
      </w:r>
      <w:r w:rsidRPr="00315F60">
        <w:t xml:space="preserve">Services had </w:t>
      </w:r>
      <w:r w:rsidR="00590D58" w:rsidRPr="00315F60">
        <w:t xml:space="preserve">approximately </w:t>
      </w:r>
      <w:r w:rsidR="00516F23" w:rsidRPr="00315F60">
        <w:t xml:space="preserve">four </w:t>
      </w:r>
      <w:r w:rsidRPr="00315F60">
        <w:t>weeks to register. A total of 175 services registered to participate.</w:t>
      </w:r>
    </w:p>
    <w:p w:rsidR="000C6F01" w:rsidRPr="00315F60" w:rsidRDefault="000C6F01" w:rsidP="000C6F01">
      <w:pPr>
        <w:pStyle w:val="BodyText"/>
      </w:pPr>
      <w:r w:rsidRPr="00315F60">
        <w:t xml:space="preserve">Aged care services were supported to participate in the study through: </w:t>
      </w:r>
    </w:p>
    <w:p w:rsidR="000C6F01" w:rsidRPr="00315F60" w:rsidRDefault="000C6F01" w:rsidP="00411FCA">
      <w:pPr>
        <w:pStyle w:val="Bullet1stlevel"/>
      </w:pPr>
      <w:r w:rsidRPr="00315F60">
        <w:t>An online training webinar to prepare for the study</w:t>
      </w:r>
    </w:p>
    <w:p w:rsidR="000C6F01" w:rsidRPr="00315F60" w:rsidRDefault="000C6F01" w:rsidP="00411FCA">
      <w:pPr>
        <w:pStyle w:val="Bullet1stlevel"/>
      </w:pPr>
      <w:r w:rsidRPr="00315F60">
        <w:t xml:space="preserve">Written guidance materials, including a resource manual and </w:t>
      </w:r>
      <w:r w:rsidR="00B8197A" w:rsidRPr="00315F60">
        <w:t>Frequently Asked Questions (</w:t>
      </w:r>
      <w:r w:rsidRPr="00315F60">
        <w:t>FAQs</w:t>
      </w:r>
      <w:r w:rsidR="00B8197A" w:rsidRPr="00315F60">
        <w:t>)</w:t>
      </w:r>
    </w:p>
    <w:p w:rsidR="000C6F01" w:rsidRPr="00315F60" w:rsidRDefault="000C6F01" w:rsidP="00411FCA">
      <w:pPr>
        <w:pStyle w:val="Bullet1stlevel"/>
      </w:pPr>
      <w:r w:rsidRPr="00315F60">
        <w:t xml:space="preserve">A dedicated toll-free hotline and functional mailbox </w:t>
      </w:r>
      <w:r w:rsidR="002F54AD" w:rsidRPr="00315F60">
        <w:t xml:space="preserve">that was available </w:t>
      </w:r>
      <w:r w:rsidRPr="00315F60">
        <w:t>throughout the project period.</w:t>
      </w:r>
    </w:p>
    <w:p w:rsidR="000C6F01" w:rsidRPr="00315F60" w:rsidRDefault="000C6F01" w:rsidP="002F54AD">
      <w:pPr>
        <w:pStyle w:val="HeadingLevel4NoNumber"/>
        <w:rPr>
          <w:color w:val="auto"/>
        </w:rPr>
      </w:pPr>
      <w:r w:rsidRPr="00315F60">
        <w:rPr>
          <w:color w:val="auto"/>
        </w:rPr>
        <w:t>Data submission</w:t>
      </w:r>
    </w:p>
    <w:p w:rsidR="000C6F01" w:rsidRPr="00315F60" w:rsidRDefault="000C6F01" w:rsidP="000C6F01">
      <w:pPr>
        <w:pStyle w:val="BodyText"/>
      </w:pPr>
      <w:r w:rsidRPr="00315F60">
        <w:t xml:space="preserve">Data submission occurred over a three week period from 16 September 2019 to 4 October 2019. Registered </w:t>
      </w:r>
      <w:r w:rsidR="00837C0C" w:rsidRPr="00315F60">
        <w:t xml:space="preserve">aged care </w:t>
      </w:r>
      <w:r w:rsidRPr="00315F60">
        <w:t>services submitted data through an online submission tool. Three services withdrew from the study during the data submission period. Additional data was obtained from the Department and publically available sources to validate and further analyse the data submissions made by aged care services.</w:t>
      </w:r>
    </w:p>
    <w:p w:rsidR="000C6F01" w:rsidRPr="00315F60" w:rsidRDefault="000C6F01" w:rsidP="002F54AD">
      <w:pPr>
        <w:pStyle w:val="HeadingLevel4NoNumber"/>
        <w:rPr>
          <w:color w:val="auto"/>
        </w:rPr>
      </w:pPr>
      <w:r w:rsidRPr="00315F60">
        <w:rPr>
          <w:color w:val="auto"/>
        </w:rPr>
        <w:t>Data modelling and analysis</w:t>
      </w:r>
    </w:p>
    <w:p w:rsidR="000C6F01" w:rsidRPr="00315F60" w:rsidRDefault="000C6F01" w:rsidP="000C6F01">
      <w:pPr>
        <w:pStyle w:val="Numberbullet1stlevel"/>
      </w:pPr>
      <w:r w:rsidRPr="00315F60">
        <w:t xml:space="preserve">A total of 196 submissions </w:t>
      </w:r>
      <w:r w:rsidR="002F54AD" w:rsidRPr="00315F60">
        <w:t xml:space="preserve">were </w:t>
      </w:r>
      <w:r w:rsidRPr="00315F60">
        <w:t xml:space="preserve">received during the data collection period. </w:t>
      </w:r>
      <w:r w:rsidR="002F54AD" w:rsidRPr="00315F60">
        <w:t xml:space="preserve">Of these submissions, </w:t>
      </w:r>
      <w:r w:rsidRPr="00315F60">
        <w:t>179 were used for data analysis and modelling</w:t>
      </w:r>
      <w:r w:rsidR="001952BF" w:rsidRPr="00315F60">
        <w:t xml:space="preserve">. </w:t>
      </w:r>
      <w:r w:rsidR="00B0520F" w:rsidRPr="00315F60">
        <w:t>17</w:t>
      </w:r>
      <w:r w:rsidR="00837C0C" w:rsidRPr="00315F60">
        <w:t xml:space="preserve"> </w:t>
      </w:r>
      <w:r w:rsidRPr="00315F60">
        <w:t>submissions were excluded during the data validation process. Data analysis involved three different types of analysis:</w:t>
      </w:r>
    </w:p>
    <w:p w:rsidR="000C6F01" w:rsidRPr="00315F60" w:rsidRDefault="000C6F01" w:rsidP="00411FCA">
      <w:pPr>
        <w:pStyle w:val="Bullet1stlevel"/>
      </w:pPr>
      <w:r w:rsidRPr="00315F60">
        <w:lastRenderedPageBreak/>
        <w:t>Descriptive analysis of participating services and providers to understand whether the sample of services was representative of the national population of residential aged care services, noting it is not possible for a sample to perfectly represent the population from which it is drawn</w:t>
      </w:r>
    </w:p>
    <w:p w:rsidR="000C6F01" w:rsidRPr="00315F60" w:rsidRDefault="000C6F01" w:rsidP="00411FCA">
      <w:pPr>
        <w:pStyle w:val="Bullet1stlevel"/>
      </w:pPr>
      <w:r w:rsidRPr="00315F60">
        <w:t>Descriptive analysis of Type 1 and Type 2 incidents to understand the number and nature of incidents that were reported</w:t>
      </w:r>
    </w:p>
    <w:p w:rsidR="000C6F01" w:rsidRPr="00315F60" w:rsidRDefault="000C6F01" w:rsidP="00411FCA">
      <w:pPr>
        <w:pStyle w:val="Bullet1stlevel"/>
      </w:pPr>
      <w:r w:rsidRPr="00315F60">
        <w:t>Modelling of incidents to generate national estimates.</w:t>
      </w:r>
    </w:p>
    <w:p w:rsidR="000C6F01" w:rsidRPr="00315F60" w:rsidRDefault="000C6F01" w:rsidP="002E7D8E">
      <w:pPr>
        <w:pStyle w:val="HeadingLevel2NoNumber"/>
        <w:rPr>
          <w:color w:val="auto"/>
        </w:rPr>
      </w:pPr>
      <w:bookmarkStart w:id="10" w:name="_Toc26979126"/>
      <w:r w:rsidRPr="00315F60">
        <w:rPr>
          <w:color w:val="auto"/>
        </w:rPr>
        <w:t>Findings</w:t>
      </w:r>
      <w:bookmarkEnd w:id="10"/>
    </w:p>
    <w:p w:rsidR="000C6F01" w:rsidRPr="00315F60" w:rsidRDefault="00FD494B" w:rsidP="000C6F01">
      <w:pPr>
        <w:pStyle w:val="BodyText"/>
      </w:pPr>
      <w:r w:rsidRPr="00315F60">
        <w:rPr>
          <w:b/>
        </w:rPr>
        <w:t>178 aged care services participated in the study:</w:t>
      </w:r>
      <w:r w:rsidR="000C6F01" w:rsidRPr="00315F60">
        <w:t xml:space="preserve"> The sample of participating services </w:t>
      </w:r>
      <w:r w:rsidR="00172A2E" w:rsidRPr="00315F60">
        <w:t>was</w:t>
      </w:r>
      <w:r w:rsidR="000C6F01" w:rsidRPr="00315F60">
        <w:t xml:space="preserve"> not “representative” from a jurisdiction point of view</w:t>
      </w:r>
      <w:r w:rsidR="00172A2E" w:rsidRPr="00315F60">
        <w:t>. S</w:t>
      </w:r>
      <w:r w:rsidR="000C6F01" w:rsidRPr="00315F60">
        <w:t xml:space="preserve">everal jurisdictions </w:t>
      </w:r>
      <w:r w:rsidR="00172A2E" w:rsidRPr="00315F60">
        <w:t xml:space="preserve">were </w:t>
      </w:r>
      <w:r w:rsidR="000C6F01" w:rsidRPr="00315F60">
        <w:t xml:space="preserve">under-represented (ACT, SA and WA) and </w:t>
      </w:r>
      <w:r w:rsidR="002F54AD" w:rsidRPr="00315F60">
        <w:t xml:space="preserve">the </w:t>
      </w:r>
      <w:r w:rsidR="000C6F01" w:rsidRPr="00315F60">
        <w:t xml:space="preserve">NT </w:t>
      </w:r>
      <w:r w:rsidR="002F54AD" w:rsidRPr="00315F60">
        <w:t xml:space="preserve">was </w:t>
      </w:r>
      <w:r w:rsidR="000C6F01" w:rsidRPr="00315F60">
        <w:t xml:space="preserve">not represented at all. The sample </w:t>
      </w:r>
      <w:r w:rsidRPr="00315F60">
        <w:t>did</w:t>
      </w:r>
      <w:r w:rsidR="002F54AD" w:rsidRPr="00315F60">
        <w:t>,</w:t>
      </w:r>
      <w:r w:rsidR="000C6F01" w:rsidRPr="00315F60">
        <w:t xml:space="preserve"> however</w:t>
      </w:r>
      <w:r w:rsidR="002F54AD" w:rsidRPr="00315F60">
        <w:t>,</w:t>
      </w:r>
      <w:r w:rsidR="000C6F01" w:rsidRPr="00315F60">
        <w:t xml:space="preserve"> appear </w:t>
      </w:r>
      <w:r w:rsidRPr="00315F60">
        <w:t xml:space="preserve">to be </w:t>
      </w:r>
      <w:r w:rsidR="000C6F01" w:rsidRPr="00315F60">
        <w:t xml:space="preserve">“representative” of all services from a remoteness </w:t>
      </w:r>
      <w:r w:rsidR="00D9569C" w:rsidRPr="00315F60">
        <w:t>perspective</w:t>
      </w:r>
      <w:r w:rsidR="000C6F01" w:rsidRPr="00315F60">
        <w:t>. In terms of size</w:t>
      </w:r>
      <w:r w:rsidR="009541EA" w:rsidRPr="00315F60">
        <w:t>,</w:t>
      </w:r>
      <w:r w:rsidR="000C6F01" w:rsidRPr="00315F60">
        <w:t xml:space="preserve"> smaller services were </w:t>
      </w:r>
      <w:r w:rsidR="00C22BB4" w:rsidRPr="00315F60">
        <w:t>under-represented</w:t>
      </w:r>
      <w:r w:rsidR="000C6F01" w:rsidRPr="00315F60">
        <w:t xml:space="preserve"> but when considering occupancy, rather than </w:t>
      </w:r>
      <w:r w:rsidR="009541EA" w:rsidRPr="00315F60">
        <w:t>number of bed licenses per service</w:t>
      </w:r>
      <w:r w:rsidR="000C6F01" w:rsidRPr="00315F60">
        <w:t xml:space="preserve">, the sample </w:t>
      </w:r>
      <w:r w:rsidRPr="00315F60">
        <w:t xml:space="preserve">was </w:t>
      </w:r>
      <w:r w:rsidR="000C6F01" w:rsidRPr="00315F60">
        <w:t>more representative of services nationally. As with any study with voluntary participation</w:t>
      </w:r>
      <w:r w:rsidR="002F54AD" w:rsidRPr="00315F60">
        <w:t>,</w:t>
      </w:r>
      <w:r w:rsidR="000C6F01" w:rsidRPr="00315F60">
        <w:t xml:space="preserve"> it is subject to voluntary response bias, a</w:t>
      </w:r>
      <w:r w:rsidR="009541EA" w:rsidRPr="00315F60">
        <w:t>nd</w:t>
      </w:r>
      <w:r w:rsidR="000C6F01" w:rsidRPr="00315F60">
        <w:t xml:space="preserve"> it is not known whether non-participating services would have </w:t>
      </w:r>
      <w:r w:rsidR="005C6D47" w:rsidRPr="00315F60">
        <w:t>reported</w:t>
      </w:r>
      <w:r w:rsidRPr="00315F60">
        <w:t xml:space="preserve"> </w:t>
      </w:r>
      <w:r w:rsidR="000C6F01" w:rsidRPr="00315F60">
        <w:t>more or less incidents. Regardless</w:t>
      </w:r>
      <w:r w:rsidR="002F54AD" w:rsidRPr="00315F60">
        <w:t>,</w:t>
      </w:r>
      <w:r w:rsidR="000C6F01" w:rsidRPr="00315F60">
        <w:t xml:space="preserve"> the study still provides the best available data on resident</w:t>
      </w:r>
      <w:r w:rsidRPr="00315F60">
        <w:t xml:space="preserve"> </w:t>
      </w:r>
      <w:r w:rsidR="000C6F01" w:rsidRPr="00315F60">
        <w:t>on</w:t>
      </w:r>
      <w:r w:rsidRPr="00315F60">
        <w:t xml:space="preserve"> </w:t>
      </w:r>
      <w:r w:rsidR="000C6F01" w:rsidRPr="00315F60">
        <w:t>resident incidents</w:t>
      </w:r>
      <w:r w:rsidRPr="00315F60">
        <w:t xml:space="preserve"> in residential aged care</w:t>
      </w:r>
      <w:r w:rsidR="000C6F01" w:rsidRPr="00315F60">
        <w:t>. The resulting national estimates need to be considered in light of the sample and study limitations</w:t>
      </w:r>
      <w:r w:rsidR="005041B4" w:rsidRPr="00315F60">
        <w:t>.</w:t>
      </w:r>
    </w:p>
    <w:p w:rsidR="000C6F01" w:rsidRPr="00315F60" w:rsidRDefault="000C6F01" w:rsidP="009F1F87">
      <w:pPr>
        <w:pStyle w:val="ListBullet"/>
        <w:numPr>
          <w:ilvl w:val="0"/>
          <w:numId w:val="0"/>
        </w:numPr>
      </w:pPr>
      <w:r w:rsidRPr="00315F60">
        <w:rPr>
          <w:b/>
        </w:rPr>
        <w:t>There were key characteristics in the incident data</w:t>
      </w:r>
      <w:r w:rsidR="005C6D47" w:rsidRPr="00315F60">
        <w:rPr>
          <w:b/>
        </w:rPr>
        <w:t>:</w:t>
      </w:r>
      <w:r w:rsidRPr="00315F60">
        <w:rPr>
          <w:b/>
        </w:rPr>
        <w:t xml:space="preserve"> </w:t>
      </w:r>
      <w:r w:rsidRPr="00315F60">
        <w:t>The number of Type 1 and Type 2 incidents reported varied across services. Notably, 28 services reported zero Type 1 incidents and 81 services reported zero Type 2 incidents. In addition</w:t>
      </w:r>
      <w:r w:rsidR="002F54AD" w:rsidRPr="00315F60">
        <w:t>,</w:t>
      </w:r>
      <w:r w:rsidRPr="00315F60">
        <w:t xml:space="preserve"> 18 services reported 15 or more Type 1 incidents</w:t>
      </w:r>
      <w:r w:rsidR="002F54AD" w:rsidRPr="00315F60">
        <w:t>,</w:t>
      </w:r>
      <w:r w:rsidRPr="00315F60">
        <w:t xml:space="preserve"> i.e. some services averaged zero incidents over a six month </w:t>
      </w:r>
      <w:r w:rsidR="00B77380" w:rsidRPr="00315F60">
        <w:t xml:space="preserve">period </w:t>
      </w:r>
      <w:r w:rsidRPr="00315F60">
        <w:t>and other services averaged more than two Type 1 incidents per month. When it came to the characteristics of Type 1 incidents</w:t>
      </w:r>
      <w:r w:rsidR="002F54AD" w:rsidRPr="00315F60">
        <w:t>,</w:t>
      </w:r>
      <w:r w:rsidRPr="00315F60">
        <w:t xml:space="preserve"> there were stand out categories in terms of incident type, perpetrator behaviours, victim impact and service response. For incident type</w:t>
      </w:r>
      <w:r w:rsidR="002F54AD" w:rsidRPr="00315F60">
        <w:t>,</w:t>
      </w:r>
      <w:r w:rsidRPr="00315F60">
        <w:t xml:space="preserve"> 95 per cent of Type 1 incidents were classified as </w:t>
      </w:r>
      <w:r w:rsidRPr="00315F60">
        <w:rPr>
          <w:i/>
        </w:rPr>
        <w:t>unreasonable use of force</w:t>
      </w:r>
      <w:r w:rsidRPr="00315F60">
        <w:t>. When it came to perpetrator behaviours</w:t>
      </w:r>
      <w:r w:rsidR="002F54AD" w:rsidRPr="00315F60">
        <w:t>,</w:t>
      </w:r>
      <w:r w:rsidRPr="00315F60">
        <w:t xml:space="preserve"> the vast majority of Type 1 incidents were classified as pushing or shoving, kicking, hitting, punching, slapping, biting and/or burning. This aligns with the fact that the majority of incidents were classified as </w:t>
      </w:r>
      <w:r w:rsidRPr="00315F60">
        <w:rPr>
          <w:i/>
        </w:rPr>
        <w:t>unreasonable use of force</w:t>
      </w:r>
      <w:r w:rsidRPr="00315F60">
        <w:t xml:space="preserve">. The impact on the victim was classified as </w:t>
      </w:r>
      <w:r w:rsidRPr="00315F60">
        <w:rPr>
          <w:i/>
        </w:rPr>
        <w:t>no impact</w:t>
      </w:r>
      <w:r w:rsidRPr="00315F60">
        <w:t xml:space="preserve"> in the majority of incidents. The majority of services reported two or more service responses</w:t>
      </w:r>
      <w:r w:rsidR="00393F6D" w:rsidRPr="00315F60">
        <w:t xml:space="preserve"> </w:t>
      </w:r>
      <w:r w:rsidR="00AF0275" w:rsidRPr="00315F60">
        <w:t xml:space="preserve">to an incident </w:t>
      </w:r>
      <w:r w:rsidR="00393F6D" w:rsidRPr="00315F60">
        <w:t xml:space="preserve">(e.g. </w:t>
      </w:r>
      <w:r w:rsidR="00B0520F" w:rsidRPr="00315F60">
        <w:rPr>
          <w:i/>
        </w:rPr>
        <w:t>r</w:t>
      </w:r>
      <w:r w:rsidR="00393F6D" w:rsidRPr="00315F60">
        <w:rPr>
          <w:i/>
        </w:rPr>
        <w:t>eferral made to GP</w:t>
      </w:r>
      <w:r w:rsidR="00393F6D" w:rsidRPr="00315F60">
        <w:t xml:space="preserve">, </w:t>
      </w:r>
      <w:r w:rsidR="00B0520F" w:rsidRPr="00315F60">
        <w:rPr>
          <w:i/>
        </w:rPr>
        <w:t>u</w:t>
      </w:r>
      <w:r w:rsidR="00393F6D" w:rsidRPr="00315F60">
        <w:rPr>
          <w:i/>
        </w:rPr>
        <w:t>pdate made to the victim’s care plan</w:t>
      </w:r>
      <w:r w:rsidR="00393F6D" w:rsidRPr="00315F60">
        <w:t>)</w:t>
      </w:r>
      <w:r w:rsidRPr="00315F60">
        <w:t>.</w:t>
      </w:r>
      <w:r w:rsidR="00AF0275" w:rsidRPr="00315F60">
        <w:t xml:space="preserve"> National estimates are likely to be influenced by the variation in the number of incidents reported across services (i.e. zero incident services and 10+ incident services). If, for example, the 28 services that reported zero Type 1 incidents were the only services to participate </w:t>
      </w:r>
      <w:r w:rsidR="00B77380" w:rsidRPr="00315F60">
        <w:t xml:space="preserve">in the study </w:t>
      </w:r>
      <w:r w:rsidR="00AF0275" w:rsidRPr="00315F60">
        <w:t>then the national estimate would be zero. There was also a provider that reported a large number of incidents.</w:t>
      </w:r>
    </w:p>
    <w:p w:rsidR="000C6F01" w:rsidRPr="00315F60" w:rsidRDefault="000C6F01" w:rsidP="00AF0275">
      <w:pPr>
        <w:pStyle w:val="BodyText"/>
      </w:pPr>
      <w:r w:rsidRPr="00315F60">
        <w:rPr>
          <w:b/>
        </w:rPr>
        <w:t>At a national level, over a 12 month period</w:t>
      </w:r>
      <w:r w:rsidR="002F54AD" w:rsidRPr="00315F60">
        <w:rPr>
          <w:b/>
        </w:rPr>
        <w:t>,</w:t>
      </w:r>
      <w:r w:rsidRPr="00315F60">
        <w:rPr>
          <w:b/>
        </w:rPr>
        <w:t xml:space="preserve"> there may be tens of thousands of incidents</w:t>
      </w:r>
      <w:r w:rsidR="00AF0275" w:rsidRPr="00315F60">
        <w:rPr>
          <w:b/>
        </w:rPr>
        <w:t>:</w:t>
      </w:r>
      <w:r w:rsidRPr="00315F60">
        <w:rPr>
          <w:b/>
        </w:rPr>
        <w:t xml:space="preserve"> </w:t>
      </w:r>
      <w:r w:rsidR="00AF0275" w:rsidRPr="00315F60">
        <w:t>For a six month window, 178 services reported 1,259 Type 1 incidents and 455 Type 2 incidents. This means that</w:t>
      </w:r>
      <w:r w:rsidR="00AF0275" w:rsidRPr="00315F60">
        <w:rPr>
          <w:b/>
        </w:rPr>
        <w:t xml:space="preserve"> </w:t>
      </w:r>
      <w:r w:rsidR="00AF0275" w:rsidRPr="00315F60">
        <w:t xml:space="preserve">the total number of Type 1 and Type 2 incidents at a national level (i.e. all 2,717 services) for a 12 month </w:t>
      </w:r>
      <w:r w:rsidR="00B77380" w:rsidRPr="00315F60">
        <w:t xml:space="preserve">period </w:t>
      </w:r>
      <w:r w:rsidR="00AF0275" w:rsidRPr="00315F60">
        <w:t>are estimated to be in the tens of thousands, specifically 38,898 Type 1 incidents and 13,757 Type 2 incidents</w:t>
      </w:r>
      <w:r w:rsidR="00B0520F" w:rsidRPr="00315F60">
        <w:t xml:space="preserve"> (detailed further in Table 8 of this report)</w:t>
      </w:r>
      <w:r w:rsidR="00AF0275" w:rsidRPr="00315F60">
        <w:t xml:space="preserve">. The sample ratios can be combined with the national total estimates to provide an estimate of specific incident types. For example, the 4.4 per cent of incidents that were classified as being unlawful sexual contact can be combined with the total estimate of 38,898 incidents to provide an estimate at the national level of resident on resident incidents involving unlawful sexual contact (1,730 incidents). </w:t>
      </w:r>
    </w:p>
    <w:p w:rsidR="000C6F01" w:rsidRPr="00315F60" w:rsidRDefault="000C6F01" w:rsidP="002F54AD">
      <w:pPr>
        <w:pStyle w:val="Heading4"/>
        <w:rPr>
          <w:color w:val="auto"/>
        </w:rPr>
      </w:pPr>
      <w:r w:rsidRPr="00315F60">
        <w:rPr>
          <w:color w:val="auto"/>
        </w:rPr>
        <w:t>Options for reporting thresholds</w:t>
      </w:r>
    </w:p>
    <w:p w:rsidR="00517385" w:rsidRPr="00315F60" w:rsidRDefault="00B0520F" w:rsidP="009F1F87">
      <w:pPr>
        <w:pStyle w:val="BodyText"/>
      </w:pPr>
      <w:r w:rsidRPr="00315F60">
        <w:t xml:space="preserve">Based on the study findings, there are a number of future options which can be considered for the reporting additional resident on resident incidents in a SIRS. </w:t>
      </w:r>
      <w:r w:rsidR="00517385" w:rsidRPr="00315F60">
        <w:t>A number of principles were identified to guide the assessment of the benefits and limitations of each option. These include:</w:t>
      </w:r>
    </w:p>
    <w:p w:rsidR="00517385" w:rsidRPr="00315F60" w:rsidRDefault="00517385" w:rsidP="00411FCA">
      <w:pPr>
        <w:pStyle w:val="Bullet1stlevel"/>
      </w:pPr>
      <w:r w:rsidRPr="00315F60">
        <w:rPr>
          <w:b/>
        </w:rPr>
        <w:lastRenderedPageBreak/>
        <w:t>Ease of application</w:t>
      </w:r>
      <w:r w:rsidRPr="00315F60">
        <w:t>, i.e. the extent to which the new threshold is straightforward and easy to apply for services. The ease of application is significantly influenced by the number of criteria that need to be considered by services in order to determine whether an incident must be reported.</w:t>
      </w:r>
    </w:p>
    <w:p w:rsidR="00517385" w:rsidRPr="00315F60" w:rsidRDefault="00517385" w:rsidP="00411FCA">
      <w:pPr>
        <w:pStyle w:val="Bullet1stlevel"/>
      </w:pPr>
      <w:r w:rsidRPr="00315F60">
        <w:rPr>
          <w:b/>
        </w:rPr>
        <w:t>Level of reporting by services</w:t>
      </w:r>
      <w:r w:rsidRPr="00315F60">
        <w:t xml:space="preserve">, i.e. the additional time that will be required to make reports for that option. The level of reporting required by services is proportionate to the volume of additional incidents that will be reported. The greater the volume of incidents, the more resources required to make the reports. Note that time spent reporting may displace time spent in other activities which could have a greater impact on the quality of care and experiences of residents. </w:t>
      </w:r>
    </w:p>
    <w:p w:rsidR="00517385" w:rsidRPr="00315F60" w:rsidRDefault="00517385" w:rsidP="00411FCA">
      <w:pPr>
        <w:pStyle w:val="Bullet1stlevel"/>
      </w:pPr>
      <w:r w:rsidRPr="00315F60">
        <w:rPr>
          <w:b/>
        </w:rPr>
        <w:t>Regulatory response by the Commission</w:t>
      </w:r>
      <w:r w:rsidRPr="00315F60">
        <w:t>, i.e. the additional time that will be required to analyse incident data and respond for that option. The response taken by the Commission is proportionate to the volume of additional incidents that will be reported. Greater data volumes will drive the resources required for the Commission to operate</w:t>
      </w:r>
      <w:r w:rsidR="005006BD" w:rsidRPr="00315F60">
        <w:t xml:space="preserve"> the SIRS</w:t>
      </w:r>
      <w:r w:rsidRPr="00315F60">
        <w:t>.</w:t>
      </w:r>
    </w:p>
    <w:p w:rsidR="00517385" w:rsidRPr="00315F60" w:rsidRDefault="00517385" w:rsidP="00411FCA">
      <w:pPr>
        <w:pStyle w:val="Bullet1stlevel"/>
      </w:pPr>
      <w:r w:rsidRPr="00315F60">
        <w:rPr>
          <w:b/>
        </w:rPr>
        <w:t>The capture of additional information about incidents which result in harm</w:t>
      </w:r>
      <w:r w:rsidRPr="00315F60">
        <w:t xml:space="preserve">, i.e. the extent to which the option provides information which was not otherwise available about </w:t>
      </w:r>
      <w:r w:rsidR="004C4435" w:rsidRPr="00315F60">
        <w:t>resident on resident</w:t>
      </w:r>
      <w:r w:rsidRPr="00315F60">
        <w:t xml:space="preserve"> incidents (i.e. addresses the gap identified by the ALRC report). This principle also considers the extent to which this additional information focuses on those incidents which are associated with greater harm to the resident who was the victim. </w:t>
      </w:r>
    </w:p>
    <w:p w:rsidR="000C6F01" w:rsidRPr="00315F60" w:rsidRDefault="00517385" w:rsidP="009F1F87">
      <w:pPr>
        <w:pStyle w:val="ListBullet"/>
        <w:numPr>
          <w:ilvl w:val="0"/>
          <w:numId w:val="0"/>
        </w:numPr>
        <w:rPr>
          <w:szCs w:val="20"/>
        </w:rPr>
      </w:pPr>
      <w:r w:rsidRPr="00315F60">
        <w:rPr>
          <w:szCs w:val="20"/>
        </w:rPr>
        <w:t>Eight</w:t>
      </w:r>
      <w:r w:rsidR="000C6F01" w:rsidRPr="00315F60">
        <w:rPr>
          <w:szCs w:val="20"/>
        </w:rPr>
        <w:t xml:space="preserve"> options for the future reporting of </w:t>
      </w:r>
      <w:r w:rsidR="00A75F38" w:rsidRPr="00315F60">
        <w:rPr>
          <w:szCs w:val="20"/>
        </w:rPr>
        <w:t>resident on resident</w:t>
      </w:r>
      <w:r w:rsidR="000C6F01" w:rsidRPr="00315F60">
        <w:rPr>
          <w:szCs w:val="20"/>
        </w:rPr>
        <w:t xml:space="preserve"> incidents in a SIRS were presented, and analysed</w:t>
      </w:r>
      <w:r w:rsidR="001952BF" w:rsidRPr="00315F60">
        <w:rPr>
          <w:szCs w:val="20"/>
        </w:rPr>
        <w:t xml:space="preserve">. </w:t>
      </w:r>
      <w:r w:rsidR="000C6F01" w:rsidRPr="00315F60">
        <w:rPr>
          <w:szCs w:val="20"/>
        </w:rPr>
        <w:t>These include:</w:t>
      </w:r>
    </w:p>
    <w:p w:rsidR="000C6F01" w:rsidRPr="00315F60" w:rsidRDefault="000C6F01" w:rsidP="00411FCA">
      <w:pPr>
        <w:pStyle w:val="Bullet1stlevel"/>
      </w:pPr>
      <w:r w:rsidRPr="00315F60">
        <w:t xml:space="preserve">Option 1: Report </w:t>
      </w:r>
      <w:r w:rsidR="005041B4" w:rsidRPr="00315F60">
        <w:t>all Type 1 and Type 2 incidents</w:t>
      </w:r>
    </w:p>
    <w:p w:rsidR="000C6F01" w:rsidRPr="00315F60" w:rsidRDefault="000C6F01" w:rsidP="00411FCA">
      <w:pPr>
        <w:pStyle w:val="Bullet1stlevel"/>
      </w:pPr>
      <w:r w:rsidRPr="00315F60">
        <w:t>Option 2.1: R</w:t>
      </w:r>
      <w:r w:rsidR="005041B4" w:rsidRPr="00315F60">
        <w:t>eport All Type 1 incidents only</w:t>
      </w:r>
    </w:p>
    <w:p w:rsidR="000C6F01" w:rsidRPr="00315F60" w:rsidRDefault="000C6F01" w:rsidP="00411FCA">
      <w:pPr>
        <w:pStyle w:val="Bullet1stlevel"/>
      </w:pPr>
      <w:r w:rsidRPr="00315F60">
        <w:t>Option 2.</w:t>
      </w:r>
      <w:r w:rsidR="00C90917" w:rsidRPr="00315F60">
        <w:t>2</w:t>
      </w:r>
      <w:r w:rsidRPr="00315F60">
        <w:t>: Report all Type</w:t>
      </w:r>
      <w:r w:rsidR="005041B4" w:rsidRPr="00315F60">
        <w:t xml:space="preserve"> </w:t>
      </w:r>
      <w:r w:rsidRPr="00315F60">
        <w:t>1</w:t>
      </w:r>
      <w:r w:rsidR="005041B4" w:rsidRPr="00315F60">
        <w:t xml:space="preserve"> unreasonable use of force only</w:t>
      </w:r>
    </w:p>
    <w:p w:rsidR="000C6F01" w:rsidRPr="00315F60" w:rsidRDefault="000C6F01" w:rsidP="00411FCA">
      <w:pPr>
        <w:pStyle w:val="Bullet1stlevel"/>
      </w:pPr>
      <w:r w:rsidRPr="00315F60">
        <w:t>Option 2.</w:t>
      </w:r>
      <w:r w:rsidR="00C90917" w:rsidRPr="00315F60">
        <w:t>3</w:t>
      </w:r>
      <w:r w:rsidRPr="00315F60">
        <w:t xml:space="preserve">: Report Type </w:t>
      </w:r>
      <w:r w:rsidR="005041B4" w:rsidRPr="00315F60">
        <w:t>1 unlawful sexual contact only</w:t>
      </w:r>
    </w:p>
    <w:p w:rsidR="000C6F01" w:rsidRPr="00315F60" w:rsidRDefault="000C6F01" w:rsidP="00411FCA">
      <w:pPr>
        <w:pStyle w:val="Bullet1stlevel"/>
      </w:pPr>
      <w:r w:rsidRPr="00315F60">
        <w:t>Option 2.</w:t>
      </w:r>
      <w:r w:rsidR="00C90917" w:rsidRPr="00315F60">
        <w:t>4</w:t>
      </w:r>
      <w:r w:rsidRPr="00315F60">
        <w:t xml:space="preserve">: Report Type 1 incidents of </w:t>
      </w:r>
      <w:r w:rsidR="005041B4" w:rsidRPr="00315F60">
        <w:t>a ‘higher’ level of impact only</w:t>
      </w:r>
    </w:p>
    <w:p w:rsidR="000C6F01" w:rsidRPr="00315F60" w:rsidRDefault="000C6F01" w:rsidP="00411FCA">
      <w:pPr>
        <w:pStyle w:val="Bullet1stlevel"/>
      </w:pPr>
      <w:r w:rsidRPr="00315F60">
        <w:t>Option 2.</w:t>
      </w:r>
      <w:r w:rsidR="00C90917" w:rsidRPr="00315F60">
        <w:t>5</w:t>
      </w:r>
      <w:r w:rsidRPr="00315F60">
        <w:t>: Report all Type 1 incidents triggering particular t</w:t>
      </w:r>
      <w:r w:rsidR="005041B4" w:rsidRPr="00315F60">
        <w:t>ypes of provider responses only</w:t>
      </w:r>
    </w:p>
    <w:p w:rsidR="000C6F01" w:rsidRPr="00315F60" w:rsidRDefault="000C6F01" w:rsidP="00411FCA">
      <w:pPr>
        <w:pStyle w:val="Bullet1stlevel"/>
      </w:pPr>
      <w:r w:rsidRPr="00315F60">
        <w:t>Option 2.</w:t>
      </w:r>
      <w:r w:rsidR="00C90917" w:rsidRPr="00315F60">
        <w:t>6</w:t>
      </w:r>
      <w:r w:rsidRPr="00315F60">
        <w:t>: Report all Type 1 unlawful sexual contact and all Type 1 unreasonable use of force associated wit</w:t>
      </w:r>
      <w:r w:rsidR="005041B4" w:rsidRPr="00315F60">
        <w:t>h a higher level of impact only</w:t>
      </w:r>
    </w:p>
    <w:p w:rsidR="000C6F01" w:rsidRPr="00315F60" w:rsidRDefault="000C6F01" w:rsidP="00411FCA">
      <w:pPr>
        <w:pStyle w:val="Bullet1stlevel"/>
      </w:pPr>
      <w:r w:rsidRPr="00315F60">
        <w:t>Option 3: No change to the reporting requirements.</w:t>
      </w:r>
    </w:p>
    <w:p w:rsidR="000C6F01" w:rsidRPr="00315F60" w:rsidRDefault="00517385" w:rsidP="009F1F87">
      <w:pPr>
        <w:pStyle w:val="ListBullet"/>
        <w:numPr>
          <w:ilvl w:val="0"/>
          <w:numId w:val="0"/>
        </w:numPr>
        <w:rPr>
          <w:szCs w:val="20"/>
        </w:rPr>
      </w:pPr>
      <w:r w:rsidRPr="00315F60">
        <w:rPr>
          <w:szCs w:val="20"/>
        </w:rPr>
        <w:t>Each option was analysed, using the assessment principles of ease of application, level of reporting by services, regulatory response by the Commission, and the extent to which the option supported the capture of additional information on those incidents associated with the most harm.</w:t>
      </w:r>
      <w:r w:rsidR="000C6F01" w:rsidRPr="00315F60">
        <w:rPr>
          <w:szCs w:val="20"/>
        </w:rPr>
        <w:t xml:space="preserve"> Based on this assessment, two preferred options were identified</w:t>
      </w:r>
      <w:r w:rsidR="001952BF" w:rsidRPr="00315F60">
        <w:rPr>
          <w:szCs w:val="20"/>
        </w:rPr>
        <w:t xml:space="preserve">. </w:t>
      </w:r>
      <w:r w:rsidR="000C6F01" w:rsidRPr="00315F60">
        <w:rPr>
          <w:szCs w:val="20"/>
        </w:rPr>
        <w:t>These were Option 2.</w:t>
      </w:r>
      <w:r w:rsidR="00C90917" w:rsidRPr="00315F60">
        <w:rPr>
          <w:szCs w:val="20"/>
        </w:rPr>
        <w:t>4</w:t>
      </w:r>
      <w:r w:rsidR="000C6F01" w:rsidRPr="00315F60">
        <w:rPr>
          <w:szCs w:val="20"/>
        </w:rPr>
        <w:t xml:space="preserve"> and Option 2.</w:t>
      </w:r>
      <w:r w:rsidR="00C90917" w:rsidRPr="00315F60">
        <w:rPr>
          <w:szCs w:val="20"/>
        </w:rPr>
        <w:t>6</w:t>
      </w:r>
      <w:r w:rsidR="000C6F01" w:rsidRPr="00315F60">
        <w:rPr>
          <w:szCs w:val="20"/>
        </w:rPr>
        <w:t>. Benefits associated with both these options include:</w:t>
      </w:r>
    </w:p>
    <w:p w:rsidR="000C6F01" w:rsidRPr="00315F60" w:rsidRDefault="000C6F01" w:rsidP="00411FCA">
      <w:pPr>
        <w:pStyle w:val="Bullet1stlevel"/>
      </w:pPr>
      <w:r w:rsidRPr="00315F60">
        <w:t xml:space="preserve">They both collect additional information about serious </w:t>
      </w:r>
      <w:r w:rsidR="00A75F38" w:rsidRPr="00315F60">
        <w:t>resident on resident</w:t>
      </w:r>
      <w:r w:rsidRPr="00315F60">
        <w:t xml:space="preserve"> incidents which is not currently available.</w:t>
      </w:r>
    </w:p>
    <w:p w:rsidR="000C6F01" w:rsidRPr="00315F60" w:rsidRDefault="00C22BB4" w:rsidP="00411FCA">
      <w:pPr>
        <w:pStyle w:val="Bullet1stlevel"/>
      </w:pPr>
      <w:r w:rsidRPr="00315F60">
        <w:t>Both options target reporting to those incidents that are associated with the greatest impact on the resident who is the victim</w:t>
      </w:r>
      <w:r w:rsidR="000C6F01" w:rsidRPr="00315F60">
        <w:t>; this may facilitate the collection of data which can, in a more targeted way, inform system level and service specific interventions by the Commission and</w:t>
      </w:r>
      <w:r w:rsidR="003971E4" w:rsidRPr="00315F60">
        <w:t>,</w:t>
      </w:r>
      <w:r w:rsidR="000C6F01" w:rsidRPr="00315F60">
        <w:t xml:space="preserve"> in turn</w:t>
      </w:r>
      <w:r w:rsidR="003971E4" w:rsidRPr="00315F60">
        <w:t>,</w:t>
      </w:r>
      <w:r w:rsidR="000C6F01" w:rsidRPr="00315F60">
        <w:t xml:space="preserve"> enable services to deliver better quality care that enhances the experience and wellbeing of residents.</w:t>
      </w:r>
    </w:p>
    <w:p w:rsidR="00517385" w:rsidRPr="00315F60" w:rsidRDefault="00517385" w:rsidP="00411FCA">
      <w:pPr>
        <w:pStyle w:val="Bullet1stlevel"/>
      </w:pPr>
      <w:r w:rsidRPr="00315F60">
        <w:t>Both options present a lower volume of incidents for the Commission to analyse and respond to when compared to most of the other options</w:t>
      </w:r>
    </w:p>
    <w:p w:rsidR="00517385" w:rsidRPr="00315F60" w:rsidRDefault="00517385" w:rsidP="00411FCA">
      <w:pPr>
        <w:pStyle w:val="Bullet1stlevel"/>
      </w:pPr>
      <w:r w:rsidRPr="00315F60">
        <w:t>Both options present a lower volume of incidents for services to report when compared to most of the other options to expand the threshold and, as such, are associated with a lesser need for resources which are focused on making reports. This may free up resources to focus on local or service-specific efforts to improve the quality of care.</w:t>
      </w:r>
    </w:p>
    <w:p w:rsidR="000C6F01" w:rsidRPr="00315F60" w:rsidRDefault="000C6F01" w:rsidP="000C6F01">
      <w:pPr>
        <w:pStyle w:val="BodyText"/>
        <w:rPr>
          <w:szCs w:val="20"/>
        </w:rPr>
      </w:pPr>
      <w:r w:rsidRPr="00315F60">
        <w:rPr>
          <w:szCs w:val="20"/>
        </w:rPr>
        <w:lastRenderedPageBreak/>
        <w:t>The key challenge with both options relates to the ease of application of these thresholds</w:t>
      </w:r>
      <w:r w:rsidR="001952BF" w:rsidRPr="00315F60">
        <w:rPr>
          <w:szCs w:val="20"/>
        </w:rPr>
        <w:t xml:space="preserve">. </w:t>
      </w:r>
      <w:r w:rsidRPr="00315F60">
        <w:rPr>
          <w:szCs w:val="20"/>
        </w:rPr>
        <w:t>Both options would require services to be clear as to which specific incidents are in scope for reporting</w:t>
      </w:r>
      <w:r w:rsidR="001952BF" w:rsidRPr="00315F60">
        <w:rPr>
          <w:szCs w:val="20"/>
        </w:rPr>
        <w:t xml:space="preserve">. </w:t>
      </w:r>
      <w:r w:rsidRPr="00315F60">
        <w:rPr>
          <w:szCs w:val="20"/>
        </w:rPr>
        <w:t>As such, there will be a need for clear and simple tools and resources to help services understand new requirements, and education to embed the new practices should either of these options be implemented.</w:t>
      </w:r>
    </w:p>
    <w:p w:rsidR="000C6F01" w:rsidRPr="00315F60" w:rsidRDefault="000C6F01" w:rsidP="000C6F01">
      <w:pPr>
        <w:pStyle w:val="BodyText"/>
        <w:rPr>
          <w:szCs w:val="20"/>
        </w:rPr>
      </w:pPr>
      <w:r w:rsidRPr="00315F60">
        <w:rPr>
          <w:szCs w:val="20"/>
        </w:rPr>
        <w:t xml:space="preserve">In making a decision about the future threshold for reporting of </w:t>
      </w:r>
      <w:r w:rsidR="00A75F38" w:rsidRPr="00315F60">
        <w:rPr>
          <w:szCs w:val="20"/>
        </w:rPr>
        <w:t>resident on resident</w:t>
      </w:r>
      <w:r w:rsidRPr="00315F60">
        <w:rPr>
          <w:szCs w:val="20"/>
        </w:rPr>
        <w:t xml:space="preserve"> incidents, the level of maturity of this data collection should be considered</w:t>
      </w:r>
      <w:r w:rsidR="001952BF" w:rsidRPr="00315F60">
        <w:rPr>
          <w:szCs w:val="20"/>
        </w:rPr>
        <w:t xml:space="preserve">. </w:t>
      </w:r>
      <w:r w:rsidRPr="00315F60">
        <w:rPr>
          <w:szCs w:val="20"/>
        </w:rPr>
        <w:t>As further data is collected, more information will become available to guide ongoing reporting</w:t>
      </w:r>
      <w:r w:rsidR="001952BF" w:rsidRPr="00315F60">
        <w:rPr>
          <w:szCs w:val="20"/>
        </w:rPr>
        <w:t xml:space="preserve">. </w:t>
      </w:r>
    </w:p>
    <w:p w:rsidR="000C6F01" w:rsidRPr="00315F60" w:rsidRDefault="000C6F01" w:rsidP="002F54AD">
      <w:pPr>
        <w:pStyle w:val="HeadingLevel4NoNumber"/>
        <w:rPr>
          <w:color w:val="auto"/>
        </w:rPr>
      </w:pPr>
      <w:r w:rsidRPr="00315F60">
        <w:rPr>
          <w:color w:val="auto"/>
        </w:rPr>
        <w:t>Other considerations</w:t>
      </w:r>
    </w:p>
    <w:p w:rsidR="000C6F01" w:rsidRPr="00315F60" w:rsidRDefault="000C6F01" w:rsidP="000C6F01">
      <w:pPr>
        <w:pStyle w:val="BodyText"/>
      </w:pPr>
      <w:r w:rsidRPr="00315F60">
        <w:t xml:space="preserve">There are other aspects of a SIRS and the broader regulatory framework of aged care that are important to consider in setting the threshold of </w:t>
      </w:r>
      <w:r w:rsidR="00A75F38" w:rsidRPr="00315F60">
        <w:t>resident on resident</w:t>
      </w:r>
      <w:r w:rsidRPr="00315F60">
        <w:t xml:space="preserve"> </w:t>
      </w:r>
      <w:r w:rsidR="003971E4" w:rsidRPr="00315F60">
        <w:t xml:space="preserve">incident </w:t>
      </w:r>
      <w:r w:rsidRPr="00315F60">
        <w:t>reporting under a SIRS. These include:</w:t>
      </w:r>
    </w:p>
    <w:p w:rsidR="000C6F01" w:rsidRPr="00315F60" w:rsidRDefault="000C6F01" w:rsidP="00411FCA">
      <w:pPr>
        <w:pStyle w:val="Bullet1stlevel"/>
      </w:pPr>
      <w:r w:rsidRPr="00315F60">
        <w:t>Other design aspects of a SIRS, such as roles and responsibilities of the Commission and providers, as well as the threshold set for other types of incidents</w:t>
      </w:r>
    </w:p>
    <w:p w:rsidR="000C6F01" w:rsidRPr="00315F60" w:rsidRDefault="000C6F01" w:rsidP="00411FCA">
      <w:pPr>
        <w:pStyle w:val="Bullet1stlevel"/>
      </w:pPr>
      <w:r w:rsidRPr="00315F60">
        <w:t xml:space="preserve">Other policy levers that are in place or that could be implemented to respond to or prevent </w:t>
      </w:r>
      <w:r w:rsidR="00A75F38" w:rsidRPr="00315F60">
        <w:t>resident on resident</w:t>
      </w:r>
      <w:r w:rsidRPr="00315F60">
        <w:t xml:space="preserve"> incidents from occurring, or mitigating the harm associated with these incidents</w:t>
      </w:r>
    </w:p>
    <w:p w:rsidR="000C6F01" w:rsidRPr="00315F60" w:rsidRDefault="000C6F01" w:rsidP="00411FCA">
      <w:pPr>
        <w:pStyle w:val="Bullet1stlevel"/>
      </w:pPr>
      <w:r w:rsidRPr="00315F60">
        <w:t>The broader quality and safety framework that is in place and how this complements or interfaces with a SIRS</w:t>
      </w:r>
      <w:r w:rsidR="00837C0C" w:rsidRPr="00315F60">
        <w:t xml:space="preserve">, </w:t>
      </w:r>
      <w:r w:rsidR="00BB171A" w:rsidRPr="00315F60">
        <w:t>such as</w:t>
      </w:r>
      <w:r w:rsidR="00837C0C" w:rsidRPr="00315F60">
        <w:t xml:space="preserve"> the Aged Care Quality Standards, the Charter of Aged Care Rights, quality compliance, and open disclosure</w:t>
      </w:r>
      <w:r w:rsidRPr="00315F60">
        <w:t>.</w:t>
      </w:r>
    </w:p>
    <w:p w:rsidR="000C6F01" w:rsidRPr="00315F60" w:rsidRDefault="000C6F01" w:rsidP="000C6F01">
      <w:pPr>
        <w:pStyle w:val="BodyText"/>
      </w:pPr>
      <w:r w:rsidRPr="00315F60">
        <w:t>Information gaps still remain regarding resident</w:t>
      </w:r>
      <w:r w:rsidR="00BB171A" w:rsidRPr="00315F60">
        <w:t xml:space="preserve"> </w:t>
      </w:r>
      <w:r w:rsidRPr="00315F60">
        <w:t>on</w:t>
      </w:r>
      <w:r w:rsidR="00BB171A" w:rsidRPr="00315F60">
        <w:t xml:space="preserve"> </w:t>
      </w:r>
      <w:r w:rsidRPr="00315F60">
        <w:t>resident incidents that are not currently reported. There is a need for further research into these areas to better support future decision making for regulatory and policy responses.</w:t>
      </w:r>
    </w:p>
    <w:p w:rsidR="003A679B" w:rsidRPr="00315F60" w:rsidRDefault="003A679B" w:rsidP="00EF6B6C">
      <w:pPr>
        <w:pStyle w:val="Heading1"/>
        <w:rPr>
          <w:color w:val="auto"/>
        </w:rPr>
      </w:pPr>
      <w:bookmarkStart w:id="11" w:name="_Ref25416797"/>
      <w:bookmarkStart w:id="12" w:name="_Toc26979127"/>
      <w:bookmarkEnd w:id="2"/>
      <w:bookmarkEnd w:id="3"/>
      <w:r w:rsidRPr="00315F60">
        <w:rPr>
          <w:color w:val="auto"/>
        </w:rPr>
        <w:lastRenderedPageBreak/>
        <w:t>Introduction</w:t>
      </w:r>
      <w:bookmarkEnd w:id="11"/>
      <w:bookmarkEnd w:id="12"/>
    </w:p>
    <w:p w:rsidR="003A679B" w:rsidRPr="00315F60" w:rsidRDefault="003A679B" w:rsidP="00ED6621">
      <w:pPr>
        <w:pStyle w:val="BodyText"/>
      </w:pPr>
      <w:r w:rsidRPr="00315F60">
        <w:t>This section provides some background and context to the project</w:t>
      </w:r>
      <w:r w:rsidR="001952BF" w:rsidRPr="00315F60">
        <w:t xml:space="preserve">. </w:t>
      </w:r>
      <w:r w:rsidRPr="00315F60">
        <w:t xml:space="preserve">The project’s objectives and scope are also outlined. </w:t>
      </w:r>
    </w:p>
    <w:p w:rsidR="00CA2A08" w:rsidRPr="00315F60" w:rsidRDefault="003A679B" w:rsidP="002E7D8E">
      <w:pPr>
        <w:pStyle w:val="Heading2"/>
        <w:rPr>
          <w:color w:val="auto"/>
        </w:rPr>
      </w:pPr>
      <w:bookmarkStart w:id="13" w:name="_Ref23413922"/>
      <w:bookmarkStart w:id="14" w:name="_Toc26979128"/>
      <w:r w:rsidRPr="00315F60">
        <w:rPr>
          <w:color w:val="auto"/>
        </w:rPr>
        <w:t>Project</w:t>
      </w:r>
      <w:r w:rsidR="00F24C36" w:rsidRPr="00315F60">
        <w:rPr>
          <w:color w:val="auto"/>
        </w:rPr>
        <w:t xml:space="preserve"> context</w:t>
      </w:r>
      <w:bookmarkEnd w:id="13"/>
      <w:bookmarkEnd w:id="14"/>
    </w:p>
    <w:p w:rsidR="006959F9" w:rsidRPr="00315F60" w:rsidRDefault="0014352E" w:rsidP="006959F9">
      <w:pPr>
        <w:pStyle w:val="BodyText0"/>
        <w:jc w:val="both"/>
      </w:pPr>
      <w:bookmarkStart w:id="15" w:name="_Toc9428626"/>
      <w:bookmarkStart w:id="16" w:name="_Toc9428627"/>
      <w:bookmarkStart w:id="17" w:name="_Toc9428628"/>
      <w:bookmarkStart w:id="18" w:name="_Toc9428629"/>
      <w:bookmarkStart w:id="19" w:name="_Toc9428630"/>
      <w:bookmarkStart w:id="20" w:name="_Toc9428631"/>
      <w:bookmarkStart w:id="21" w:name="_Toc9428632"/>
      <w:bookmarkStart w:id="22" w:name="_Toc9428633"/>
      <w:bookmarkEnd w:id="15"/>
      <w:bookmarkEnd w:id="16"/>
      <w:bookmarkEnd w:id="17"/>
      <w:bookmarkEnd w:id="18"/>
      <w:bookmarkEnd w:id="19"/>
      <w:bookmarkEnd w:id="20"/>
      <w:bookmarkEnd w:id="21"/>
      <w:bookmarkEnd w:id="22"/>
      <w:r w:rsidRPr="00315F60">
        <w:t>Elder abuse in Australia has become more visible and its prevalence appears to be growing. Estimates indicate that between two and 14 per cent of older people experience abuse.</w:t>
      </w:r>
      <w:r w:rsidR="00D25EB4" w:rsidRPr="00315F60">
        <w:rPr>
          <w:rStyle w:val="FootnoteReference"/>
          <w:sz w:val="20"/>
        </w:rPr>
        <w:t xml:space="preserve"> </w:t>
      </w:r>
      <w:r w:rsidR="00D25EB4" w:rsidRPr="00315F60">
        <w:rPr>
          <w:rStyle w:val="FootnoteReference"/>
          <w:sz w:val="20"/>
        </w:rPr>
        <w:footnoteReference w:id="7"/>
      </w:r>
      <w:r w:rsidR="001952BF" w:rsidRPr="00315F60">
        <w:t xml:space="preserve"> </w:t>
      </w:r>
      <w:r w:rsidRPr="00315F60">
        <w:t>There is limited research on the incidence of elder abuse in Commonwealth-funded aged care. However, older people in residential aged care settings are particularly vulnerable to abuse as they tend to be frailer and dependent on others to provide care.</w:t>
      </w:r>
      <w:r w:rsidRPr="00315F60">
        <w:rPr>
          <w:rStyle w:val="FootnoteReference"/>
          <w:sz w:val="20"/>
        </w:rPr>
        <w:footnoteReference w:id="8"/>
      </w:r>
      <w:r w:rsidRPr="00315F60">
        <w:t xml:space="preserve"> </w:t>
      </w:r>
    </w:p>
    <w:p w:rsidR="005C164D" w:rsidRPr="00315F60" w:rsidRDefault="005C164D" w:rsidP="002F54AD">
      <w:pPr>
        <w:pStyle w:val="HeadingLevel4NoNumber"/>
        <w:rPr>
          <w:color w:val="auto"/>
        </w:rPr>
      </w:pPr>
      <w:r w:rsidRPr="00315F60">
        <w:rPr>
          <w:color w:val="auto"/>
        </w:rPr>
        <w:t>Existing safeguards</w:t>
      </w:r>
    </w:p>
    <w:p w:rsidR="006959F9" w:rsidRPr="00315F60" w:rsidRDefault="006959F9" w:rsidP="006959F9">
      <w:pPr>
        <w:pStyle w:val="BodyText0"/>
        <w:jc w:val="both"/>
      </w:pPr>
      <w:r w:rsidRPr="00315F60">
        <w:t>Safeguards are currently in place to protect older people in residential aged care from abuse. Existing provisions in the Act require approved providers of residential aged care to report an allegation, or a suspicion, of a ‘reportable assault’ on a resident.</w:t>
      </w:r>
      <w:r w:rsidRPr="00315F60">
        <w:rPr>
          <w:rStyle w:val="FootnoteReference"/>
          <w:sz w:val="20"/>
        </w:rPr>
        <w:footnoteReference w:id="9"/>
      </w:r>
      <w:r w:rsidRPr="00315F60">
        <w:t xml:space="preserve"> ‘Reportable assaults’ are defined as:</w:t>
      </w:r>
    </w:p>
    <w:p w:rsidR="006959F9" w:rsidRPr="00315F60" w:rsidRDefault="006959F9" w:rsidP="009F1F87">
      <w:pPr>
        <w:pStyle w:val="BodyText0"/>
        <w:numPr>
          <w:ilvl w:val="0"/>
          <w:numId w:val="39"/>
        </w:numPr>
        <w:ind w:left="360"/>
        <w:jc w:val="both"/>
      </w:pPr>
      <w:r w:rsidRPr="00315F60">
        <w:rPr>
          <w:i/>
        </w:rPr>
        <w:t>Unlawful sexual contact</w:t>
      </w:r>
      <w:r w:rsidRPr="00315F60">
        <w:t xml:space="preserve">, which refers to non-consensual sexual contact involving residents in </w:t>
      </w:r>
      <w:r w:rsidR="00612376" w:rsidRPr="00315F60">
        <w:t xml:space="preserve">residential </w:t>
      </w:r>
      <w:r w:rsidRPr="00315F60">
        <w:t>aged care facilities. Where the contact involves residents with an assessed cognitive or mental impairment, the resident may not have the ability to provide informed consent</w:t>
      </w:r>
    </w:p>
    <w:p w:rsidR="006959F9" w:rsidRPr="00315F60" w:rsidRDefault="006959F9" w:rsidP="009F1F87">
      <w:pPr>
        <w:pStyle w:val="BodyText0"/>
        <w:numPr>
          <w:ilvl w:val="0"/>
          <w:numId w:val="39"/>
        </w:numPr>
        <w:ind w:left="360"/>
        <w:jc w:val="both"/>
      </w:pPr>
      <w:r w:rsidRPr="00315F60">
        <w:rPr>
          <w:i/>
        </w:rPr>
        <w:t>Unreasonable use of force</w:t>
      </w:r>
      <w:r w:rsidRPr="00315F60">
        <w:t>, which is intended to capture assaults ranging from deliberate and violent physical attacks on residents to the use of unwarranted physical force on a resident. This may include hitting, punching or kicking a resident regardless of whether this causes visible harm, such as bruising.</w:t>
      </w:r>
    </w:p>
    <w:p w:rsidR="005C164D" w:rsidRPr="00315F60" w:rsidRDefault="005C164D" w:rsidP="005C164D">
      <w:pPr>
        <w:jc w:val="both"/>
        <w:rPr>
          <w:bCs/>
          <w:szCs w:val="20"/>
        </w:rPr>
      </w:pPr>
      <w:r w:rsidRPr="00315F60">
        <w:rPr>
          <w:szCs w:val="20"/>
        </w:rPr>
        <w:t xml:space="preserve">An approved provider must report an allegation, or a suspicion on reasonable grounds, of a ‘reportable assault’ on a resident to police and the Department within 24 hours. </w:t>
      </w:r>
      <w:r w:rsidRPr="00315F60">
        <w:rPr>
          <w:bCs/>
          <w:szCs w:val="20"/>
        </w:rPr>
        <w:t xml:space="preserve">Not all reportable assaults are required to be reported to the Department. Exemptions for reporting include: </w:t>
      </w:r>
    </w:p>
    <w:p w:rsidR="005C164D" w:rsidRPr="00315F60" w:rsidRDefault="005C164D" w:rsidP="009F1F87">
      <w:pPr>
        <w:pStyle w:val="BodyText0"/>
        <w:numPr>
          <w:ilvl w:val="0"/>
          <w:numId w:val="39"/>
        </w:numPr>
        <w:ind w:left="360"/>
        <w:jc w:val="both"/>
      </w:pPr>
      <w:r w:rsidRPr="00315F60">
        <w:t>When the alleged assault is perpetrated by a resident with an assessed cognitive or mental impairment and care arrangements are put in place to manage the behaviour within 24 hours</w:t>
      </w:r>
    </w:p>
    <w:p w:rsidR="005C164D" w:rsidRPr="00315F60" w:rsidRDefault="005C164D" w:rsidP="009F1F87">
      <w:pPr>
        <w:pStyle w:val="BodyText0"/>
        <w:numPr>
          <w:ilvl w:val="0"/>
          <w:numId w:val="39"/>
        </w:numPr>
        <w:ind w:left="360"/>
        <w:jc w:val="both"/>
      </w:pPr>
      <w:r w:rsidRPr="00315F60">
        <w:t>When</w:t>
      </w:r>
      <w:r w:rsidR="00C90917" w:rsidRPr="00315F60">
        <w:t xml:space="preserve"> </w:t>
      </w:r>
      <w:r w:rsidR="002010F8" w:rsidRPr="00315F60">
        <w:t xml:space="preserve">an </w:t>
      </w:r>
      <w:r w:rsidR="00C90917" w:rsidRPr="00315F60">
        <w:t>allegation or suspicion relates to the same, or substantially the same, factual situation or event as an earlier allegation or suspicion of a reportable assault, and that earlier allegation or suspicion was reported to the Department.</w:t>
      </w:r>
    </w:p>
    <w:p w:rsidR="0014352E" w:rsidRPr="00315F60" w:rsidRDefault="0014352E" w:rsidP="002F54AD">
      <w:pPr>
        <w:pStyle w:val="HeadingLevel4NoNumber"/>
        <w:rPr>
          <w:color w:val="auto"/>
        </w:rPr>
      </w:pPr>
      <w:r w:rsidRPr="00315F60">
        <w:rPr>
          <w:color w:val="auto"/>
        </w:rPr>
        <w:t>Recommendations from recent inquiries and reviews</w:t>
      </w:r>
    </w:p>
    <w:p w:rsidR="0014352E" w:rsidRPr="00315F60" w:rsidRDefault="0014352E" w:rsidP="0014352E">
      <w:pPr>
        <w:pStyle w:val="BodyText0"/>
        <w:jc w:val="both"/>
      </w:pPr>
      <w:r w:rsidRPr="00315F60">
        <w:t>A number of inquiries and reviews have highlighted issues related to the current reportable assaults arrangements and have made recommendations to improve safeguards for older people. The ALRC report</w:t>
      </w:r>
      <w:r w:rsidR="006B7C35" w:rsidRPr="00315F60">
        <w:t>,</w:t>
      </w:r>
      <w:r w:rsidRPr="00315F60">
        <w:t xml:space="preserve"> concluded that the current reportable assault arrangements are ineffective and do not promote safe, quality care</w:t>
      </w:r>
      <w:r w:rsidR="007F13A4" w:rsidRPr="00315F60">
        <w:t>.</w:t>
      </w:r>
      <w:r w:rsidR="00D25EB4" w:rsidRPr="00315F60">
        <w:rPr>
          <w:rStyle w:val="FootnoteReference"/>
          <w:sz w:val="20"/>
        </w:rPr>
        <w:footnoteReference w:id="10"/>
      </w:r>
      <w:r w:rsidRPr="00315F60">
        <w:t xml:space="preserve"> In particular: </w:t>
      </w:r>
    </w:p>
    <w:p w:rsidR="0014352E" w:rsidRPr="00315F60" w:rsidRDefault="0014352E" w:rsidP="009F1F87">
      <w:pPr>
        <w:pStyle w:val="BodyText0"/>
        <w:numPr>
          <w:ilvl w:val="0"/>
          <w:numId w:val="39"/>
        </w:numPr>
        <w:ind w:left="360"/>
        <w:jc w:val="both"/>
      </w:pPr>
      <w:r w:rsidRPr="00315F60">
        <w:lastRenderedPageBreak/>
        <w:t>The definition of ‘reportable assault’ may exclude certain serious incidents of abuse and neglect occurring in residential aged care</w:t>
      </w:r>
    </w:p>
    <w:p w:rsidR="0014352E" w:rsidRPr="00315F60" w:rsidRDefault="0014352E" w:rsidP="009F1F87">
      <w:pPr>
        <w:pStyle w:val="BodyText0"/>
        <w:numPr>
          <w:ilvl w:val="0"/>
          <w:numId w:val="39"/>
        </w:numPr>
        <w:ind w:left="360"/>
        <w:jc w:val="both"/>
      </w:pPr>
      <w:r w:rsidRPr="00315F60">
        <w:t xml:space="preserve">The exemptions relating to the reporting of </w:t>
      </w:r>
      <w:r w:rsidR="00D21F83" w:rsidRPr="00315F60">
        <w:t xml:space="preserve">certain </w:t>
      </w:r>
      <w:r w:rsidR="004C4435" w:rsidRPr="00315F60">
        <w:t>resident on resident</w:t>
      </w:r>
      <w:r w:rsidRPr="00315F60">
        <w:t xml:space="preserve"> violence may not be effective in ensuring a violence and abuse-free environment for residents</w:t>
      </w:r>
    </w:p>
    <w:p w:rsidR="0014352E" w:rsidRPr="00315F60" w:rsidRDefault="0014352E" w:rsidP="009F1F87">
      <w:pPr>
        <w:pStyle w:val="BodyText0"/>
        <w:numPr>
          <w:ilvl w:val="0"/>
          <w:numId w:val="39"/>
        </w:numPr>
        <w:ind w:left="360"/>
        <w:jc w:val="both"/>
      </w:pPr>
      <w:r w:rsidRPr="00315F60">
        <w:t>The reportable assault obligations only apply to approved providers of residential aged care</w:t>
      </w:r>
    </w:p>
    <w:p w:rsidR="0014352E" w:rsidRPr="00315F60" w:rsidRDefault="0014352E" w:rsidP="009F1F87">
      <w:pPr>
        <w:pStyle w:val="BodyText0"/>
        <w:numPr>
          <w:ilvl w:val="0"/>
          <w:numId w:val="39"/>
        </w:numPr>
        <w:ind w:left="360"/>
        <w:jc w:val="both"/>
      </w:pPr>
      <w:r w:rsidRPr="00315F60">
        <w:t xml:space="preserve">There are no specific legislative requirements for the way </w:t>
      </w:r>
      <w:r w:rsidR="006B7C35" w:rsidRPr="00315F60">
        <w:t xml:space="preserve">approved </w:t>
      </w:r>
      <w:r w:rsidRPr="00315F60">
        <w:t>providers need to respond to reportable assaults</w:t>
      </w:r>
    </w:p>
    <w:p w:rsidR="006959F9" w:rsidRPr="00315F60" w:rsidRDefault="0014352E" w:rsidP="009F1F87">
      <w:pPr>
        <w:pStyle w:val="BodyText0"/>
        <w:numPr>
          <w:ilvl w:val="0"/>
          <w:numId w:val="39"/>
        </w:numPr>
        <w:ind w:left="360"/>
        <w:jc w:val="both"/>
      </w:pPr>
      <w:r w:rsidRPr="00315F60">
        <w:t xml:space="preserve">Provider responses to reportable assaults are not adequately overseen. </w:t>
      </w:r>
    </w:p>
    <w:p w:rsidR="006959F9" w:rsidRPr="00315F60" w:rsidRDefault="006959F9" w:rsidP="007A5B0B">
      <w:pPr>
        <w:pStyle w:val="BodyText"/>
        <w:rPr>
          <w:szCs w:val="20"/>
        </w:rPr>
      </w:pPr>
      <w:r w:rsidRPr="00315F60">
        <w:t xml:space="preserve">The Carnell-Paterson Review also identified limitations in the current approach, including that the </w:t>
      </w:r>
      <w:r w:rsidRPr="00315F60">
        <w:rPr>
          <w:szCs w:val="20"/>
        </w:rPr>
        <w:t xml:space="preserve">current definition of a serious incident is narrow and no responsibility </w:t>
      </w:r>
      <w:r w:rsidR="007A5B0B" w:rsidRPr="00315F60">
        <w:rPr>
          <w:szCs w:val="20"/>
        </w:rPr>
        <w:t xml:space="preserve">is </w:t>
      </w:r>
      <w:r w:rsidRPr="00315F60">
        <w:rPr>
          <w:szCs w:val="20"/>
        </w:rPr>
        <w:t xml:space="preserve">placed on the approved provider other than to report the assault. This leaves a gap in relation to whether a response is made as a consequence of the incident, and whether the response is adequate to ensure the safety of the older person and </w:t>
      </w:r>
      <w:r w:rsidR="006B7C35" w:rsidRPr="00315F60">
        <w:rPr>
          <w:szCs w:val="20"/>
        </w:rPr>
        <w:t xml:space="preserve">prevent the occurrence of </w:t>
      </w:r>
      <w:r w:rsidRPr="00315F60">
        <w:rPr>
          <w:szCs w:val="20"/>
        </w:rPr>
        <w:t>similar incidents.</w:t>
      </w:r>
    </w:p>
    <w:p w:rsidR="0014352E" w:rsidRPr="00315F60" w:rsidRDefault="0014352E" w:rsidP="0014352E">
      <w:pPr>
        <w:pStyle w:val="BodyText0"/>
        <w:jc w:val="both"/>
      </w:pPr>
      <w:r w:rsidRPr="00315F60">
        <w:t>Both the ALRC report and the Carnell-Paterson Review recommended that a new SIRS be implemented.</w:t>
      </w:r>
      <w:r w:rsidRPr="00315F60">
        <w:rPr>
          <w:rStyle w:val="FootnoteReference"/>
          <w:sz w:val="20"/>
        </w:rPr>
        <w:footnoteReference w:id="11"/>
      </w:r>
      <w:r w:rsidR="001952BF" w:rsidRPr="00315F60">
        <w:t xml:space="preserve"> </w:t>
      </w:r>
      <w:r w:rsidRPr="00315F60">
        <w:t xml:space="preserve">In response to this recommendation, the </w:t>
      </w:r>
      <w:r w:rsidR="007A5B0B" w:rsidRPr="00315F60">
        <w:t xml:space="preserve">Commonwealth </w:t>
      </w:r>
      <w:r w:rsidRPr="00315F60">
        <w:t xml:space="preserve">Government announced in the 2018-19 Budget that it would develop options for a SIRS, in consultation with the aged care sector. </w:t>
      </w:r>
    </w:p>
    <w:p w:rsidR="0014352E" w:rsidRPr="00315F60" w:rsidRDefault="0014352E" w:rsidP="002F54AD">
      <w:pPr>
        <w:pStyle w:val="HeadingLevel4NoNumber"/>
        <w:rPr>
          <w:color w:val="auto"/>
        </w:rPr>
      </w:pPr>
      <w:r w:rsidRPr="00315F60">
        <w:rPr>
          <w:color w:val="auto"/>
        </w:rPr>
        <w:t>Preparatory work for a SIRS</w:t>
      </w:r>
    </w:p>
    <w:p w:rsidR="00D21F83" w:rsidRPr="00315F60" w:rsidRDefault="0014352E" w:rsidP="007A5B0B">
      <w:pPr>
        <w:pStyle w:val="BodyText"/>
      </w:pPr>
      <w:r w:rsidRPr="00315F60">
        <w:t xml:space="preserve">The </w:t>
      </w:r>
      <w:r w:rsidR="009F20CC" w:rsidRPr="00315F60">
        <w:t xml:space="preserve">Commonwealth </w:t>
      </w:r>
      <w:r w:rsidRPr="00315F60">
        <w:t xml:space="preserve">Government announced in the 2019-20 Budget that it would fund preparatory work to introduce a SIRS for residential aged care as part of the </w:t>
      </w:r>
      <w:r w:rsidRPr="00315F60">
        <w:rPr>
          <w:i/>
        </w:rPr>
        <w:t>More Choices fo</w:t>
      </w:r>
      <w:r w:rsidR="00D21F83" w:rsidRPr="00315F60">
        <w:rPr>
          <w:i/>
        </w:rPr>
        <w:t>r a Longer Life</w:t>
      </w:r>
      <w:r w:rsidR="00D21F83" w:rsidRPr="00315F60">
        <w:t xml:space="preserve"> Budget measure. </w:t>
      </w:r>
      <w:r w:rsidRPr="00315F60">
        <w:t xml:space="preserve">The Department is </w:t>
      </w:r>
      <w:r w:rsidR="00D21F83" w:rsidRPr="00315F60">
        <w:t xml:space="preserve">currently </w:t>
      </w:r>
      <w:r w:rsidRPr="00315F60">
        <w:t xml:space="preserve">undertaking </w:t>
      </w:r>
      <w:r w:rsidR="00D21F83" w:rsidRPr="00315F60">
        <w:t xml:space="preserve">this </w:t>
      </w:r>
      <w:r w:rsidRPr="00315F60">
        <w:t xml:space="preserve">preparatory work </w:t>
      </w:r>
      <w:r w:rsidR="00D21F83" w:rsidRPr="00315F60">
        <w:t>focus</w:t>
      </w:r>
      <w:r w:rsidR="004755E9" w:rsidRPr="00315F60">
        <w:t>ing</w:t>
      </w:r>
      <w:r w:rsidRPr="00315F60">
        <w:t xml:space="preserve"> on the development and definition of the finer details of operation of a SIRS for residential aged care. </w:t>
      </w:r>
      <w:r w:rsidR="00D21F83" w:rsidRPr="00315F60">
        <w:t>This includes understanding the prevalence of resident</w:t>
      </w:r>
      <w:r w:rsidR="009F20CC" w:rsidRPr="00315F60">
        <w:t xml:space="preserve"> </w:t>
      </w:r>
      <w:r w:rsidR="00D21F83" w:rsidRPr="00315F60">
        <w:t>on</w:t>
      </w:r>
      <w:r w:rsidR="009F20CC" w:rsidRPr="00315F60">
        <w:t xml:space="preserve"> </w:t>
      </w:r>
      <w:r w:rsidR="00D21F83" w:rsidRPr="00315F60">
        <w:t>resident incidents to inform decision making.</w:t>
      </w:r>
    </w:p>
    <w:p w:rsidR="0014352E" w:rsidRPr="00315F60" w:rsidRDefault="0014352E" w:rsidP="002F54AD">
      <w:pPr>
        <w:pStyle w:val="HeadingLevel4NoNumber"/>
        <w:rPr>
          <w:color w:val="auto"/>
        </w:rPr>
      </w:pPr>
      <w:r w:rsidRPr="00315F60">
        <w:rPr>
          <w:color w:val="auto"/>
        </w:rPr>
        <w:t>Broader quality and safety framework of aged care</w:t>
      </w:r>
    </w:p>
    <w:p w:rsidR="006959F9" w:rsidRPr="00315F60" w:rsidRDefault="00D21F83" w:rsidP="007A5B0B">
      <w:pPr>
        <w:pStyle w:val="BodyText"/>
      </w:pPr>
      <w:r w:rsidRPr="00315F60">
        <w:t xml:space="preserve">A SIRS sits within the broader safeguarding framework of aged care that ensures the safety of </w:t>
      </w:r>
      <w:r w:rsidR="00882453" w:rsidRPr="00315F60">
        <w:t>resident</w:t>
      </w:r>
      <w:r w:rsidRPr="00315F60">
        <w:t>s.</w:t>
      </w:r>
      <w:r w:rsidR="00DD3A90" w:rsidRPr="00315F60">
        <w:t xml:space="preserve"> T</w:t>
      </w:r>
      <w:r w:rsidR="0014352E" w:rsidRPr="00315F60">
        <w:t>he effectiveness of a SIRS is dependent on its interface with other quality and safety functions of the aged care system. Other regulatory settings relevant to a SIRS include the Aged Care Quality Standards, the Charter of Aged Care Rights,</w:t>
      </w:r>
      <w:r w:rsidRPr="00315F60">
        <w:t xml:space="preserve"> quality compliance</w:t>
      </w:r>
      <w:r w:rsidR="003A679B" w:rsidRPr="00315F60">
        <w:t>,</w:t>
      </w:r>
      <w:r w:rsidR="0014352E" w:rsidRPr="00315F60">
        <w:t xml:space="preserve"> and open disclosure. These settings support </w:t>
      </w:r>
      <w:r w:rsidR="003A679B" w:rsidRPr="00315F60">
        <w:t xml:space="preserve">approved </w:t>
      </w:r>
      <w:r w:rsidR="0014352E" w:rsidRPr="00315F60">
        <w:t>providers to engage in risk management and continuous improvement activities to deliver safe, quality care to</w:t>
      </w:r>
      <w:r w:rsidR="009F20CC" w:rsidRPr="00315F60">
        <w:t xml:space="preserve"> residents of</w:t>
      </w:r>
      <w:r w:rsidR="0014352E" w:rsidRPr="00315F60">
        <w:t xml:space="preserve"> residential aged care. </w:t>
      </w:r>
      <w:r w:rsidR="006959F9" w:rsidRPr="00315F60">
        <w:t>In addition, there are a range of other interventions – other than regulatory oversight – that have been identified in recent research to address this issue, including existing programs such as:</w:t>
      </w:r>
    </w:p>
    <w:p w:rsidR="006959F9" w:rsidRPr="00315F60" w:rsidRDefault="006959F9" w:rsidP="009F1F87">
      <w:pPr>
        <w:pStyle w:val="BodyText0"/>
        <w:numPr>
          <w:ilvl w:val="0"/>
          <w:numId w:val="39"/>
        </w:numPr>
        <w:ind w:left="360"/>
        <w:jc w:val="both"/>
      </w:pPr>
      <w:r w:rsidRPr="00315F60">
        <w:t>Mandatory training for residential aged care staff and advice (such as through the Dementia Training Program)</w:t>
      </w:r>
    </w:p>
    <w:p w:rsidR="006959F9" w:rsidRPr="00315F60" w:rsidRDefault="006959F9" w:rsidP="009F1F87">
      <w:pPr>
        <w:pStyle w:val="BodyText0"/>
        <w:numPr>
          <w:ilvl w:val="0"/>
          <w:numId w:val="39"/>
        </w:numPr>
        <w:ind w:left="360"/>
        <w:jc w:val="both"/>
      </w:pPr>
      <w:r w:rsidRPr="00315F60">
        <w:t xml:space="preserve">Services that respond to behavioural and psychological symptoms of dementia such as the Dementia Behaviour Management Advisory Service </w:t>
      </w:r>
      <w:r w:rsidR="005C164D" w:rsidRPr="00315F60">
        <w:t xml:space="preserve">(DBMAS) </w:t>
      </w:r>
      <w:r w:rsidRPr="00315F60">
        <w:t>or Severe Behaviour Response Teams</w:t>
      </w:r>
      <w:r w:rsidR="005C164D" w:rsidRPr="00315F60">
        <w:t xml:space="preserve"> (SBRT)</w:t>
      </w:r>
      <w:r w:rsidRPr="00315F60">
        <w:t>.</w:t>
      </w:r>
    </w:p>
    <w:p w:rsidR="0014352E" w:rsidRPr="00315F60" w:rsidRDefault="00D21F83" w:rsidP="007A5B0B">
      <w:pPr>
        <w:pStyle w:val="BodyText"/>
      </w:pPr>
      <w:r w:rsidRPr="00315F60">
        <w:t>It will be important to consider the intersection of a SIRS (and its relevant design components) with the current and future quality and safety functions of the aged care system</w:t>
      </w:r>
      <w:r w:rsidR="006959F9" w:rsidRPr="00315F60">
        <w:t xml:space="preserve"> and these other interventions</w:t>
      </w:r>
      <w:r w:rsidRPr="00315F60">
        <w:t>.</w:t>
      </w:r>
    </w:p>
    <w:p w:rsidR="003C0885" w:rsidRPr="00315F60" w:rsidRDefault="003C0885" w:rsidP="003C0885">
      <w:pPr>
        <w:pStyle w:val="HeadingLevel4NoNumber"/>
        <w:rPr>
          <w:color w:val="auto"/>
        </w:rPr>
      </w:pPr>
      <w:bookmarkStart w:id="23" w:name="_Toc26979129"/>
      <w:r w:rsidRPr="00315F60">
        <w:rPr>
          <w:color w:val="auto"/>
        </w:rPr>
        <w:lastRenderedPageBreak/>
        <w:t>Options proposed for a SIRS</w:t>
      </w:r>
    </w:p>
    <w:p w:rsidR="003C0885" w:rsidRPr="00315F60" w:rsidRDefault="003C0885" w:rsidP="003C0885">
      <w:pPr>
        <w:pStyle w:val="BodyText0"/>
        <w:jc w:val="both"/>
      </w:pPr>
      <w:r w:rsidRPr="00315F60">
        <w:t>During 2018, options for a SIRS were developed by KPMG in consultation with the aged care sector in order to seek to resolve the issues presented in the ALRC report.</w:t>
      </w:r>
      <w:r w:rsidRPr="00315F60">
        <w:rPr>
          <w:rStyle w:val="FootnoteReference"/>
          <w:sz w:val="20"/>
        </w:rPr>
        <w:footnoteReference w:id="12"/>
      </w:r>
      <w:r w:rsidRPr="00315F60">
        <w:t xml:space="preserve"> Several options were outlined, including one to introduce a SIRS that includes aggression and abuse between residents in residential aged care and removes current exemptions that apply to residents with cognitive impairment. This option recommended that a reportable incident between residents in residential aged care should be defined to mean: </w:t>
      </w:r>
    </w:p>
    <w:p w:rsidR="003C0885" w:rsidRPr="00315F60" w:rsidRDefault="003C0885" w:rsidP="003C0885">
      <w:pPr>
        <w:pStyle w:val="BodyText0"/>
        <w:numPr>
          <w:ilvl w:val="0"/>
          <w:numId w:val="39"/>
        </w:numPr>
        <w:ind w:left="360"/>
        <w:jc w:val="both"/>
      </w:pPr>
      <w:r w:rsidRPr="00315F60">
        <w:t>Sexual abuse</w:t>
      </w:r>
    </w:p>
    <w:p w:rsidR="003C0885" w:rsidRPr="00315F60" w:rsidRDefault="003C0885" w:rsidP="003C0885">
      <w:pPr>
        <w:pStyle w:val="BodyText0"/>
        <w:numPr>
          <w:ilvl w:val="0"/>
          <w:numId w:val="39"/>
        </w:numPr>
        <w:ind w:left="360"/>
        <w:jc w:val="both"/>
      </w:pPr>
      <w:r w:rsidRPr="00315F60">
        <w:t>Physical abuse causing serious injury</w:t>
      </w:r>
    </w:p>
    <w:p w:rsidR="003C0885" w:rsidRPr="00315F60" w:rsidRDefault="003C0885" w:rsidP="003C0885">
      <w:pPr>
        <w:pStyle w:val="BodyText0"/>
        <w:numPr>
          <w:ilvl w:val="0"/>
          <w:numId w:val="39"/>
        </w:numPr>
        <w:ind w:left="360"/>
        <w:jc w:val="both"/>
      </w:pPr>
      <w:r w:rsidRPr="00315F60">
        <w:t>An incident that is part of a pattern of abuse.</w:t>
      </w:r>
    </w:p>
    <w:p w:rsidR="003C0885" w:rsidRPr="00315F60" w:rsidRDefault="003C0885" w:rsidP="003C0885">
      <w:pPr>
        <w:pStyle w:val="BodyText0"/>
        <w:jc w:val="both"/>
      </w:pPr>
      <w:r w:rsidRPr="00315F60">
        <w:t>This would remove the exemption for incidents between residents with cognitive impairment and is consistent with the ALRC Report recommendation.</w:t>
      </w:r>
    </w:p>
    <w:p w:rsidR="003C0885" w:rsidRPr="00315F60" w:rsidRDefault="003C0885" w:rsidP="003C0885">
      <w:pPr>
        <w:pStyle w:val="BodyText0"/>
        <w:jc w:val="both"/>
      </w:pPr>
      <w:r w:rsidRPr="00315F60">
        <w:t>A key feature of introducing this option was noted to be the ‘threshold’ definition for when an incident must be reported and, therefore, when the provider’s response will be visible to the Commission. Setting a new threshold requires detailed consideration. The threshold set will have an impact on providers, the Commission and, most importantly, residents. For example, a lower threshold may support the Commission in its role to detect systemic issues related to the quality and safety of care and to ensure a violence and abuse-free environment for residents, but will increase the regulatory requirements for providers and may result in a volume of reports being made that is unmanageable for the Commission to appropriately investigate and respond to.</w:t>
      </w:r>
    </w:p>
    <w:p w:rsidR="003C0885" w:rsidRPr="00315F60" w:rsidRDefault="003C0885" w:rsidP="003C0885">
      <w:pPr>
        <w:pStyle w:val="BodyText0"/>
        <w:jc w:val="both"/>
      </w:pPr>
      <w:r w:rsidRPr="00315F60">
        <w:t>In the absence of data regarding these incidents, decision making regarding a SIRS is complex. As such, the 2018 report recommended that the Department investigate the prevalence of such incidents, including the nature and severity of these incidents, to assist in the establishment of a SIRS and setting a threshold which will support safeguarding of older Australians in residential aged care.</w:t>
      </w:r>
    </w:p>
    <w:p w:rsidR="0014352E" w:rsidRPr="00315F60" w:rsidRDefault="0014352E" w:rsidP="002E7D8E">
      <w:pPr>
        <w:pStyle w:val="Heading2"/>
        <w:rPr>
          <w:color w:val="auto"/>
        </w:rPr>
      </w:pPr>
      <w:r w:rsidRPr="00315F60">
        <w:rPr>
          <w:color w:val="auto"/>
        </w:rPr>
        <w:t xml:space="preserve">Project </w:t>
      </w:r>
      <w:r w:rsidR="003A679B" w:rsidRPr="00315F60">
        <w:rPr>
          <w:color w:val="auto"/>
        </w:rPr>
        <w:t xml:space="preserve">objectives and </w:t>
      </w:r>
      <w:r w:rsidRPr="00315F60">
        <w:rPr>
          <w:color w:val="auto"/>
        </w:rPr>
        <w:t>scope</w:t>
      </w:r>
      <w:bookmarkEnd w:id="23"/>
      <w:r w:rsidRPr="00315F60">
        <w:rPr>
          <w:color w:val="auto"/>
        </w:rPr>
        <w:t xml:space="preserve"> </w:t>
      </w:r>
    </w:p>
    <w:p w:rsidR="0014352E" w:rsidRPr="00315F60" w:rsidRDefault="006959F9" w:rsidP="009E1E3F">
      <w:pPr>
        <w:pStyle w:val="BodyText0"/>
        <w:jc w:val="both"/>
      </w:pPr>
      <w:r w:rsidRPr="00315F60">
        <w:t>KPMG was engaged by the Department to undertake researc</w:t>
      </w:r>
      <w:r w:rsidR="007A5B0B" w:rsidRPr="00315F60">
        <w:t xml:space="preserve">h on the prevalence of </w:t>
      </w:r>
      <w:r w:rsidR="004C4435" w:rsidRPr="00315F60">
        <w:t>resident on resident</w:t>
      </w:r>
      <w:r w:rsidRPr="00315F60">
        <w:t xml:space="preserve"> incidents in residential aged care nationally (the study). </w:t>
      </w:r>
      <w:r w:rsidR="007A48EE" w:rsidRPr="00315F60">
        <w:t>T</w:t>
      </w:r>
      <w:r w:rsidR="0014352E" w:rsidRPr="00315F60">
        <w:t>he information collected will be used to inform advice to Government on the design of the definitions and threshold for a SIRS, to ensure that reporting is appropriate and the Government’s regulatory resources and efforts are targeted to the highest risks.</w:t>
      </w:r>
    </w:p>
    <w:p w:rsidR="0014352E" w:rsidRPr="00315F60" w:rsidRDefault="007C5699" w:rsidP="0093030E">
      <w:pPr>
        <w:pStyle w:val="Heading3"/>
        <w:rPr>
          <w:color w:val="auto"/>
        </w:rPr>
      </w:pPr>
      <w:bookmarkStart w:id="24" w:name="_Ref23413829"/>
      <w:r w:rsidRPr="00315F60">
        <w:rPr>
          <w:color w:val="auto"/>
        </w:rPr>
        <w:t>Scope</w:t>
      </w:r>
      <w:bookmarkEnd w:id="24"/>
    </w:p>
    <w:p w:rsidR="007C5699" w:rsidRPr="00315F60" w:rsidRDefault="007A48EE" w:rsidP="007C5699">
      <w:pPr>
        <w:pStyle w:val="BodyText0"/>
        <w:jc w:val="both"/>
      </w:pPr>
      <w:r w:rsidRPr="00315F60">
        <w:t xml:space="preserve">The project ran from July 2019 to November 2019. </w:t>
      </w:r>
      <w:r w:rsidR="007C5699" w:rsidRPr="00315F60">
        <w:t>The purpose of this s</w:t>
      </w:r>
      <w:r w:rsidR="007A5B0B" w:rsidRPr="00315F60">
        <w:t xml:space="preserve">tudy was to understand </w:t>
      </w:r>
      <w:r w:rsidR="004C4435" w:rsidRPr="00315F60">
        <w:t>resident on resident</w:t>
      </w:r>
      <w:r w:rsidR="007C5699" w:rsidRPr="00315F60">
        <w:t xml:space="preserve"> incidents that are exempt from reporting, including to:</w:t>
      </w:r>
    </w:p>
    <w:p w:rsidR="007C5699" w:rsidRPr="00315F60" w:rsidRDefault="007C5699" w:rsidP="009F1F87">
      <w:pPr>
        <w:pStyle w:val="BodyText0"/>
        <w:numPr>
          <w:ilvl w:val="0"/>
          <w:numId w:val="39"/>
        </w:numPr>
        <w:ind w:left="360"/>
        <w:jc w:val="both"/>
      </w:pPr>
      <w:r w:rsidRPr="00315F60">
        <w:t>Collect data on th</w:t>
      </w:r>
      <w:r w:rsidR="007A5B0B" w:rsidRPr="00315F60">
        <w:t xml:space="preserve">e volume and nature of </w:t>
      </w:r>
      <w:r w:rsidR="004C4435" w:rsidRPr="00315F60">
        <w:t>resident on resident</w:t>
      </w:r>
      <w:r w:rsidRPr="00315F60">
        <w:t xml:space="preserve"> incidents that are exempt from reporting in residential aged care</w:t>
      </w:r>
    </w:p>
    <w:p w:rsidR="007C5699" w:rsidRPr="00315F60" w:rsidRDefault="007C5699" w:rsidP="009F1F87">
      <w:pPr>
        <w:pStyle w:val="BodyText0"/>
        <w:numPr>
          <w:ilvl w:val="0"/>
          <w:numId w:val="39"/>
        </w:numPr>
        <w:ind w:left="360"/>
        <w:jc w:val="both"/>
      </w:pPr>
      <w:r w:rsidRPr="00315F60">
        <w:t xml:space="preserve">Using the data collected, model the </w:t>
      </w:r>
      <w:r w:rsidR="007A5B0B" w:rsidRPr="00315F60">
        <w:t xml:space="preserve">national prevalence of </w:t>
      </w:r>
      <w:r w:rsidR="004C4435" w:rsidRPr="00315F60">
        <w:t>resident on resident</w:t>
      </w:r>
      <w:r w:rsidRPr="00315F60">
        <w:t xml:space="preserve"> incidents that are exempt from being reported to the Department</w:t>
      </w:r>
    </w:p>
    <w:p w:rsidR="007C5699" w:rsidRPr="00315F60" w:rsidRDefault="007C5699" w:rsidP="0042186E">
      <w:pPr>
        <w:pStyle w:val="BodyText0"/>
        <w:numPr>
          <w:ilvl w:val="0"/>
          <w:numId w:val="39"/>
        </w:numPr>
        <w:ind w:left="360"/>
        <w:jc w:val="both"/>
      </w:pPr>
      <w:r w:rsidRPr="00315F60">
        <w:t xml:space="preserve">On the basis of this modelling, provide information and findings to the Department </w:t>
      </w:r>
      <w:r w:rsidR="007A5B0B" w:rsidRPr="00315F60">
        <w:t xml:space="preserve">to inform the scope of </w:t>
      </w:r>
      <w:r w:rsidR="004C4435" w:rsidRPr="00315F60">
        <w:t>resident on resident</w:t>
      </w:r>
      <w:r w:rsidRPr="00315F60">
        <w:t xml:space="preserve"> incidents that are captured in a SIRS. </w:t>
      </w:r>
    </w:p>
    <w:p w:rsidR="0014352E" w:rsidRPr="00315F60" w:rsidRDefault="0014352E" w:rsidP="002F54AD">
      <w:pPr>
        <w:pStyle w:val="Heading4"/>
        <w:rPr>
          <w:color w:val="auto"/>
        </w:rPr>
      </w:pPr>
      <w:r w:rsidRPr="00315F60">
        <w:rPr>
          <w:color w:val="auto"/>
        </w:rPr>
        <w:lastRenderedPageBreak/>
        <w:t>Out of scope</w:t>
      </w:r>
    </w:p>
    <w:p w:rsidR="0014352E" w:rsidRPr="00315F60" w:rsidRDefault="0014352E" w:rsidP="0093030E">
      <w:pPr>
        <w:pStyle w:val="BodyTextkeepwithnext"/>
        <w:rPr>
          <w:szCs w:val="20"/>
        </w:rPr>
      </w:pPr>
      <w:r w:rsidRPr="00315F60">
        <w:t>Due to the complexity of the study and constrained timeframes</w:t>
      </w:r>
      <w:r w:rsidR="007A48EE" w:rsidRPr="00315F60">
        <w:t xml:space="preserve"> in gathering data</w:t>
      </w:r>
      <w:r w:rsidRPr="00315F60">
        <w:t>, a nu</w:t>
      </w:r>
      <w:r w:rsidR="007A5B0B" w:rsidRPr="00315F60">
        <w:t>mber of data points on</w:t>
      </w:r>
      <w:r w:rsidR="007A5B0B" w:rsidRPr="00315F60">
        <w:rPr>
          <w:szCs w:val="20"/>
        </w:rPr>
        <w:t xml:space="preserve"> </w:t>
      </w:r>
      <w:r w:rsidR="004C4435" w:rsidRPr="00315F60">
        <w:rPr>
          <w:szCs w:val="20"/>
        </w:rPr>
        <w:t>resident on resident</w:t>
      </w:r>
      <w:r w:rsidRPr="00315F60">
        <w:rPr>
          <w:szCs w:val="20"/>
        </w:rPr>
        <w:t xml:space="preserve"> incidents were out of scope for this study:</w:t>
      </w:r>
    </w:p>
    <w:p w:rsidR="007A48EE" w:rsidRPr="00315F60" w:rsidRDefault="007A48EE" w:rsidP="009F1F87">
      <w:pPr>
        <w:pStyle w:val="BodyText0"/>
        <w:numPr>
          <w:ilvl w:val="0"/>
          <w:numId w:val="39"/>
        </w:numPr>
        <w:ind w:left="360"/>
        <w:jc w:val="both"/>
      </w:pPr>
      <w:r w:rsidRPr="00315F60">
        <w:t>The nature of Type 2</w:t>
      </w:r>
      <w:r w:rsidR="00726071" w:rsidRPr="00315F60">
        <w:rPr>
          <w:vertAlign w:val="superscript"/>
        </w:rPr>
        <w:footnoteReference w:id="13"/>
      </w:r>
      <w:r w:rsidRPr="00315F60">
        <w:rPr>
          <w:vertAlign w:val="superscript"/>
        </w:rPr>
        <w:t xml:space="preserve"> </w:t>
      </w:r>
      <w:r w:rsidR="007F13A4" w:rsidRPr="00315F60">
        <w:rPr>
          <w:vertAlign w:val="superscript"/>
        </w:rPr>
        <w:t xml:space="preserve"> </w:t>
      </w:r>
      <w:r w:rsidRPr="00315F60">
        <w:t>incidents including the type, impact or response taken</w:t>
      </w:r>
    </w:p>
    <w:p w:rsidR="007A48EE" w:rsidRPr="00315F60" w:rsidRDefault="007A48EE" w:rsidP="009F1F87">
      <w:pPr>
        <w:pStyle w:val="BodyText0"/>
        <w:numPr>
          <w:ilvl w:val="0"/>
          <w:numId w:val="39"/>
        </w:numPr>
        <w:ind w:left="360"/>
        <w:jc w:val="both"/>
      </w:pPr>
      <w:r w:rsidRPr="00315F60">
        <w:t>The e</w:t>
      </w:r>
      <w:r w:rsidR="0014352E" w:rsidRPr="00315F60">
        <w:t>xperience</w:t>
      </w:r>
      <w:r w:rsidRPr="00315F60">
        <w:t>s of aged care services in</w:t>
      </w:r>
      <w:r w:rsidR="0014352E" w:rsidRPr="00315F60">
        <w:t xml:space="preserve"> collating and submitting the data</w:t>
      </w:r>
      <w:r w:rsidRPr="00315F60">
        <w:t xml:space="preserve"> for this study</w:t>
      </w:r>
    </w:p>
    <w:p w:rsidR="0014352E" w:rsidRPr="00315F60" w:rsidRDefault="007A48EE" w:rsidP="009F1F87">
      <w:pPr>
        <w:pStyle w:val="BodyText0"/>
        <w:numPr>
          <w:ilvl w:val="0"/>
          <w:numId w:val="39"/>
        </w:numPr>
        <w:ind w:left="360"/>
        <w:jc w:val="both"/>
      </w:pPr>
      <w:r w:rsidRPr="00315F60">
        <w:t xml:space="preserve">The experiences and behaviours of aged care services generally in collecting data </w:t>
      </w:r>
      <w:r w:rsidR="007A5B0B" w:rsidRPr="00315F60">
        <w:t xml:space="preserve">about </w:t>
      </w:r>
      <w:r w:rsidR="004C4435" w:rsidRPr="00315F60">
        <w:t>resident on resident</w:t>
      </w:r>
      <w:r w:rsidR="003A679B" w:rsidRPr="00315F60">
        <w:t xml:space="preserve"> incidents</w:t>
      </w:r>
      <w:r w:rsidRPr="00315F60">
        <w:t>, including how information is recorded and where it is recorded</w:t>
      </w:r>
    </w:p>
    <w:p w:rsidR="0014352E" w:rsidRPr="00315F60" w:rsidRDefault="0014352E" w:rsidP="009F1F87">
      <w:pPr>
        <w:pStyle w:val="BodyText0"/>
        <w:numPr>
          <w:ilvl w:val="0"/>
          <w:numId w:val="39"/>
        </w:numPr>
        <w:ind w:left="360"/>
        <w:jc w:val="both"/>
      </w:pPr>
      <w:r w:rsidRPr="00315F60">
        <w:t>Information on where data was recorded and by whom it was able to be accessed</w:t>
      </w:r>
    </w:p>
    <w:p w:rsidR="0014352E" w:rsidRPr="00315F60" w:rsidRDefault="0014352E" w:rsidP="009F1F87">
      <w:pPr>
        <w:pStyle w:val="BodyText0"/>
        <w:numPr>
          <w:ilvl w:val="0"/>
          <w:numId w:val="39"/>
        </w:numPr>
        <w:ind w:left="360"/>
        <w:jc w:val="both"/>
      </w:pPr>
      <w:r w:rsidRPr="00315F60">
        <w:t xml:space="preserve">Incidents that were part of a pattern of abuse. </w:t>
      </w:r>
    </w:p>
    <w:p w:rsidR="0014352E" w:rsidRPr="00315F60" w:rsidRDefault="0014352E" w:rsidP="007A5B0B">
      <w:pPr>
        <w:pStyle w:val="BodyText"/>
        <w:rPr>
          <w:szCs w:val="20"/>
        </w:rPr>
      </w:pPr>
      <w:r w:rsidRPr="00315F60">
        <w:rPr>
          <w:szCs w:val="20"/>
        </w:rPr>
        <w:t>The following aspects of the</w:t>
      </w:r>
      <w:r w:rsidR="007A48EE" w:rsidRPr="00315F60">
        <w:rPr>
          <w:szCs w:val="20"/>
        </w:rPr>
        <w:t xml:space="preserve"> design</w:t>
      </w:r>
      <w:r w:rsidRPr="00315F60">
        <w:rPr>
          <w:szCs w:val="20"/>
        </w:rPr>
        <w:t xml:space="preserve"> of a SIRS were also out of scope for this project:</w:t>
      </w:r>
    </w:p>
    <w:p w:rsidR="0014352E" w:rsidRPr="00315F60" w:rsidRDefault="00605889" w:rsidP="009F1F87">
      <w:pPr>
        <w:pStyle w:val="BodyText0"/>
        <w:numPr>
          <w:ilvl w:val="0"/>
          <w:numId w:val="39"/>
        </w:numPr>
        <w:ind w:left="360"/>
        <w:jc w:val="both"/>
      </w:pPr>
      <w:r w:rsidRPr="00315F60">
        <w:t>The r</w:t>
      </w:r>
      <w:r w:rsidR="007A48EE" w:rsidRPr="00315F60">
        <w:t>oles and responsibilities of the Commission and providers</w:t>
      </w:r>
    </w:p>
    <w:p w:rsidR="007A48EE" w:rsidRPr="00315F60" w:rsidRDefault="007A48EE" w:rsidP="009F1F87">
      <w:pPr>
        <w:pStyle w:val="BodyText0"/>
        <w:numPr>
          <w:ilvl w:val="0"/>
          <w:numId w:val="39"/>
        </w:numPr>
        <w:ind w:left="360"/>
        <w:jc w:val="both"/>
      </w:pPr>
      <w:r w:rsidRPr="00315F60">
        <w:t>T</w:t>
      </w:r>
      <w:r w:rsidR="00605889" w:rsidRPr="00315F60">
        <w:t>he t</w:t>
      </w:r>
      <w:r w:rsidRPr="00315F60">
        <w:t>hreshold set for other types of incidents</w:t>
      </w:r>
    </w:p>
    <w:p w:rsidR="0014352E" w:rsidRPr="00315F60" w:rsidRDefault="007A48EE" w:rsidP="009F1F87">
      <w:pPr>
        <w:pStyle w:val="BodyText0"/>
        <w:numPr>
          <w:ilvl w:val="0"/>
          <w:numId w:val="39"/>
        </w:numPr>
        <w:ind w:left="360"/>
        <w:jc w:val="both"/>
      </w:pPr>
      <w:r w:rsidRPr="00315F60">
        <w:t>Other policy levers that could be used to</w:t>
      </w:r>
      <w:r w:rsidR="001F0CB3" w:rsidRPr="00315F60">
        <w:t xml:space="preserve"> respond to or prevent </w:t>
      </w:r>
      <w:r w:rsidR="004C4435" w:rsidRPr="00315F60">
        <w:t>resident on resident</w:t>
      </w:r>
      <w:r w:rsidRPr="00315F60">
        <w:t xml:space="preserve"> incidents from occurring</w:t>
      </w:r>
    </w:p>
    <w:p w:rsidR="007A48EE" w:rsidRPr="00315F60" w:rsidRDefault="007A48EE" w:rsidP="009F1F87">
      <w:pPr>
        <w:pStyle w:val="BodyText0"/>
        <w:numPr>
          <w:ilvl w:val="0"/>
          <w:numId w:val="39"/>
        </w:numPr>
        <w:ind w:left="360"/>
        <w:jc w:val="both"/>
      </w:pPr>
      <w:r w:rsidRPr="00315F60">
        <w:t>How the broader quality and safety framework will complement or interface with a SIRS.</w:t>
      </w:r>
    </w:p>
    <w:p w:rsidR="007A48EE" w:rsidRPr="00315F60" w:rsidRDefault="007A48EE" w:rsidP="007A5B0B">
      <w:pPr>
        <w:pStyle w:val="BodyText"/>
        <w:rPr>
          <w:szCs w:val="20"/>
        </w:rPr>
      </w:pPr>
      <w:r w:rsidRPr="00315F60">
        <w:rPr>
          <w:szCs w:val="20"/>
        </w:rPr>
        <w:t xml:space="preserve">While these areas were out of scope for this project, </w:t>
      </w:r>
      <w:r w:rsidR="006D2780" w:rsidRPr="00315F60">
        <w:rPr>
          <w:szCs w:val="20"/>
        </w:rPr>
        <w:t>s</w:t>
      </w:r>
      <w:r w:rsidRPr="00315F60">
        <w:rPr>
          <w:szCs w:val="20"/>
        </w:rPr>
        <w:t xml:space="preserve">ection </w:t>
      </w:r>
      <w:r w:rsidR="006D2780" w:rsidRPr="00315F60">
        <w:rPr>
          <w:szCs w:val="20"/>
        </w:rPr>
        <w:fldChar w:fldCharType="begin"/>
      </w:r>
      <w:r w:rsidR="006D2780" w:rsidRPr="00315F60">
        <w:rPr>
          <w:szCs w:val="20"/>
        </w:rPr>
        <w:instrText xml:space="preserve"> REF _Ref23413855 \r \h </w:instrText>
      </w:r>
      <w:r w:rsidR="00605889" w:rsidRPr="00315F60">
        <w:rPr>
          <w:szCs w:val="20"/>
        </w:rPr>
        <w:instrText xml:space="preserve"> \* MERGEFORMAT </w:instrText>
      </w:r>
      <w:r w:rsidR="006D2780" w:rsidRPr="00315F60">
        <w:rPr>
          <w:szCs w:val="20"/>
        </w:rPr>
      </w:r>
      <w:r w:rsidR="006D2780" w:rsidRPr="00315F60">
        <w:rPr>
          <w:szCs w:val="20"/>
        </w:rPr>
        <w:fldChar w:fldCharType="separate"/>
      </w:r>
      <w:r w:rsidR="004355CA" w:rsidRPr="00315F60">
        <w:rPr>
          <w:szCs w:val="20"/>
        </w:rPr>
        <w:t>4.2</w:t>
      </w:r>
      <w:r w:rsidR="006D2780" w:rsidRPr="00315F60">
        <w:rPr>
          <w:szCs w:val="20"/>
        </w:rPr>
        <w:fldChar w:fldCharType="end"/>
      </w:r>
      <w:r w:rsidRPr="00315F60">
        <w:rPr>
          <w:szCs w:val="20"/>
        </w:rPr>
        <w:t xml:space="preserve"> of this report describes how some of these areas might be considered by the Department in designing a SIRS and setting a threshold for incidents captured by a SIRS.</w:t>
      </w:r>
    </w:p>
    <w:p w:rsidR="0014352E" w:rsidRPr="00315F60" w:rsidRDefault="0014352E" w:rsidP="002E7D8E">
      <w:pPr>
        <w:pStyle w:val="Heading2"/>
        <w:rPr>
          <w:color w:val="auto"/>
        </w:rPr>
      </w:pPr>
      <w:bookmarkStart w:id="25" w:name="_Toc26979130"/>
      <w:r w:rsidRPr="00315F60">
        <w:rPr>
          <w:color w:val="auto"/>
        </w:rPr>
        <w:t>Purpose and structure of the report</w:t>
      </w:r>
      <w:bookmarkEnd w:id="25"/>
      <w:r w:rsidRPr="00315F60">
        <w:rPr>
          <w:color w:val="auto"/>
        </w:rPr>
        <w:t xml:space="preserve"> </w:t>
      </w:r>
    </w:p>
    <w:p w:rsidR="0014352E" w:rsidRPr="00315F60" w:rsidRDefault="0014352E" w:rsidP="0014352E">
      <w:pPr>
        <w:pStyle w:val="BodyText0"/>
        <w:jc w:val="both"/>
      </w:pPr>
      <w:r w:rsidRPr="00315F60">
        <w:t>The purpose of this report is to provide a summary of the project methodology and findings, including the design of the data collection approach, data collection by aged care services, analysis and modelling completed, findings from the data collection</w:t>
      </w:r>
      <w:r w:rsidR="003A679B" w:rsidRPr="00315F60">
        <w:t>,</w:t>
      </w:r>
      <w:r w:rsidRPr="00315F60">
        <w:t xml:space="preserve"> and high level c</w:t>
      </w:r>
      <w:r w:rsidR="001F0CB3" w:rsidRPr="00315F60">
        <w:t xml:space="preserve">onsiderations on which </w:t>
      </w:r>
      <w:r w:rsidR="004C4435" w:rsidRPr="00315F60">
        <w:t>resident on resident</w:t>
      </w:r>
      <w:r w:rsidRPr="00315F60">
        <w:t xml:space="preserve"> incidents should be reported under a SIRS.</w:t>
      </w:r>
    </w:p>
    <w:p w:rsidR="0014352E" w:rsidRPr="00315F60" w:rsidRDefault="0014352E" w:rsidP="0014352E">
      <w:pPr>
        <w:spacing w:line="276" w:lineRule="auto"/>
        <w:jc w:val="both"/>
        <w:rPr>
          <w:szCs w:val="20"/>
        </w:rPr>
      </w:pPr>
      <w:r w:rsidRPr="00315F60">
        <w:rPr>
          <w:szCs w:val="20"/>
        </w:rPr>
        <w:t xml:space="preserve">The report is structured in the following key sections: </w:t>
      </w:r>
    </w:p>
    <w:p w:rsidR="0014352E" w:rsidRPr="00315F60" w:rsidRDefault="006D2780" w:rsidP="009F1F87">
      <w:pPr>
        <w:pStyle w:val="BodyText0"/>
        <w:numPr>
          <w:ilvl w:val="0"/>
          <w:numId w:val="39"/>
        </w:numPr>
        <w:ind w:left="360"/>
        <w:jc w:val="both"/>
      </w:pPr>
      <w:r w:rsidRPr="00315F60">
        <w:t xml:space="preserve">Section </w:t>
      </w:r>
      <w:r w:rsidR="001F0CB3" w:rsidRPr="00315F60">
        <w:fldChar w:fldCharType="begin"/>
      </w:r>
      <w:r w:rsidR="001F0CB3" w:rsidRPr="00315F60">
        <w:instrText xml:space="preserve"> REF _Ref25416797 \w \h </w:instrText>
      </w:r>
      <w:r w:rsidR="001A6201" w:rsidRPr="00315F60">
        <w:instrText xml:space="preserve"> \* MERGEFORMAT </w:instrText>
      </w:r>
      <w:r w:rsidR="001F0CB3" w:rsidRPr="00315F60">
        <w:fldChar w:fldCharType="separate"/>
      </w:r>
      <w:r w:rsidR="004355CA" w:rsidRPr="00315F60">
        <w:t>1</w:t>
      </w:r>
      <w:r w:rsidR="001F0CB3" w:rsidRPr="00315F60">
        <w:fldChar w:fldCharType="end"/>
      </w:r>
      <w:r w:rsidR="0014352E" w:rsidRPr="00315F60">
        <w:t xml:space="preserve"> (this section): </w:t>
      </w:r>
      <w:r w:rsidR="003A679B" w:rsidRPr="00315F60">
        <w:t>p</w:t>
      </w:r>
      <w:r w:rsidR="0014352E" w:rsidRPr="00315F60">
        <w:t>rovides an overview of the project, including the background, context and objectives</w:t>
      </w:r>
    </w:p>
    <w:p w:rsidR="0014352E" w:rsidRPr="00315F60" w:rsidRDefault="006D2780" w:rsidP="009F1F87">
      <w:pPr>
        <w:pStyle w:val="BodyText0"/>
        <w:numPr>
          <w:ilvl w:val="0"/>
          <w:numId w:val="39"/>
        </w:numPr>
        <w:ind w:left="360"/>
        <w:jc w:val="both"/>
      </w:pPr>
      <w:r w:rsidRPr="00315F60">
        <w:t xml:space="preserve">Section </w:t>
      </w:r>
      <w:r w:rsidR="001F0CB3" w:rsidRPr="00315F60">
        <w:fldChar w:fldCharType="begin"/>
      </w:r>
      <w:r w:rsidR="001F0CB3" w:rsidRPr="00315F60">
        <w:instrText xml:space="preserve"> REF _Ref25416803 \w \h </w:instrText>
      </w:r>
      <w:r w:rsidR="001A6201" w:rsidRPr="00315F60">
        <w:instrText xml:space="preserve"> \* MERGEFORMAT </w:instrText>
      </w:r>
      <w:r w:rsidR="001F0CB3" w:rsidRPr="00315F60">
        <w:fldChar w:fldCharType="separate"/>
      </w:r>
      <w:r w:rsidR="004355CA" w:rsidRPr="00315F60">
        <w:t>2</w:t>
      </w:r>
      <w:r w:rsidR="001F0CB3" w:rsidRPr="00315F60">
        <w:fldChar w:fldCharType="end"/>
      </w:r>
      <w:r w:rsidR="0014352E" w:rsidRPr="00315F60">
        <w:t>:</w:t>
      </w:r>
      <w:r w:rsidR="00F864F4" w:rsidRPr="00315F60">
        <w:t xml:space="preserve"> </w:t>
      </w:r>
      <w:r w:rsidR="003A679B" w:rsidRPr="00315F60">
        <w:t>p</w:t>
      </w:r>
      <w:r w:rsidR="0014352E" w:rsidRPr="00315F60">
        <w:t xml:space="preserve">rovides an overview of the study methodology, including the design of the data collection approach, </w:t>
      </w:r>
      <w:r w:rsidR="00277C13" w:rsidRPr="00315F60">
        <w:t xml:space="preserve">development of the </w:t>
      </w:r>
      <w:r w:rsidR="0014352E" w:rsidRPr="00315F60">
        <w:t xml:space="preserve">data submission tool, recruitment of </w:t>
      </w:r>
      <w:r w:rsidR="00AD452E" w:rsidRPr="00315F60">
        <w:t xml:space="preserve">residential aged care </w:t>
      </w:r>
      <w:r w:rsidR="0014352E" w:rsidRPr="00315F60">
        <w:t xml:space="preserve">services, data collection and submission </w:t>
      </w:r>
      <w:r w:rsidR="001F0CB3" w:rsidRPr="00315F60">
        <w:t>and data modelling and analysis</w:t>
      </w:r>
    </w:p>
    <w:p w:rsidR="0014352E" w:rsidRPr="00315F60" w:rsidRDefault="006D2780" w:rsidP="009F1F87">
      <w:pPr>
        <w:pStyle w:val="BodyText0"/>
        <w:numPr>
          <w:ilvl w:val="0"/>
          <w:numId w:val="39"/>
        </w:numPr>
        <w:ind w:left="360"/>
        <w:jc w:val="both"/>
      </w:pPr>
      <w:r w:rsidRPr="00315F60">
        <w:t xml:space="preserve">Section </w:t>
      </w:r>
      <w:r w:rsidR="001F0CB3" w:rsidRPr="00315F60">
        <w:fldChar w:fldCharType="begin"/>
      </w:r>
      <w:r w:rsidR="001F0CB3" w:rsidRPr="00315F60">
        <w:instrText xml:space="preserve"> REF _Ref25416810 \w \h </w:instrText>
      </w:r>
      <w:r w:rsidR="001A6201" w:rsidRPr="00315F60">
        <w:instrText xml:space="preserve"> \* MERGEFORMAT </w:instrText>
      </w:r>
      <w:r w:rsidR="001F0CB3" w:rsidRPr="00315F60">
        <w:fldChar w:fldCharType="separate"/>
      </w:r>
      <w:r w:rsidR="004355CA" w:rsidRPr="00315F60">
        <w:t>3</w:t>
      </w:r>
      <w:r w:rsidR="001F0CB3" w:rsidRPr="00315F60">
        <w:fldChar w:fldCharType="end"/>
      </w:r>
      <w:r w:rsidR="0014352E" w:rsidRPr="00315F60">
        <w:t xml:space="preserve">: </w:t>
      </w:r>
      <w:r w:rsidR="003A679B" w:rsidRPr="00315F60">
        <w:t>p</w:t>
      </w:r>
      <w:r w:rsidR="0014352E" w:rsidRPr="00315F60">
        <w:t>rovides findings of the data analysis</w:t>
      </w:r>
    </w:p>
    <w:p w:rsidR="0014352E" w:rsidRPr="00315F60" w:rsidRDefault="006D2780" w:rsidP="009F1F87">
      <w:pPr>
        <w:pStyle w:val="BodyText0"/>
        <w:numPr>
          <w:ilvl w:val="0"/>
          <w:numId w:val="39"/>
        </w:numPr>
        <w:ind w:left="360"/>
        <w:jc w:val="both"/>
      </w:pPr>
      <w:r w:rsidRPr="00315F60">
        <w:t xml:space="preserve">Section </w:t>
      </w:r>
      <w:r w:rsidR="001F0CB3" w:rsidRPr="00315F60">
        <w:fldChar w:fldCharType="begin"/>
      </w:r>
      <w:r w:rsidR="001F0CB3" w:rsidRPr="00315F60">
        <w:instrText xml:space="preserve"> REF _Ref25416816 \w \h </w:instrText>
      </w:r>
      <w:r w:rsidR="001A6201" w:rsidRPr="00315F60">
        <w:instrText xml:space="preserve"> \* MERGEFORMAT </w:instrText>
      </w:r>
      <w:r w:rsidR="001F0CB3" w:rsidRPr="00315F60">
        <w:fldChar w:fldCharType="separate"/>
      </w:r>
      <w:r w:rsidR="004355CA" w:rsidRPr="00315F60">
        <w:t>4</w:t>
      </w:r>
      <w:r w:rsidR="001F0CB3" w:rsidRPr="00315F60">
        <w:fldChar w:fldCharType="end"/>
      </w:r>
      <w:r w:rsidR="0014352E" w:rsidRPr="00315F60">
        <w:t xml:space="preserve">: </w:t>
      </w:r>
      <w:r w:rsidR="003A679B" w:rsidRPr="00315F60">
        <w:t>p</w:t>
      </w:r>
      <w:r w:rsidR="0014352E" w:rsidRPr="00315F60">
        <w:t>rovides key considerations for a SIRS.</w:t>
      </w:r>
    </w:p>
    <w:p w:rsidR="0014352E" w:rsidRPr="00315F60" w:rsidRDefault="0014352E" w:rsidP="009F1F87">
      <w:pPr>
        <w:pStyle w:val="BodyText0"/>
        <w:numPr>
          <w:ilvl w:val="0"/>
          <w:numId w:val="39"/>
        </w:numPr>
        <w:ind w:left="360"/>
        <w:jc w:val="both"/>
      </w:pPr>
      <w:r w:rsidRPr="00315F60">
        <w:t xml:space="preserve">Appendices: includes: </w:t>
      </w:r>
    </w:p>
    <w:p w:rsidR="007E50B3" w:rsidRPr="00506A16" w:rsidRDefault="00433FBB" w:rsidP="00506A16">
      <w:pPr>
        <w:pStyle w:val="Bullet2ndlevel"/>
      </w:pPr>
      <w:r w:rsidRPr="00506A16">
        <w:lastRenderedPageBreak/>
        <w:fldChar w:fldCharType="begin"/>
      </w:r>
      <w:r w:rsidRPr="00506A16">
        <w:instrText xml:space="preserve"> REF _Ref25417774 \w \h </w:instrText>
      </w:r>
      <w:r w:rsidR="00506A16">
        <w:instrText xml:space="preserve"> \* MERGEFORMAT </w:instrText>
      </w:r>
      <w:r w:rsidRPr="00506A16">
        <w:fldChar w:fldCharType="separate"/>
      </w:r>
      <w:r w:rsidR="004355CA" w:rsidRPr="00506A16">
        <w:t>Appendix A</w:t>
      </w:r>
      <w:r w:rsidRPr="00506A16">
        <w:fldChar w:fldCharType="end"/>
      </w:r>
      <w:r w:rsidR="0014352E" w:rsidRPr="00506A16">
        <w:t xml:space="preserve">: </w:t>
      </w:r>
      <w:r w:rsidR="007E50B3" w:rsidRPr="00506A16">
        <w:t>Questions and data fields captured in this study</w:t>
      </w:r>
    </w:p>
    <w:p w:rsidR="0014352E" w:rsidRPr="00506A16" w:rsidRDefault="00433FBB" w:rsidP="00506A16">
      <w:pPr>
        <w:pStyle w:val="Bullet2ndlevel"/>
      </w:pPr>
      <w:r w:rsidRPr="00506A16">
        <w:fldChar w:fldCharType="begin"/>
      </w:r>
      <w:r w:rsidRPr="00506A16">
        <w:instrText xml:space="preserve"> REF _Ref25417775 \w \h </w:instrText>
      </w:r>
      <w:r w:rsidR="00506A16">
        <w:instrText xml:space="preserve"> \* MERGEFORMAT </w:instrText>
      </w:r>
      <w:r w:rsidRPr="00506A16">
        <w:fldChar w:fldCharType="separate"/>
      </w:r>
      <w:r w:rsidR="004355CA" w:rsidRPr="00506A16">
        <w:t>Appendix B</w:t>
      </w:r>
      <w:r w:rsidRPr="00506A16">
        <w:fldChar w:fldCharType="end"/>
      </w:r>
      <w:r w:rsidR="009E1E3F" w:rsidRPr="00506A16">
        <w:t>: Prevalence study resource manual</w:t>
      </w:r>
    </w:p>
    <w:p w:rsidR="009E1E3F" w:rsidRPr="00506A16" w:rsidRDefault="00433FBB" w:rsidP="00506A16">
      <w:pPr>
        <w:pStyle w:val="Bullet2ndlevel"/>
      </w:pPr>
      <w:r w:rsidRPr="00506A16">
        <w:fldChar w:fldCharType="begin"/>
      </w:r>
      <w:r w:rsidRPr="00506A16">
        <w:instrText xml:space="preserve"> REF _Ref25417779 \w \h </w:instrText>
      </w:r>
      <w:r w:rsidR="00506A16">
        <w:instrText xml:space="preserve"> \* MERGEFORMAT </w:instrText>
      </w:r>
      <w:r w:rsidRPr="00506A16">
        <w:fldChar w:fldCharType="separate"/>
      </w:r>
      <w:r w:rsidR="004355CA" w:rsidRPr="00506A16">
        <w:t>Appendix C</w:t>
      </w:r>
      <w:r w:rsidRPr="00506A16">
        <w:fldChar w:fldCharType="end"/>
      </w:r>
      <w:r w:rsidR="009E1E3F" w:rsidRPr="00506A16">
        <w:t>: Field validation in the data submission tool</w:t>
      </w:r>
    </w:p>
    <w:p w:rsidR="009E1E3F" w:rsidRPr="00506A16" w:rsidRDefault="00433FBB" w:rsidP="00506A16">
      <w:pPr>
        <w:pStyle w:val="Bullet2ndlevel"/>
      </w:pPr>
      <w:r w:rsidRPr="00506A16">
        <w:fldChar w:fldCharType="begin"/>
      </w:r>
      <w:r w:rsidRPr="00506A16">
        <w:instrText xml:space="preserve"> REF _Ref25417783 \w \h </w:instrText>
      </w:r>
      <w:r w:rsidR="00506A16">
        <w:instrText xml:space="preserve"> \* MERGEFORMAT </w:instrText>
      </w:r>
      <w:r w:rsidRPr="00506A16">
        <w:fldChar w:fldCharType="separate"/>
      </w:r>
      <w:r w:rsidR="004355CA" w:rsidRPr="00506A16">
        <w:t>Appendix D</w:t>
      </w:r>
      <w:r w:rsidRPr="00506A16">
        <w:fldChar w:fldCharType="end"/>
      </w:r>
      <w:r w:rsidR="009E1E3F" w:rsidRPr="00506A16">
        <w:t>: Guidance and resources to support aged care services to participate in the study</w:t>
      </w:r>
    </w:p>
    <w:p w:rsidR="0093030E" w:rsidRPr="00506A16" w:rsidRDefault="00433FBB" w:rsidP="00506A16">
      <w:pPr>
        <w:pStyle w:val="Bullet2ndlevel"/>
      </w:pPr>
      <w:r w:rsidRPr="00506A16">
        <w:fldChar w:fldCharType="begin"/>
      </w:r>
      <w:r w:rsidRPr="00506A16">
        <w:instrText xml:space="preserve"> REF _Ref25417789 \w \h </w:instrText>
      </w:r>
      <w:r w:rsidR="00506A16">
        <w:instrText xml:space="preserve"> \* MERGEFORMAT </w:instrText>
      </w:r>
      <w:r w:rsidRPr="00506A16">
        <w:fldChar w:fldCharType="separate"/>
      </w:r>
      <w:r w:rsidR="004355CA" w:rsidRPr="00506A16">
        <w:t>Appendix E</w:t>
      </w:r>
      <w:r w:rsidRPr="00506A16">
        <w:fldChar w:fldCharType="end"/>
      </w:r>
      <w:r w:rsidR="009E1E3F" w:rsidRPr="00506A16">
        <w:t>: Approach to modelling data.</w:t>
      </w:r>
    </w:p>
    <w:p w:rsidR="005C7A29" w:rsidRPr="00315F60" w:rsidRDefault="00F05B28" w:rsidP="00EF6B6C">
      <w:pPr>
        <w:pStyle w:val="Heading1"/>
        <w:rPr>
          <w:color w:val="auto"/>
        </w:rPr>
      </w:pPr>
      <w:bookmarkStart w:id="26" w:name="_Toc13548812"/>
      <w:bookmarkStart w:id="27" w:name="_Toc13654890"/>
      <w:bookmarkStart w:id="28" w:name="_Toc9428636"/>
      <w:bookmarkStart w:id="29" w:name="_Toc9428637"/>
      <w:bookmarkStart w:id="30" w:name="_Toc9428638"/>
      <w:bookmarkStart w:id="31" w:name="_Toc9428639"/>
      <w:bookmarkStart w:id="32" w:name="_Toc9428640"/>
      <w:bookmarkStart w:id="33" w:name="_Toc9428641"/>
      <w:bookmarkStart w:id="34" w:name="_Toc9428643"/>
      <w:bookmarkStart w:id="35" w:name="_Toc9428644"/>
      <w:bookmarkStart w:id="36" w:name="_Ref25416803"/>
      <w:bookmarkStart w:id="37" w:name="_Toc26979131"/>
      <w:bookmarkEnd w:id="26"/>
      <w:bookmarkEnd w:id="27"/>
      <w:bookmarkEnd w:id="28"/>
      <w:bookmarkEnd w:id="29"/>
      <w:bookmarkEnd w:id="30"/>
      <w:bookmarkEnd w:id="31"/>
      <w:bookmarkEnd w:id="32"/>
      <w:bookmarkEnd w:id="33"/>
      <w:bookmarkEnd w:id="34"/>
      <w:bookmarkEnd w:id="35"/>
      <w:r w:rsidRPr="00315F60">
        <w:rPr>
          <w:color w:val="auto"/>
        </w:rPr>
        <w:lastRenderedPageBreak/>
        <w:t>Prevalence</w:t>
      </w:r>
      <w:r w:rsidR="005C7A29" w:rsidRPr="00315F60">
        <w:rPr>
          <w:color w:val="auto"/>
        </w:rPr>
        <w:t xml:space="preserve"> study methodology</w:t>
      </w:r>
      <w:bookmarkEnd w:id="36"/>
      <w:bookmarkEnd w:id="37"/>
      <w:r w:rsidR="005C7A29" w:rsidRPr="00315F60">
        <w:rPr>
          <w:color w:val="auto"/>
        </w:rPr>
        <w:t xml:space="preserve"> </w:t>
      </w:r>
    </w:p>
    <w:p w:rsidR="00BC6CE1" w:rsidRPr="00315F60" w:rsidRDefault="00BC6CE1" w:rsidP="00BC6CE1">
      <w:pPr>
        <w:pStyle w:val="BodyText"/>
      </w:pPr>
      <w:bookmarkStart w:id="38" w:name="_Toc13654894"/>
      <w:bookmarkStart w:id="39" w:name="_Toc13654895"/>
      <w:bookmarkStart w:id="40" w:name="_Toc13654896"/>
      <w:bookmarkStart w:id="41" w:name="_Toc13654897"/>
      <w:bookmarkStart w:id="42" w:name="_Toc13654898"/>
      <w:bookmarkStart w:id="43" w:name="_Toc13654899"/>
      <w:bookmarkStart w:id="44" w:name="_Toc13654900"/>
      <w:bookmarkStart w:id="45" w:name="_Toc13654901"/>
      <w:bookmarkStart w:id="46" w:name="_Toc13654902"/>
      <w:bookmarkStart w:id="47" w:name="_Toc13654903"/>
      <w:bookmarkStart w:id="48" w:name="_Toc13654904"/>
      <w:bookmarkStart w:id="49" w:name="_Toc13654905"/>
      <w:bookmarkStart w:id="50" w:name="_Toc13654906"/>
      <w:bookmarkStart w:id="51" w:name="_Toc12975216"/>
      <w:bookmarkEnd w:id="4"/>
      <w:bookmarkEnd w:id="5"/>
      <w:bookmarkEnd w:id="38"/>
      <w:bookmarkEnd w:id="39"/>
      <w:bookmarkEnd w:id="40"/>
      <w:bookmarkEnd w:id="41"/>
      <w:bookmarkEnd w:id="42"/>
      <w:bookmarkEnd w:id="43"/>
      <w:bookmarkEnd w:id="44"/>
      <w:bookmarkEnd w:id="45"/>
      <w:bookmarkEnd w:id="46"/>
      <w:bookmarkEnd w:id="47"/>
      <w:bookmarkEnd w:id="48"/>
      <w:bookmarkEnd w:id="49"/>
      <w:bookmarkEnd w:id="50"/>
      <w:r w:rsidRPr="00315F60">
        <w:t xml:space="preserve">This section provides an overview of the prevalence study methodology and activities. It outlines the details of the development of the data collection approach, data collection and submission by </w:t>
      </w:r>
      <w:r w:rsidR="005E5E1D" w:rsidRPr="00315F60">
        <w:t xml:space="preserve">residential </w:t>
      </w:r>
      <w:r w:rsidRPr="00315F60">
        <w:t xml:space="preserve">aged care services, and the validation, modelling and analysis process. The key stages of the study and the associated timeframes of these stages are summarised in </w:t>
      </w:r>
      <w:r w:rsidR="006D2780" w:rsidRPr="00315F60">
        <w:fldChar w:fldCharType="begin"/>
      </w:r>
      <w:r w:rsidR="006D2780" w:rsidRPr="00315F60">
        <w:instrText xml:space="preserve"> REF _Ref23413893 \h </w:instrText>
      </w:r>
      <w:r w:rsidR="006D2780" w:rsidRPr="00315F60">
        <w:fldChar w:fldCharType="separate"/>
      </w:r>
      <w:r w:rsidR="004355CA" w:rsidRPr="00315F60">
        <w:t xml:space="preserve">Table </w:t>
      </w:r>
      <w:r w:rsidR="004355CA" w:rsidRPr="00315F60">
        <w:rPr>
          <w:noProof/>
        </w:rPr>
        <w:t>2</w:t>
      </w:r>
      <w:r w:rsidR="006D2780" w:rsidRPr="00315F60">
        <w:fldChar w:fldCharType="end"/>
      </w:r>
      <w:r w:rsidR="006D2780" w:rsidRPr="00315F60">
        <w:t xml:space="preserve"> </w:t>
      </w:r>
      <w:r w:rsidRPr="00315F60">
        <w:t xml:space="preserve">below. </w:t>
      </w:r>
    </w:p>
    <w:p w:rsidR="00BC6CE1" w:rsidRPr="00315F60" w:rsidRDefault="00BC6CE1" w:rsidP="00BC6CE1">
      <w:pPr>
        <w:pStyle w:val="Caption"/>
        <w:rPr>
          <w:color w:val="auto"/>
          <w:szCs w:val="20"/>
        </w:rPr>
      </w:pPr>
      <w:bookmarkStart w:id="52" w:name="_Ref23413893"/>
      <w:r w:rsidRPr="00315F60">
        <w:rPr>
          <w:color w:val="auto"/>
        </w:rPr>
        <w:t xml:space="preserve">Table </w:t>
      </w:r>
      <w:r w:rsidRPr="00315F60">
        <w:rPr>
          <w:noProof/>
          <w:color w:val="auto"/>
        </w:rPr>
        <w:fldChar w:fldCharType="begin"/>
      </w:r>
      <w:r w:rsidRPr="00315F60">
        <w:rPr>
          <w:noProof/>
          <w:color w:val="auto"/>
        </w:rPr>
        <w:instrText xml:space="preserve"> SEQ Table \* ARABIC </w:instrText>
      </w:r>
      <w:r w:rsidRPr="00315F60">
        <w:rPr>
          <w:noProof/>
          <w:color w:val="auto"/>
        </w:rPr>
        <w:fldChar w:fldCharType="separate"/>
      </w:r>
      <w:r w:rsidR="004355CA" w:rsidRPr="00315F60">
        <w:rPr>
          <w:noProof/>
          <w:color w:val="auto"/>
        </w:rPr>
        <w:t>2</w:t>
      </w:r>
      <w:r w:rsidRPr="00315F60">
        <w:rPr>
          <w:noProof/>
          <w:color w:val="auto"/>
        </w:rPr>
        <w:fldChar w:fldCharType="end"/>
      </w:r>
      <w:bookmarkEnd w:id="52"/>
      <w:r w:rsidRPr="00315F60">
        <w:rPr>
          <w:color w:val="auto"/>
        </w:rPr>
        <w:t>:</w:t>
      </w:r>
      <w:r w:rsidRPr="00315F60">
        <w:rPr>
          <w:color w:val="auto"/>
          <w:szCs w:val="20"/>
        </w:rPr>
        <w:t xml:space="preserve"> Summary of key stages for the prevalence study</w:t>
      </w:r>
    </w:p>
    <w:tbl>
      <w:tblPr>
        <w:tblStyle w:val="TableGridKPMGBlue"/>
        <w:tblW w:w="0" w:type="auto"/>
        <w:tblLook w:val="04A0" w:firstRow="1" w:lastRow="0" w:firstColumn="1" w:lastColumn="0" w:noHBand="0" w:noVBand="1"/>
        <w:tblDescription w:val="This table provides a summary of the key stages for the prevalence study, including a brief description of and timeframe for each stage."/>
      </w:tblPr>
      <w:tblGrid>
        <w:gridCol w:w="1737"/>
        <w:gridCol w:w="5244"/>
        <w:gridCol w:w="2079"/>
      </w:tblGrid>
      <w:tr w:rsidR="00315F60" w:rsidRPr="00315F60" w:rsidTr="00506A16">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37" w:type="dxa"/>
            <w:shd w:val="clear" w:color="auto" w:fill="000000" w:themeFill="text1"/>
          </w:tcPr>
          <w:p w:rsidR="00BC6CE1" w:rsidRPr="00315F60" w:rsidRDefault="00BC6CE1" w:rsidP="0093030E">
            <w:pPr>
              <w:pStyle w:val="Tableheading"/>
              <w:rPr>
                <w:color w:val="auto"/>
              </w:rPr>
            </w:pPr>
            <w:r w:rsidRPr="00315F60">
              <w:rPr>
                <w:color w:val="auto"/>
              </w:rPr>
              <w:t>Stage</w:t>
            </w:r>
          </w:p>
        </w:tc>
        <w:tc>
          <w:tcPr>
            <w:tcW w:w="5244" w:type="dxa"/>
            <w:shd w:val="clear" w:color="auto" w:fill="000000" w:themeFill="text1"/>
          </w:tcPr>
          <w:p w:rsidR="00BC6CE1" w:rsidRPr="00315F60" w:rsidRDefault="00BC6CE1" w:rsidP="0093030E">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Detail</w:t>
            </w:r>
          </w:p>
        </w:tc>
        <w:tc>
          <w:tcPr>
            <w:tcW w:w="2079" w:type="dxa"/>
            <w:shd w:val="clear" w:color="auto" w:fill="000000" w:themeFill="text1"/>
          </w:tcPr>
          <w:p w:rsidR="00BC6CE1" w:rsidRPr="00315F60" w:rsidRDefault="00BC6CE1" w:rsidP="0093030E">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Timeframe</w:t>
            </w:r>
          </w:p>
        </w:tc>
      </w:tr>
      <w:tr w:rsidR="00315F60" w:rsidRPr="00315F60" w:rsidTr="002B2522">
        <w:tc>
          <w:tcPr>
            <w:cnfStyle w:val="001000000000" w:firstRow="0" w:lastRow="0" w:firstColumn="1" w:lastColumn="0" w:oddVBand="0" w:evenVBand="0" w:oddHBand="0" w:evenHBand="0" w:firstRowFirstColumn="0" w:firstRowLastColumn="0" w:lastRowFirstColumn="0" w:lastRowLastColumn="0"/>
            <w:tcW w:w="1737" w:type="dxa"/>
          </w:tcPr>
          <w:p w:rsidR="00BC6CE1" w:rsidRPr="00315F60" w:rsidRDefault="00BC6CE1" w:rsidP="0093030E">
            <w:pPr>
              <w:pStyle w:val="Tabletext"/>
            </w:pPr>
            <w:r w:rsidRPr="00315F60">
              <w:t>Development of an approach to data collection</w:t>
            </w:r>
          </w:p>
        </w:tc>
        <w:tc>
          <w:tcPr>
            <w:tcW w:w="5244" w:type="dxa"/>
          </w:tcPr>
          <w:p w:rsidR="00BC6CE1" w:rsidRPr="00315F60" w:rsidRDefault="00BC6CE1" w:rsidP="0093030E">
            <w:pPr>
              <w:pStyle w:val="Tabletext"/>
              <w:cnfStyle w:val="000000000000" w:firstRow="0" w:lastRow="0" w:firstColumn="0" w:lastColumn="0" w:oddVBand="0" w:evenVBand="0" w:oddHBand="0" w:evenHBand="0" w:firstRowFirstColumn="0" w:firstRowLastColumn="0" w:lastRowFirstColumn="0" w:lastRowLastColumn="0"/>
            </w:pPr>
            <w:r w:rsidRPr="00315F60">
              <w:t xml:space="preserve">An approach to data collection was designed in consultation with the Department to ensure data collected could be used to inform the design of a SIRS. Components of the approach that were developed with the Department included the </w:t>
            </w:r>
            <w:r w:rsidR="00250AE6" w:rsidRPr="00315F60">
              <w:t>scope of the data collection,</w:t>
            </w:r>
            <w:r w:rsidRPr="00315F60">
              <w:t xml:space="preserve"> questions and data fields to be captured, and the time period for data collection. This stage also involved the development of the data submission tool, the recruitment of </w:t>
            </w:r>
            <w:r w:rsidR="00AD452E" w:rsidRPr="00315F60">
              <w:t xml:space="preserve">residential aged care </w:t>
            </w:r>
            <w:r w:rsidRPr="00315F60">
              <w:t>services, and the provision of guidance and resources to support services to participate.</w:t>
            </w:r>
          </w:p>
        </w:tc>
        <w:tc>
          <w:tcPr>
            <w:tcW w:w="2079" w:type="dxa"/>
          </w:tcPr>
          <w:p w:rsidR="00BC6CE1" w:rsidRPr="00315F60" w:rsidRDefault="00BC6CE1" w:rsidP="0093030E">
            <w:pPr>
              <w:pStyle w:val="Tabletext"/>
              <w:cnfStyle w:val="000000000000" w:firstRow="0" w:lastRow="0" w:firstColumn="0" w:lastColumn="0" w:oddVBand="0" w:evenVBand="0" w:oddHBand="0" w:evenHBand="0" w:firstRowFirstColumn="0" w:firstRowLastColumn="0" w:lastRowFirstColumn="0" w:lastRowLastColumn="0"/>
            </w:pPr>
            <w:r w:rsidRPr="00315F60">
              <w:t xml:space="preserve">August 2019 </w:t>
            </w:r>
          </w:p>
        </w:tc>
      </w:tr>
      <w:tr w:rsidR="00315F60" w:rsidRPr="00315F60" w:rsidTr="002B2522">
        <w:tc>
          <w:tcPr>
            <w:cnfStyle w:val="001000000000" w:firstRow="0" w:lastRow="0" w:firstColumn="1" w:lastColumn="0" w:oddVBand="0" w:evenVBand="0" w:oddHBand="0" w:evenHBand="0" w:firstRowFirstColumn="0" w:firstRowLastColumn="0" w:lastRowFirstColumn="0" w:lastRowLastColumn="0"/>
            <w:tcW w:w="1737" w:type="dxa"/>
          </w:tcPr>
          <w:p w:rsidR="00BC6CE1" w:rsidRPr="00315F60" w:rsidRDefault="00BC6CE1" w:rsidP="0093030E">
            <w:pPr>
              <w:pStyle w:val="Tabletext"/>
            </w:pPr>
            <w:r w:rsidRPr="00315F60">
              <w:t>Data collection and modelling</w:t>
            </w:r>
          </w:p>
        </w:tc>
        <w:tc>
          <w:tcPr>
            <w:tcW w:w="5244" w:type="dxa"/>
          </w:tcPr>
          <w:p w:rsidR="00BC6CE1" w:rsidRPr="00315F60" w:rsidRDefault="00BC6CE1" w:rsidP="0093030E">
            <w:pPr>
              <w:pStyle w:val="Tabletext"/>
              <w:cnfStyle w:val="000000000000" w:firstRow="0" w:lastRow="0" w:firstColumn="0" w:lastColumn="0" w:oddVBand="0" w:evenVBand="0" w:oddHBand="0" w:evenHBand="0" w:firstRowFirstColumn="0" w:firstRowLastColumn="0" w:lastRowFirstColumn="0" w:lastRowLastColumn="0"/>
            </w:pPr>
            <w:r w:rsidRPr="00315F60">
              <w:t>Data collection and modelling involved the following key activities:</w:t>
            </w:r>
          </w:p>
          <w:p w:rsidR="00BC6CE1" w:rsidRPr="00315F60" w:rsidRDefault="00BC6CE1" w:rsidP="00411FCA">
            <w:pPr>
              <w:pStyle w:val="Bullet1stlevel"/>
              <w:cnfStyle w:val="000000000000" w:firstRow="0" w:lastRow="0" w:firstColumn="0" w:lastColumn="0" w:oddVBand="0" w:evenVBand="0" w:oddHBand="0" w:evenHBand="0" w:firstRowFirstColumn="0" w:firstRowLastColumn="0" w:lastRowFirstColumn="0" w:lastRowLastColumn="0"/>
              <w:rPr>
                <w:sz w:val="18"/>
              </w:rPr>
            </w:pPr>
            <w:r w:rsidRPr="00315F60">
              <w:rPr>
                <w:sz w:val="18"/>
              </w:rPr>
              <w:t>The collection and submission of data by services</w:t>
            </w:r>
          </w:p>
          <w:p w:rsidR="00BC6CE1" w:rsidRPr="00315F60" w:rsidRDefault="00BC6CE1" w:rsidP="00411FCA">
            <w:pPr>
              <w:pStyle w:val="Bullet1stlevel"/>
              <w:cnfStyle w:val="000000000000" w:firstRow="0" w:lastRow="0" w:firstColumn="0" w:lastColumn="0" w:oddVBand="0" w:evenVBand="0" w:oddHBand="0" w:evenHBand="0" w:firstRowFirstColumn="0" w:firstRowLastColumn="0" w:lastRowFirstColumn="0" w:lastRowLastColumn="0"/>
              <w:rPr>
                <w:sz w:val="18"/>
              </w:rPr>
            </w:pPr>
            <w:r w:rsidRPr="00315F60">
              <w:rPr>
                <w:sz w:val="18"/>
              </w:rPr>
              <w:t>Validation of submissions</w:t>
            </w:r>
          </w:p>
          <w:p w:rsidR="00BC6CE1" w:rsidRPr="00315F60" w:rsidRDefault="00BC6CE1" w:rsidP="00411FCA">
            <w:pPr>
              <w:pStyle w:val="Bullet1stlevel"/>
              <w:cnfStyle w:val="000000000000" w:firstRow="0" w:lastRow="0" w:firstColumn="0" w:lastColumn="0" w:oddVBand="0" w:evenVBand="0" w:oddHBand="0" w:evenHBand="0" w:firstRowFirstColumn="0" w:firstRowLastColumn="0" w:lastRowFirstColumn="0" w:lastRowLastColumn="0"/>
            </w:pPr>
            <w:r w:rsidRPr="00315F60">
              <w:rPr>
                <w:sz w:val="18"/>
              </w:rPr>
              <w:t>Modelling of data.</w:t>
            </w:r>
          </w:p>
        </w:tc>
        <w:tc>
          <w:tcPr>
            <w:tcW w:w="2079" w:type="dxa"/>
          </w:tcPr>
          <w:p w:rsidR="00BC6CE1" w:rsidRPr="00315F60" w:rsidRDefault="00BC6CE1" w:rsidP="0093030E">
            <w:pPr>
              <w:pStyle w:val="Tabletext"/>
              <w:cnfStyle w:val="000000000000" w:firstRow="0" w:lastRow="0" w:firstColumn="0" w:lastColumn="0" w:oddVBand="0" w:evenVBand="0" w:oddHBand="0" w:evenHBand="0" w:firstRowFirstColumn="0" w:firstRowLastColumn="0" w:lastRowFirstColumn="0" w:lastRowLastColumn="0"/>
            </w:pPr>
            <w:r w:rsidRPr="00315F60">
              <w:t>September to October 2019</w:t>
            </w:r>
          </w:p>
        </w:tc>
      </w:tr>
      <w:tr w:rsidR="00315F60" w:rsidRPr="00315F60" w:rsidTr="002B2522">
        <w:tc>
          <w:tcPr>
            <w:cnfStyle w:val="001000000000" w:firstRow="0" w:lastRow="0" w:firstColumn="1" w:lastColumn="0" w:oddVBand="0" w:evenVBand="0" w:oddHBand="0" w:evenHBand="0" w:firstRowFirstColumn="0" w:firstRowLastColumn="0" w:lastRowFirstColumn="0" w:lastRowLastColumn="0"/>
            <w:tcW w:w="1737" w:type="dxa"/>
          </w:tcPr>
          <w:p w:rsidR="00BC6CE1" w:rsidRPr="00315F60" w:rsidRDefault="00BC6CE1" w:rsidP="0093030E">
            <w:pPr>
              <w:pStyle w:val="Tabletext"/>
            </w:pPr>
            <w:r w:rsidRPr="00315F60">
              <w:t>Analysis and final reporting</w:t>
            </w:r>
          </w:p>
        </w:tc>
        <w:tc>
          <w:tcPr>
            <w:tcW w:w="5244" w:type="dxa"/>
          </w:tcPr>
          <w:p w:rsidR="00BC6CE1" w:rsidRPr="00315F60" w:rsidRDefault="00BC6CE1" w:rsidP="00B0520F">
            <w:pPr>
              <w:pStyle w:val="Tabletext"/>
              <w:cnfStyle w:val="000000000000" w:firstRow="0" w:lastRow="0" w:firstColumn="0" w:lastColumn="0" w:oddVBand="0" w:evenVBand="0" w:oddHBand="0" w:evenHBand="0" w:firstRowFirstColumn="0" w:firstRowLastColumn="0" w:lastRowFirstColumn="0" w:lastRowLastColumn="0"/>
            </w:pPr>
            <w:r w:rsidRPr="00315F60">
              <w:t xml:space="preserve">Data modelled during the project was analysed and synthesised to develop a final report (this report) for the Department. This included the validation of findings with the Department and the Commission to inform recommendations presented in this report. </w:t>
            </w:r>
          </w:p>
        </w:tc>
        <w:tc>
          <w:tcPr>
            <w:tcW w:w="2079" w:type="dxa"/>
          </w:tcPr>
          <w:p w:rsidR="00BC6CE1" w:rsidRPr="00315F60" w:rsidRDefault="00BC6CE1" w:rsidP="0093030E">
            <w:pPr>
              <w:pStyle w:val="Tabletext"/>
              <w:cnfStyle w:val="000000000000" w:firstRow="0" w:lastRow="0" w:firstColumn="0" w:lastColumn="0" w:oddVBand="0" w:evenVBand="0" w:oddHBand="0" w:evenHBand="0" w:firstRowFirstColumn="0" w:firstRowLastColumn="0" w:lastRowFirstColumn="0" w:lastRowLastColumn="0"/>
            </w:pPr>
            <w:r w:rsidRPr="00315F60">
              <w:t>October to November 2019</w:t>
            </w:r>
          </w:p>
        </w:tc>
      </w:tr>
    </w:tbl>
    <w:p w:rsidR="00BC6CE1" w:rsidRPr="00315F60" w:rsidRDefault="00BC6CE1" w:rsidP="001F0CB3">
      <w:pPr>
        <w:pStyle w:val="Source"/>
      </w:pPr>
      <w:r w:rsidRPr="00315F60">
        <w:t>Source: KPMG</w:t>
      </w:r>
    </w:p>
    <w:p w:rsidR="00BC6CE1" w:rsidRPr="00315F60" w:rsidRDefault="00BC6CE1" w:rsidP="002E7D8E">
      <w:pPr>
        <w:pStyle w:val="Heading2"/>
        <w:rPr>
          <w:color w:val="auto"/>
        </w:rPr>
      </w:pPr>
      <w:bookmarkStart w:id="53" w:name="_Toc23098129"/>
      <w:bookmarkStart w:id="54" w:name="_Toc26979132"/>
      <w:r w:rsidRPr="00315F60">
        <w:rPr>
          <w:color w:val="auto"/>
        </w:rPr>
        <w:t>Development of the data collection approach</w:t>
      </w:r>
      <w:bookmarkEnd w:id="53"/>
      <w:bookmarkEnd w:id="54"/>
    </w:p>
    <w:p w:rsidR="00BC6CE1" w:rsidRPr="00315F60" w:rsidRDefault="00BC6CE1" w:rsidP="0093030E">
      <w:pPr>
        <w:pStyle w:val="BodyTextkeepwithnext"/>
      </w:pPr>
      <w:bookmarkStart w:id="55" w:name="_Toc9428650"/>
      <w:bookmarkStart w:id="56" w:name="_Toc9428651"/>
      <w:bookmarkStart w:id="57" w:name="_Toc9428653"/>
      <w:bookmarkStart w:id="58" w:name="_Toc9428654"/>
      <w:bookmarkStart w:id="59" w:name="_Toc9428656"/>
      <w:bookmarkStart w:id="60" w:name="_Toc9428662"/>
      <w:bookmarkEnd w:id="55"/>
      <w:bookmarkEnd w:id="56"/>
      <w:bookmarkEnd w:id="57"/>
      <w:bookmarkEnd w:id="58"/>
      <w:bookmarkEnd w:id="59"/>
      <w:bookmarkEnd w:id="60"/>
      <w:r w:rsidRPr="00315F60">
        <w:t>The development of the data collection approach involved the following key steps:</w:t>
      </w:r>
    </w:p>
    <w:p w:rsidR="00BC6CE1" w:rsidRPr="00315F60" w:rsidRDefault="00BC6CE1" w:rsidP="007F13A4">
      <w:pPr>
        <w:pStyle w:val="Bullet1stlevel"/>
      </w:pPr>
      <w:r w:rsidRPr="00315F60">
        <w:t>Designing the scope of the data collection</w:t>
      </w:r>
    </w:p>
    <w:p w:rsidR="00BC6CE1" w:rsidRPr="00315F60" w:rsidRDefault="00BC6CE1" w:rsidP="007F13A4">
      <w:pPr>
        <w:pStyle w:val="Bullet1stlevel"/>
      </w:pPr>
      <w:r w:rsidRPr="00315F60">
        <w:t>Development of the data submission tool</w:t>
      </w:r>
    </w:p>
    <w:p w:rsidR="00BC6CE1" w:rsidRPr="00315F60" w:rsidRDefault="00BC6CE1" w:rsidP="007F13A4">
      <w:pPr>
        <w:pStyle w:val="Bullet1stlevel"/>
      </w:pPr>
      <w:r w:rsidRPr="00315F60">
        <w:t xml:space="preserve">Recruitment of </w:t>
      </w:r>
      <w:r w:rsidR="00AD452E" w:rsidRPr="00315F60">
        <w:t xml:space="preserve">residential </w:t>
      </w:r>
      <w:r w:rsidRPr="00315F60">
        <w:t>aged care services</w:t>
      </w:r>
    </w:p>
    <w:p w:rsidR="00BC6CE1" w:rsidRPr="00315F60" w:rsidRDefault="00BC6CE1" w:rsidP="007F13A4">
      <w:pPr>
        <w:pStyle w:val="Bullet1stlevel"/>
      </w:pPr>
      <w:r w:rsidRPr="00315F60">
        <w:t>Provision of guidance and resources to support aged care services to participate.</w:t>
      </w:r>
    </w:p>
    <w:p w:rsidR="00BC6CE1" w:rsidRPr="00315F60" w:rsidRDefault="00BC6CE1" w:rsidP="00BC6CE1">
      <w:pPr>
        <w:pStyle w:val="BodyText"/>
      </w:pPr>
      <w:r w:rsidRPr="00315F60">
        <w:t>Each of these steps is detailed further below.</w:t>
      </w:r>
    </w:p>
    <w:p w:rsidR="00BC6CE1" w:rsidRPr="00315F60" w:rsidRDefault="00BC6CE1" w:rsidP="00BC6CE1">
      <w:pPr>
        <w:pStyle w:val="Heading3"/>
        <w:tabs>
          <w:tab w:val="clear" w:pos="964"/>
          <w:tab w:val="num" w:pos="993"/>
        </w:tabs>
        <w:ind w:left="1390" w:hanging="1390"/>
        <w:rPr>
          <w:color w:val="auto"/>
        </w:rPr>
      </w:pPr>
      <w:bookmarkStart w:id="61" w:name="_Toc23098130"/>
      <w:bookmarkStart w:id="62" w:name="_Ref25416908"/>
      <w:r w:rsidRPr="00315F60">
        <w:rPr>
          <w:color w:val="auto"/>
        </w:rPr>
        <w:t>Designing the scope of the data collection</w:t>
      </w:r>
      <w:bookmarkEnd w:id="61"/>
      <w:bookmarkEnd w:id="62"/>
    </w:p>
    <w:p w:rsidR="00BC6CE1" w:rsidRPr="00315F60" w:rsidRDefault="00BC6CE1" w:rsidP="0093030E">
      <w:pPr>
        <w:pStyle w:val="BodyText"/>
      </w:pPr>
      <w:r w:rsidRPr="00315F60">
        <w:t xml:space="preserve">A half-day workshop was conducted with the Department’s </w:t>
      </w:r>
      <w:r w:rsidR="005006BD" w:rsidRPr="00315F60">
        <w:t>project team</w:t>
      </w:r>
      <w:r w:rsidRPr="00315F60">
        <w:t xml:space="preserve"> to design the data collection approach. This involved the design of questions and data fields for the data submission tool, and agreeing the time period for data collection.</w:t>
      </w:r>
    </w:p>
    <w:p w:rsidR="00BC6CE1" w:rsidRPr="00315F60" w:rsidRDefault="00BC6CE1" w:rsidP="002F54AD">
      <w:pPr>
        <w:pStyle w:val="Heading4"/>
        <w:rPr>
          <w:color w:val="auto"/>
        </w:rPr>
      </w:pPr>
      <w:r w:rsidRPr="00315F60">
        <w:rPr>
          <w:color w:val="auto"/>
        </w:rPr>
        <w:lastRenderedPageBreak/>
        <w:t xml:space="preserve">Types of </w:t>
      </w:r>
      <w:r w:rsidR="00A75F38" w:rsidRPr="00315F60">
        <w:rPr>
          <w:color w:val="auto"/>
        </w:rPr>
        <w:t>resident on resident</w:t>
      </w:r>
      <w:r w:rsidRPr="00315F60">
        <w:rPr>
          <w:color w:val="auto"/>
        </w:rPr>
        <w:t xml:space="preserve"> incidents in scope for the study</w:t>
      </w:r>
    </w:p>
    <w:p w:rsidR="00BC6CE1" w:rsidRPr="00315F60" w:rsidRDefault="00BC6CE1" w:rsidP="00BC6CE1">
      <w:pPr>
        <w:pStyle w:val="BodyText"/>
        <w:rPr>
          <w:szCs w:val="20"/>
        </w:rPr>
      </w:pPr>
      <w:r w:rsidRPr="00315F60">
        <w:t>Under th</w:t>
      </w:r>
      <w:r w:rsidRPr="00315F60">
        <w:rPr>
          <w:szCs w:val="20"/>
        </w:rPr>
        <w:t>e current arrangements, approved providers of residential aged care are required to report an allegation, or a suspicion, of a ‘reportable assault’ on a resident.</w:t>
      </w:r>
      <w:r w:rsidRPr="00315F60">
        <w:rPr>
          <w:rStyle w:val="FootnoteReference"/>
          <w:sz w:val="20"/>
          <w:szCs w:val="20"/>
        </w:rPr>
        <w:footnoteReference w:id="14"/>
      </w:r>
      <w:r w:rsidRPr="00315F60">
        <w:rPr>
          <w:szCs w:val="20"/>
        </w:rPr>
        <w:t xml:space="preserve"> ‘Reportable assaults’ are defined as ‘unlawful sexual contact’ and ‘unreasonabl</w:t>
      </w:r>
      <w:r w:rsidR="006D2780" w:rsidRPr="00315F60">
        <w:rPr>
          <w:szCs w:val="20"/>
        </w:rPr>
        <w:t xml:space="preserve">e use of force’ (as defined in section </w:t>
      </w:r>
      <w:r w:rsidR="006D2780" w:rsidRPr="00315F60">
        <w:rPr>
          <w:szCs w:val="20"/>
        </w:rPr>
        <w:fldChar w:fldCharType="begin"/>
      </w:r>
      <w:r w:rsidR="006D2780" w:rsidRPr="00315F60">
        <w:rPr>
          <w:szCs w:val="20"/>
        </w:rPr>
        <w:instrText xml:space="preserve"> REF _Ref23413922 \r \h </w:instrText>
      </w:r>
      <w:r w:rsidR="001A6201" w:rsidRPr="00315F60">
        <w:rPr>
          <w:szCs w:val="20"/>
        </w:rPr>
        <w:instrText xml:space="preserve"> \* MERGEFORMAT </w:instrText>
      </w:r>
      <w:r w:rsidR="006D2780" w:rsidRPr="00315F60">
        <w:rPr>
          <w:szCs w:val="20"/>
        </w:rPr>
      </w:r>
      <w:r w:rsidR="006D2780" w:rsidRPr="00315F60">
        <w:rPr>
          <w:szCs w:val="20"/>
        </w:rPr>
        <w:fldChar w:fldCharType="separate"/>
      </w:r>
      <w:r w:rsidR="004355CA" w:rsidRPr="00315F60">
        <w:rPr>
          <w:szCs w:val="20"/>
        </w:rPr>
        <w:t>1.1</w:t>
      </w:r>
      <w:r w:rsidR="006D2780" w:rsidRPr="00315F60">
        <w:rPr>
          <w:szCs w:val="20"/>
        </w:rPr>
        <w:fldChar w:fldCharType="end"/>
      </w:r>
      <w:r w:rsidRPr="00315F60">
        <w:rPr>
          <w:szCs w:val="20"/>
        </w:rPr>
        <w:t>). However, the scope of incidents that meet the definition of a reportable assault is narrower than the breadth of incidents that could occur in residential aged care.</w:t>
      </w:r>
    </w:p>
    <w:p w:rsidR="00BC6CE1" w:rsidRPr="00315F60" w:rsidRDefault="00BC6CE1" w:rsidP="0093030E">
      <w:pPr>
        <w:pStyle w:val="BodyTextkeepwithnext"/>
        <w:rPr>
          <w:szCs w:val="20"/>
        </w:rPr>
      </w:pPr>
      <w:r w:rsidRPr="00315F60">
        <w:rPr>
          <w:szCs w:val="20"/>
        </w:rPr>
        <w:t>Incidents between residents in residential aged care can present in many different forms</w:t>
      </w:r>
      <w:r w:rsidR="007F13A4" w:rsidRPr="00315F60">
        <w:rPr>
          <w:szCs w:val="20"/>
        </w:rPr>
        <w:t>,</w:t>
      </w:r>
      <w:r w:rsidRPr="00315F60">
        <w:rPr>
          <w:rStyle w:val="FootnoteReference"/>
          <w:sz w:val="20"/>
          <w:szCs w:val="20"/>
        </w:rPr>
        <w:footnoteReference w:id="15"/>
      </w:r>
      <w:r w:rsidRPr="00315F60">
        <w:rPr>
          <w:szCs w:val="20"/>
        </w:rPr>
        <w:t xml:space="preserve"> including:</w:t>
      </w:r>
    </w:p>
    <w:p w:rsidR="00BC6CE1" w:rsidRPr="00315F60" w:rsidRDefault="00BC6CE1" w:rsidP="007F13A4">
      <w:pPr>
        <w:pStyle w:val="Bullet1stlevel"/>
      </w:pPr>
      <w:r w:rsidRPr="00315F60">
        <w:t>Physical aggression (e.g. pushing another resident)</w:t>
      </w:r>
    </w:p>
    <w:p w:rsidR="00BC6CE1" w:rsidRPr="00315F60" w:rsidRDefault="00BC6CE1" w:rsidP="007F13A4">
      <w:pPr>
        <w:pStyle w:val="Bullet1stlevel"/>
      </w:pPr>
      <w:r w:rsidRPr="00315F60">
        <w:t>Verbal aggression (e.g. yelling and shouting)</w:t>
      </w:r>
    </w:p>
    <w:p w:rsidR="00BC6CE1" w:rsidRPr="00315F60" w:rsidRDefault="00BC6CE1" w:rsidP="007F13A4">
      <w:pPr>
        <w:pStyle w:val="Bullet1stlevel"/>
      </w:pPr>
      <w:r w:rsidRPr="00315F60">
        <w:t>Sexual aggression (e.g. inappropriate touching)</w:t>
      </w:r>
    </w:p>
    <w:p w:rsidR="00BC6CE1" w:rsidRPr="00315F60" w:rsidRDefault="00BC6CE1" w:rsidP="007F13A4">
      <w:pPr>
        <w:pStyle w:val="Bullet1stlevel"/>
      </w:pPr>
      <w:r w:rsidRPr="00315F60">
        <w:t>Material aggression (e.g. taking other residents’ property)</w:t>
      </w:r>
      <w:r w:rsidR="001952BF" w:rsidRPr="00315F60">
        <w:t xml:space="preserve">. </w:t>
      </w:r>
    </w:p>
    <w:p w:rsidR="00BC6CE1" w:rsidRPr="00315F60" w:rsidRDefault="00BC6CE1" w:rsidP="00BC6CE1">
      <w:pPr>
        <w:pStyle w:val="BodyText"/>
        <w:rPr>
          <w:szCs w:val="20"/>
        </w:rPr>
      </w:pPr>
      <w:r w:rsidRPr="00315F60">
        <w:rPr>
          <w:szCs w:val="20"/>
        </w:rPr>
        <w:t xml:space="preserve">Current arrangements for reporting exclude certain serious incidents of abuse between residents, such as emotional or psychological abuse. Similarly, not all incidents that meet the definition of a reportable assault are required to be reported to the Department. </w:t>
      </w:r>
      <w:r w:rsidRPr="00315F60">
        <w:rPr>
          <w:bCs/>
          <w:szCs w:val="20"/>
        </w:rPr>
        <w:t xml:space="preserve">Exemptions </w:t>
      </w:r>
      <w:r w:rsidR="005E5E1D" w:rsidRPr="00315F60">
        <w:rPr>
          <w:bCs/>
          <w:szCs w:val="20"/>
        </w:rPr>
        <w:t xml:space="preserve">from current </w:t>
      </w:r>
      <w:r w:rsidRPr="00315F60">
        <w:rPr>
          <w:bCs/>
          <w:szCs w:val="20"/>
        </w:rPr>
        <w:t xml:space="preserve">reporting include: </w:t>
      </w:r>
    </w:p>
    <w:p w:rsidR="005E5E1D" w:rsidRPr="00315F60" w:rsidRDefault="00BC6CE1" w:rsidP="007F13A4">
      <w:pPr>
        <w:pStyle w:val="Bullet1stlevel"/>
      </w:pPr>
      <w:r w:rsidRPr="00315F60">
        <w:t>When the alleged assault is perpetrated by a resident with an assessed cognitive or mental impairment and care arrangements are put in place to manage the behaviour within 24 hours</w:t>
      </w:r>
    </w:p>
    <w:p w:rsidR="005E5E1D" w:rsidRPr="00315F60" w:rsidRDefault="00C90917" w:rsidP="007F13A4">
      <w:pPr>
        <w:pStyle w:val="Bullet1stlevel"/>
      </w:pPr>
      <w:r w:rsidRPr="00315F60">
        <w:t xml:space="preserve">When an allegation or suspicion relates to the same, or substantially the same, factual situation or event as an earlier allegation or suspicion of a reportable assault, and that earlier allegation or suspicion was reported to the Department. </w:t>
      </w:r>
    </w:p>
    <w:p w:rsidR="00BC6CE1" w:rsidRPr="00315F60" w:rsidRDefault="00BC6CE1">
      <w:pPr>
        <w:pStyle w:val="BodyText"/>
      </w:pPr>
      <w:r w:rsidRPr="00315F60">
        <w:rPr>
          <w:szCs w:val="20"/>
        </w:rPr>
        <w:t xml:space="preserve">This means that there may be serious incidents occurring in residential aged care that are not being </w:t>
      </w:r>
      <w:r w:rsidRPr="00315F60">
        <w:t xml:space="preserve">reported through current arrangements and therefore over which the Department does not have visibility. </w:t>
      </w:r>
    </w:p>
    <w:p w:rsidR="00BC6CE1" w:rsidRPr="00315F60" w:rsidRDefault="00BC6CE1" w:rsidP="0093030E">
      <w:pPr>
        <w:pStyle w:val="BodyText"/>
      </w:pPr>
      <w:r w:rsidRPr="00315F60">
        <w:t>This study aimed to collect information about incidents between residents that are not currently reported to the Department. These include:</w:t>
      </w:r>
    </w:p>
    <w:p w:rsidR="00BC6CE1" w:rsidRPr="00315F60" w:rsidRDefault="00BC6CE1" w:rsidP="007F13A4">
      <w:pPr>
        <w:pStyle w:val="Bullet1stlevel"/>
      </w:pPr>
      <w:r w:rsidRPr="00315F60">
        <w:t>Resident</w:t>
      </w:r>
      <w:r w:rsidR="00E273F2" w:rsidRPr="00315F60">
        <w:t xml:space="preserve"> </w:t>
      </w:r>
      <w:r w:rsidRPr="00315F60">
        <w:t>on</w:t>
      </w:r>
      <w:r w:rsidR="00E273F2" w:rsidRPr="00315F60">
        <w:t xml:space="preserve"> </w:t>
      </w:r>
      <w:r w:rsidRPr="00315F60">
        <w:t>resident incidents that meet the Act</w:t>
      </w:r>
      <w:r w:rsidR="001F0CB3" w:rsidRPr="00315F60">
        <w:t>’s</w:t>
      </w:r>
      <w:r w:rsidRPr="00315F60">
        <w:t xml:space="preserve"> definition of a reportable assault but are exempt from being reported to the Department (referred to as ‘Type 1 incidents’ for the purpose of this study)</w:t>
      </w:r>
    </w:p>
    <w:p w:rsidR="00BC6CE1" w:rsidRPr="00315F60" w:rsidRDefault="00BC6CE1" w:rsidP="007F13A4">
      <w:pPr>
        <w:pStyle w:val="Bullet1stlevel"/>
      </w:pPr>
      <w:r w:rsidRPr="00315F60">
        <w:t>Other incidents between residents, which do not meet the definition of a reportable assault but are recorded by the approved provider (for example, in an incident log) (referred to as ‘Type 2 incidents</w:t>
      </w:r>
      <w:r w:rsidR="001F0CB3" w:rsidRPr="00315F60">
        <w:t>’</w:t>
      </w:r>
      <w:r w:rsidRPr="00315F60">
        <w:t>, for the purpose of this study).</w:t>
      </w:r>
    </w:p>
    <w:p w:rsidR="00BC6CE1" w:rsidRPr="00315F60" w:rsidRDefault="00BC6CE1" w:rsidP="0093030E">
      <w:pPr>
        <w:pStyle w:val="Heading6"/>
      </w:pPr>
      <w:r w:rsidRPr="00315F60">
        <w:t>Type 1 incidents: Resident</w:t>
      </w:r>
      <w:r w:rsidR="001A6201" w:rsidRPr="00315F60">
        <w:t xml:space="preserve"> </w:t>
      </w:r>
      <w:r w:rsidRPr="00315F60">
        <w:t>on</w:t>
      </w:r>
      <w:r w:rsidR="001A6201" w:rsidRPr="00315F60">
        <w:t xml:space="preserve"> </w:t>
      </w:r>
      <w:r w:rsidRPr="00315F60">
        <w:t>resident incidents that meet the Act</w:t>
      </w:r>
      <w:r w:rsidR="001F0CB3" w:rsidRPr="00315F60">
        <w:t>’s</w:t>
      </w:r>
      <w:r w:rsidRPr="00315F60">
        <w:t xml:space="preserve"> definition of a reportable assault but which are exempt from being reported to the Department</w:t>
      </w:r>
    </w:p>
    <w:p w:rsidR="00BC6CE1" w:rsidRPr="00315F60" w:rsidRDefault="00BC6CE1" w:rsidP="0093030E">
      <w:pPr>
        <w:pStyle w:val="BodyText"/>
        <w:rPr>
          <w:szCs w:val="20"/>
        </w:rPr>
      </w:pPr>
      <w:r w:rsidRPr="00315F60">
        <w:rPr>
          <w:szCs w:val="20"/>
        </w:rPr>
        <w:t xml:space="preserve">If a reportable assault meets the exemption criteria of the current reportable assaults arrangements (as described above), and is not reported to the Department, approved providers are still required to </w:t>
      </w:r>
      <w:r w:rsidRPr="00315F60">
        <w:rPr>
          <w:szCs w:val="20"/>
          <w:u w:val="single"/>
        </w:rPr>
        <w:t>record</w:t>
      </w:r>
      <w:r w:rsidRPr="00315F60">
        <w:rPr>
          <w:szCs w:val="20"/>
        </w:rPr>
        <w:t xml:space="preserve"> information about the incident.</w:t>
      </w:r>
      <w:r w:rsidRPr="00315F60">
        <w:rPr>
          <w:rStyle w:val="FootnoteReference"/>
          <w:bCs/>
          <w:sz w:val="20"/>
          <w:szCs w:val="20"/>
        </w:rPr>
        <w:footnoteReference w:id="16"/>
      </w:r>
      <w:r w:rsidRPr="00315F60">
        <w:rPr>
          <w:szCs w:val="20"/>
        </w:rPr>
        <w:t xml:space="preserve"> The Accountability Principles require that each consolidated record of a resident</w:t>
      </w:r>
      <w:r w:rsidR="001A6201" w:rsidRPr="00315F60">
        <w:rPr>
          <w:szCs w:val="20"/>
        </w:rPr>
        <w:t xml:space="preserve"> </w:t>
      </w:r>
      <w:r w:rsidRPr="00315F60">
        <w:rPr>
          <w:szCs w:val="20"/>
        </w:rPr>
        <w:t>on</w:t>
      </w:r>
      <w:r w:rsidR="001A6201" w:rsidRPr="00315F60">
        <w:rPr>
          <w:szCs w:val="20"/>
        </w:rPr>
        <w:t xml:space="preserve"> </w:t>
      </w:r>
      <w:r w:rsidRPr="00315F60">
        <w:rPr>
          <w:szCs w:val="20"/>
        </w:rPr>
        <w:t>resident incident includes:</w:t>
      </w:r>
    </w:p>
    <w:p w:rsidR="00BC6CE1" w:rsidRPr="00315F60" w:rsidRDefault="00BC6CE1" w:rsidP="007F13A4">
      <w:pPr>
        <w:pStyle w:val="Bullet1stlevel"/>
      </w:pPr>
      <w:r w:rsidRPr="00315F60">
        <w:t>The date when the approved provider received the allegation, or started to suspect on reasonable grounds, that a reportable assault had occurred</w:t>
      </w:r>
    </w:p>
    <w:p w:rsidR="00BC6CE1" w:rsidRPr="00315F60" w:rsidRDefault="00BC6CE1" w:rsidP="007F13A4">
      <w:pPr>
        <w:pStyle w:val="Bullet1stlevel"/>
      </w:pPr>
      <w:r w:rsidRPr="00315F60">
        <w:lastRenderedPageBreak/>
        <w:t>A brief description of the allegation or the circumstances that gave rise to the suspicion</w:t>
      </w:r>
    </w:p>
    <w:p w:rsidR="00BC6CE1" w:rsidRPr="00315F60" w:rsidRDefault="00BC6CE1" w:rsidP="007F13A4">
      <w:pPr>
        <w:pStyle w:val="Bullet1stlevel"/>
      </w:pPr>
      <w:r w:rsidRPr="00315F60">
        <w:t>Information about whether a report of the allegation or suspicion has been made to a police officer and the Department; or whether the allegation or suspicion has not been reported to a police officer or the Department because</w:t>
      </w:r>
      <w:r w:rsidR="00373011" w:rsidRPr="00315F60">
        <w:t xml:space="preserve"> the exemption under </w:t>
      </w:r>
      <w:r w:rsidRPr="00315F60">
        <w:t>subsection 63-1AA(3) of the Act applies.</w:t>
      </w:r>
      <w:r w:rsidR="007F13A4" w:rsidRPr="00315F60">
        <w:rPr>
          <w:vertAlign w:val="superscript"/>
        </w:rPr>
        <w:footnoteReference w:id="17"/>
      </w:r>
    </w:p>
    <w:p w:rsidR="00BC6CE1" w:rsidRPr="00315F60" w:rsidRDefault="00BC6CE1" w:rsidP="001F0CB3">
      <w:pPr>
        <w:pStyle w:val="BodyText"/>
        <w:rPr>
          <w:szCs w:val="20"/>
          <w:u w:val="single"/>
        </w:rPr>
      </w:pPr>
      <w:r w:rsidRPr="00315F60">
        <w:rPr>
          <w:szCs w:val="20"/>
        </w:rPr>
        <w:t xml:space="preserve">This study collected information about these incidents – i.e. </w:t>
      </w:r>
      <w:r w:rsidR="004C4435" w:rsidRPr="00315F60">
        <w:rPr>
          <w:szCs w:val="20"/>
        </w:rPr>
        <w:t>resident on resident</w:t>
      </w:r>
      <w:r w:rsidRPr="00315F60">
        <w:rPr>
          <w:szCs w:val="20"/>
        </w:rPr>
        <w:t xml:space="preserve"> incidents that meet the definition of a </w:t>
      </w:r>
      <w:r w:rsidRPr="00315F60">
        <w:rPr>
          <w:szCs w:val="20"/>
          <w:u w:val="single"/>
        </w:rPr>
        <w:t>reportable assault and are recorded, but not reported.</w:t>
      </w:r>
    </w:p>
    <w:p w:rsidR="00BC6CE1" w:rsidRPr="00315F60" w:rsidRDefault="00BC6CE1" w:rsidP="0093030E">
      <w:pPr>
        <w:pStyle w:val="Heading6"/>
      </w:pPr>
      <w:r w:rsidRPr="00315F60">
        <w:t>Type 2 incidents: Other resident</w:t>
      </w:r>
      <w:r w:rsidR="00DC44EE" w:rsidRPr="00315F60">
        <w:t xml:space="preserve"> </w:t>
      </w:r>
      <w:r w:rsidRPr="00315F60">
        <w:t>on</w:t>
      </w:r>
      <w:r w:rsidR="00DC44EE" w:rsidRPr="00315F60">
        <w:t xml:space="preserve"> </w:t>
      </w:r>
      <w:r w:rsidRPr="00315F60">
        <w:t>resident incidents which do not meet the definition of a reportable assault but are recorded by the approved provider</w:t>
      </w:r>
    </w:p>
    <w:p w:rsidR="00BC6CE1" w:rsidRPr="00315F60" w:rsidRDefault="00BC6CE1" w:rsidP="00BC6CE1">
      <w:pPr>
        <w:pStyle w:val="BodyText"/>
      </w:pPr>
      <w:r w:rsidRPr="00315F60">
        <w:t xml:space="preserve">In addition to the incidents that meet the Act’s definition of a reportable assault, other incidents that do not meet the definition of a reportable assault may occur in residential aged care, such as but not limited to emotional or psychological abuse. These incidents may be recorded by an aged care service in a central place, such as a risk register or incident log. The study collected data on these incidents. </w:t>
      </w:r>
    </w:p>
    <w:p w:rsidR="00BC6CE1" w:rsidRPr="00315F60" w:rsidRDefault="00BC6CE1" w:rsidP="002F54AD">
      <w:pPr>
        <w:pStyle w:val="Heading4"/>
        <w:rPr>
          <w:color w:val="auto"/>
          <w:szCs w:val="24"/>
        </w:rPr>
      </w:pPr>
      <w:r w:rsidRPr="00315F60">
        <w:rPr>
          <w:color w:val="auto"/>
        </w:rPr>
        <w:t xml:space="preserve">Data collection period </w:t>
      </w:r>
    </w:p>
    <w:p w:rsidR="00BC6CE1" w:rsidRPr="00315F60" w:rsidRDefault="00BC6CE1" w:rsidP="00BC6CE1">
      <w:pPr>
        <w:jc w:val="both"/>
        <w:rPr>
          <w:bCs/>
          <w:szCs w:val="20"/>
        </w:rPr>
      </w:pPr>
      <w:r w:rsidRPr="00315F60">
        <w:t xml:space="preserve">The data collection period chosen was a six month period of 1 February 2019 to 31 July 2019. </w:t>
      </w:r>
      <w:r w:rsidRPr="00315F60">
        <w:rPr>
          <w:bCs/>
          <w:szCs w:val="20"/>
        </w:rPr>
        <w:t>The design of the data collection period and data fields was guided by a number of principles:</w:t>
      </w:r>
    </w:p>
    <w:p w:rsidR="00BC6CE1" w:rsidRPr="00315F60" w:rsidRDefault="00BC6CE1" w:rsidP="007F13A4">
      <w:pPr>
        <w:pStyle w:val="Bullet1stlevel"/>
      </w:pPr>
      <w:r w:rsidRPr="00315F60">
        <w:t>The national prevalence of incidents can be estimated using the data collected</w:t>
      </w:r>
    </w:p>
    <w:p w:rsidR="00BC6CE1" w:rsidRPr="00315F60" w:rsidRDefault="00BC6CE1" w:rsidP="007F13A4">
      <w:pPr>
        <w:pStyle w:val="Bullet1stlevel"/>
      </w:pPr>
      <w:r w:rsidRPr="00315F60">
        <w:t>Only information that aligns to the purpose of the project is collected</w:t>
      </w:r>
    </w:p>
    <w:p w:rsidR="00BC6CE1" w:rsidRPr="00315F60" w:rsidRDefault="00BC6CE1" w:rsidP="007F13A4">
      <w:pPr>
        <w:pStyle w:val="Bullet1stlevel"/>
      </w:pPr>
      <w:r w:rsidRPr="00315F60">
        <w:t>The burden on aged care providers (and their services) is limited</w:t>
      </w:r>
    </w:p>
    <w:p w:rsidR="00BC6CE1" w:rsidRPr="00315F60" w:rsidRDefault="00BC6CE1" w:rsidP="007F13A4">
      <w:pPr>
        <w:pStyle w:val="Bullet1stlevel"/>
      </w:pPr>
      <w:r w:rsidRPr="00315F60">
        <w:t>Providers are able to make an accurate assessment of the impact of an incident.</w:t>
      </w:r>
    </w:p>
    <w:p w:rsidR="00BC6CE1" w:rsidRPr="00315F60" w:rsidRDefault="00BC6CE1" w:rsidP="002F54AD">
      <w:pPr>
        <w:pStyle w:val="Heading4"/>
        <w:rPr>
          <w:color w:val="auto"/>
        </w:rPr>
      </w:pPr>
      <w:r w:rsidRPr="00315F60">
        <w:rPr>
          <w:color w:val="auto"/>
        </w:rPr>
        <w:t>Data fields</w:t>
      </w:r>
    </w:p>
    <w:p w:rsidR="00BC6CE1" w:rsidRPr="00315F60" w:rsidRDefault="00BC6CE1" w:rsidP="00BC6CE1">
      <w:pPr>
        <w:pStyle w:val="BodyText"/>
      </w:pPr>
      <w:r w:rsidRPr="00315F60">
        <w:t xml:space="preserve">The amount of detail collected about each incident differed depending on the incident type. </w:t>
      </w:r>
    </w:p>
    <w:p w:rsidR="00BC6CE1" w:rsidRPr="00315F60" w:rsidRDefault="00BC6CE1" w:rsidP="00BC6CE1">
      <w:pPr>
        <w:jc w:val="both"/>
        <w:rPr>
          <w:bCs/>
          <w:szCs w:val="20"/>
        </w:rPr>
      </w:pPr>
      <w:r w:rsidRPr="00315F60">
        <w:rPr>
          <w:b/>
          <w:bCs/>
          <w:szCs w:val="20"/>
        </w:rPr>
        <w:t>For Type 1 incidents</w:t>
      </w:r>
      <w:r w:rsidRPr="00315F60">
        <w:rPr>
          <w:bCs/>
          <w:szCs w:val="20"/>
        </w:rPr>
        <w:t>, providers are currently required to record information about incidents. The study collected information about the total number of these incidents that occurred at a service during the data collection period, as well as specific information about each incident that is already recorded by aged care services. This included:</w:t>
      </w:r>
    </w:p>
    <w:p w:rsidR="00BC6CE1" w:rsidRPr="00315F60" w:rsidRDefault="00BC6CE1" w:rsidP="007F13A4">
      <w:pPr>
        <w:pStyle w:val="Bullet1stlevel"/>
      </w:pPr>
      <w:r w:rsidRPr="00315F60">
        <w:t>The date a service first became aware or started to suspect that the reportable assault had occurred</w:t>
      </w:r>
    </w:p>
    <w:p w:rsidR="00BC6CE1" w:rsidRPr="00315F60" w:rsidRDefault="00BC6CE1" w:rsidP="007F13A4">
      <w:pPr>
        <w:pStyle w:val="Bullet1stlevel"/>
      </w:pPr>
      <w:r w:rsidRPr="00315F60">
        <w:t>The type of reportable assault that occurred (i.e. unlawful sexual contact or unreasonable use of force)</w:t>
      </w:r>
    </w:p>
    <w:p w:rsidR="00BC6CE1" w:rsidRPr="00315F60" w:rsidRDefault="00BC6CE1" w:rsidP="007F13A4">
      <w:pPr>
        <w:pStyle w:val="Bullet1stlevel"/>
      </w:pPr>
      <w:r w:rsidRPr="00315F60">
        <w:t xml:space="preserve">The behaviours that were displayed by the resident </w:t>
      </w:r>
      <w:r w:rsidR="004452DC" w:rsidRPr="00315F60">
        <w:t xml:space="preserve">who </w:t>
      </w:r>
      <w:r w:rsidRPr="00315F60">
        <w:t>was the alleged perpetrator</w:t>
      </w:r>
    </w:p>
    <w:p w:rsidR="00BC6CE1" w:rsidRPr="00315F60" w:rsidRDefault="00BC6CE1" w:rsidP="007F13A4">
      <w:pPr>
        <w:pStyle w:val="Bullet1stlevel"/>
      </w:pPr>
      <w:r w:rsidRPr="00315F60">
        <w:t xml:space="preserve">The impact of the incident on the resident </w:t>
      </w:r>
      <w:r w:rsidR="004452DC" w:rsidRPr="00315F60">
        <w:t xml:space="preserve">who </w:t>
      </w:r>
      <w:r w:rsidRPr="00315F60">
        <w:t>was the victim</w:t>
      </w:r>
    </w:p>
    <w:p w:rsidR="00BC6CE1" w:rsidRPr="00315F60" w:rsidRDefault="00BC6CE1" w:rsidP="007F13A4">
      <w:pPr>
        <w:pStyle w:val="Bullet1stlevel"/>
      </w:pPr>
      <w:r w:rsidRPr="00315F60">
        <w:t>Actions taken by a service in response to the incident.</w:t>
      </w:r>
    </w:p>
    <w:p w:rsidR="00BC6CE1" w:rsidRPr="00315F60" w:rsidRDefault="00BC6CE1" w:rsidP="004452DC">
      <w:pPr>
        <w:pStyle w:val="BodyText"/>
      </w:pPr>
      <w:r w:rsidRPr="00315F60">
        <w:rPr>
          <w:b/>
        </w:rPr>
        <w:t>For Type 2 incidents</w:t>
      </w:r>
      <w:r w:rsidRPr="00315F60">
        <w:t>, aged care services are not currently required to record information on these incidents in a specific location or in a particular way. Therefore for the purpose of this study, only the quantum of incidents that occurred during the data collection period was captured.</w:t>
      </w:r>
    </w:p>
    <w:p w:rsidR="00BC6CE1" w:rsidRPr="00315F60" w:rsidRDefault="00BC6CE1" w:rsidP="00BC6CE1">
      <w:pPr>
        <w:jc w:val="both"/>
        <w:rPr>
          <w:bCs/>
          <w:szCs w:val="20"/>
        </w:rPr>
      </w:pPr>
      <w:r w:rsidRPr="00315F60">
        <w:rPr>
          <w:bCs/>
          <w:szCs w:val="20"/>
        </w:rPr>
        <w:t xml:space="preserve">The specific questions and data fields captured are provided in </w:t>
      </w:r>
      <w:r w:rsidR="00433FBB" w:rsidRPr="00315F60">
        <w:rPr>
          <w:bCs/>
          <w:szCs w:val="20"/>
        </w:rPr>
        <w:fldChar w:fldCharType="begin"/>
      </w:r>
      <w:r w:rsidR="00433FBB" w:rsidRPr="00315F60">
        <w:rPr>
          <w:bCs/>
          <w:szCs w:val="20"/>
        </w:rPr>
        <w:instrText xml:space="preserve"> REF _Ref25417800 \w \h </w:instrText>
      </w:r>
      <w:r w:rsidR="00433FBB" w:rsidRPr="00315F60">
        <w:rPr>
          <w:bCs/>
          <w:szCs w:val="20"/>
        </w:rPr>
      </w:r>
      <w:r w:rsidR="00433FBB" w:rsidRPr="00315F60">
        <w:rPr>
          <w:bCs/>
          <w:szCs w:val="20"/>
        </w:rPr>
        <w:fldChar w:fldCharType="separate"/>
      </w:r>
      <w:r w:rsidR="004355CA" w:rsidRPr="00315F60">
        <w:rPr>
          <w:bCs/>
          <w:szCs w:val="20"/>
        </w:rPr>
        <w:t>Appendix A</w:t>
      </w:r>
      <w:r w:rsidR="00433FBB" w:rsidRPr="00315F60">
        <w:rPr>
          <w:bCs/>
          <w:szCs w:val="20"/>
        </w:rPr>
        <w:fldChar w:fldCharType="end"/>
      </w:r>
      <w:r w:rsidRPr="00315F60">
        <w:rPr>
          <w:bCs/>
          <w:szCs w:val="20"/>
        </w:rPr>
        <w:t xml:space="preserve"> of this report.</w:t>
      </w:r>
    </w:p>
    <w:p w:rsidR="00BC6CE1" w:rsidRPr="00315F60" w:rsidRDefault="00BC6CE1" w:rsidP="00BC6CE1">
      <w:pPr>
        <w:pStyle w:val="Heading3"/>
        <w:rPr>
          <w:color w:val="auto"/>
        </w:rPr>
      </w:pPr>
      <w:bookmarkStart w:id="63" w:name="_Ref25426186"/>
      <w:r w:rsidRPr="00315F60">
        <w:rPr>
          <w:color w:val="auto"/>
        </w:rPr>
        <w:lastRenderedPageBreak/>
        <w:t xml:space="preserve">Recruitment of </w:t>
      </w:r>
      <w:r w:rsidR="00AD452E" w:rsidRPr="00315F60">
        <w:rPr>
          <w:color w:val="auto"/>
        </w:rPr>
        <w:t xml:space="preserve">residential </w:t>
      </w:r>
      <w:r w:rsidRPr="00315F60">
        <w:rPr>
          <w:color w:val="auto"/>
        </w:rPr>
        <w:t>aged care services</w:t>
      </w:r>
      <w:bookmarkEnd w:id="63"/>
      <w:r w:rsidRPr="00315F60">
        <w:rPr>
          <w:color w:val="auto"/>
        </w:rPr>
        <w:t xml:space="preserve"> </w:t>
      </w:r>
    </w:p>
    <w:p w:rsidR="00BC6CE1" w:rsidRPr="00315F60" w:rsidRDefault="00BC6CE1" w:rsidP="00BC6CE1">
      <w:pPr>
        <w:jc w:val="both"/>
      </w:pPr>
      <w:r w:rsidRPr="00315F60">
        <w:t xml:space="preserve">Participation in the study was voluntary. Recruitment of </w:t>
      </w:r>
      <w:r w:rsidR="00AD452E" w:rsidRPr="00315F60">
        <w:t xml:space="preserve">residential </w:t>
      </w:r>
      <w:r w:rsidRPr="00315F60">
        <w:t xml:space="preserve">aged care services for the study was undertaken over approximately </w:t>
      </w:r>
      <w:r w:rsidR="005E5E1D" w:rsidRPr="00315F60">
        <w:t xml:space="preserve">four </w:t>
      </w:r>
      <w:r w:rsidRPr="00315F60">
        <w:t>weeks, beginning 21 August 2019 and closing 13 October 2019. The recruitment process included the following activities:</w:t>
      </w:r>
    </w:p>
    <w:p w:rsidR="00BC6CE1" w:rsidRPr="00315F60" w:rsidRDefault="00BC6CE1" w:rsidP="007F13A4">
      <w:pPr>
        <w:pStyle w:val="Bullet1stlevel"/>
      </w:pPr>
      <w:r w:rsidRPr="00315F60">
        <w:t xml:space="preserve">An invitation was sent to all aged care services listed on the </w:t>
      </w:r>
      <w:r w:rsidR="00516F23" w:rsidRPr="00315F60">
        <w:t>AACS List</w:t>
      </w:r>
      <w:r w:rsidRPr="00315F60">
        <w:t xml:space="preserve">, </w:t>
      </w:r>
      <w:r w:rsidR="004452DC" w:rsidRPr="00315F60">
        <w:t xml:space="preserve">dated </w:t>
      </w:r>
      <w:r w:rsidRPr="00315F60">
        <w:t>30</w:t>
      </w:r>
      <w:r w:rsidR="002F3FBE" w:rsidRPr="00315F60">
        <w:t> </w:t>
      </w:r>
      <w:r w:rsidRPr="00315F60">
        <w:t>June 2019, to participate in the study</w:t>
      </w:r>
    </w:p>
    <w:p w:rsidR="002F3FBE" w:rsidRPr="00315F60" w:rsidRDefault="002F3FBE" w:rsidP="007F13A4">
      <w:pPr>
        <w:pStyle w:val="Bullet1stlevel"/>
      </w:pPr>
      <w:r w:rsidRPr="00315F60">
        <w:t>An announcement was made about the prevalence study via the Department’s Bulk Information Distribution service to aged care providers</w:t>
      </w:r>
    </w:p>
    <w:p w:rsidR="002F3FBE" w:rsidRPr="00315F60" w:rsidRDefault="002F3FBE" w:rsidP="007F13A4">
      <w:pPr>
        <w:pStyle w:val="Bullet1stlevel"/>
      </w:pPr>
      <w:r w:rsidRPr="00315F60">
        <w:t>An invitation was sent to members of the Aged Care Sector Committee asking them to promote the study within their networks.</w:t>
      </w:r>
    </w:p>
    <w:p w:rsidR="00BC6CE1" w:rsidRPr="00315F60" w:rsidRDefault="00BC6CE1" w:rsidP="004452DC">
      <w:pPr>
        <w:pStyle w:val="BodyText"/>
      </w:pPr>
      <w:r w:rsidRPr="00315F60">
        <w:t>If services wished to participate, they registered their interest using a lin</w:t>
      </w:r>
      <w:r w:rsidR="0011136A" w:rsidRPr="00315F60">
        <w:t>k provided in the invitation. A </w:t>
      </w:r>
      <w:r w:rsidRPr="00315F60">
        <w:t>total of 175 aged care services registered to participate in the study.</w:t>
      </w:r>
    </w:p>
    <w:p w:rsidR="00BC6CE1" w:rsidRPr="00315F60" w:rsidRDefault="00324DE2" w:rsidP="004452DC">
      <w:pPr>
        <w:pStyle w:val="BodyTextkeepwithnext"/>
      </w:pPr>
      <w:r w:rsidRPr="00315F60">
        <w:t>A</w:t>
      </w:r>
      <w:r w:rsidR="00BC6CE1" w:rsidRPr="00315F60">
        <w:t xml:space="preserve"> number of challenges were experienced with recruitment. </w:t>
      </w:r>
      <w:r w:rsidR="00250AE6" w:rsidRPr="00315F60">
        <w:t>These included:</w:t>
      </w:r>
    </w:p>
    <w:p w:rsidR="00250AE6" w:rsidRPr="00315F60" w:rsidRDefault="00250AE6" w:rsidP="007F13A4">
      <w:pPr>
        <w:pStyle w:val="Bullet1stlevel"/>
      </w:pPr>
      <w:r w:rsidRPr="00315F60">
        <w:t xml:space="preserve">The recruitment process was required to be completed within a short period of time (two weeks). The </w:t>
      </w:r>
      <w:r w:rsidR="005006BD" w:rsidRPr="00315F60">
        <w:t xml:space="preserve">KPMG </w:t>
      </w:r>
      <w:r w:rsidRPr="00315F60">
        <w:t>project team promoted the study through a range of communication channels to increase participation in the study. However</w:t>
      </w:r>
      <w:r w:rsidR="004452DC" w:rsidRPr="00315F60">
        <w:t>,</w:t>
      </w:r>
      <w:r w:rsidRPr="00315F60">
        <w:t xml:space="preserve"> the time available to complete the study was limited. This may have impacted the number of services that were able to participate in the study.</w:t>
      </w:r>
    </w:p>
    <w:p w:rsidR="00250AE6" w:rsidRPr="00315F60" w:rsidRDefault="00250AE6" w:rsidP="007F13A4">
      <w:pPr>
        <w:pStyle w:val="Bullet1stlevel"/>
      </w:pPr>
      <w:r w:rsidRPr="00315F60">
        <w:t>The contact details used to invite aged care services to participate were gathered from the AACS</w:t>
      </w:r>
      <w:r w:rsidR="00516F23" w:rsidRPr="00315F60">
        <w:t> </w:t>
      </w:r>
      <w:r w:rsidRPr="00315F60">
        <w:t xml:space="preserve">List, </w:t>
      </w:r>
      <w:r w:rsidR="004452DC" w:rsidRPr="00315F60">
        <w:t xml:space="preserve">dated </w:t>
      </w:r>
      <w:r w:rsidRPr="00315F60">
        <w:t>30 June 2019</w:t>
      </w:r>
      <w:r w:rsidR="001952BF" w:rsidRPr="00315F60">
        <w:t xml:space="preserve">. </w:t>
      </w:r>
      <w:r w:rsidRPr="00315F60">
        <w:t>However</w:t>
      </w:r>
      <w:r w:rsidR="004452DC" w:rsidRPr="00315F60">
        <w:t>,</w:t>
      </w:r>
      <w:r w:rsidRPr="00315F60">
        <w:t xml:space="preserve"> not all contact details in this document were directed to the most appropriate contact for this study. </w:t>
      </w:r>
    </w:p>
    <w:p w:rsidR="00250AE6" w:rsidRPr="00315F60" w:rsidRDefault="00250AE6" w:rsidP="007F13A4">
      <w:pPr>
        <w:pStyle w:val="Bullet1stlevel"/>
      </w:pPr>
      <w:r w:rsidRPr="00315F60">
        <w:t xml:space="preserve">The study </w:t>
      </w:r>
      <w:r w:rsidR="004452DC" w:rsidRPr="00315F60">
        <w:t>ran</w:t>
      </w:r>
      <w:r w:rsidRPr="00315F60">
        <w:t xml:space="preserve"> concurrently with a range of changes occurring in the sector, including the Royal Commission into Aged Care Quality and Safety and the commencement of the Aged Care Quality Standards. A number of aged care services advised that they were unable to participate in the study due to resourcing constraints associated with these changes.</w:t>
      </w:r>
    </w:p>
    <w:p w:rsidR="00250AE6" w:rsidRPr="00315F60" w:rsidRDefault="00250AE6" w:rsidP="007F13A4">
      <w:pPr>
        <w:pStyle w:val="Bullet1stlevel"/>
      </w:pPr>
      <w:r w:rsidRPr="00315F60">
        <w:t xml:space="preserve">The study sought to attract participation from a sample of services that would be representative of the population of residential aged care services nationally. However, the study was undertaken on a voluntary basis. Not all services agreed to participate. As with any sample, the aged care services that registered to participate through the general recruitment process did not necessarily reflect the characteristics of aged care services nationally. </w:t>
      </w:r>
    </w:p>
    <w:p w:rsidR="00250AE6" w:rsidRPr="00315F60" w:rsidRDefault="00250AE6" w:rsidP="007F13A4">
      <w:pPr>
        <w:pStyle w:val="Bullet1stlevel"/>
      </w:pPr>
      <w:r w:rsidRPr="00315F60">
        <w:t xml:space="preserve">There is potential for aggregate results to be influenced by services with a larger number of incidents. These services may not be representative of services that did not participate. </w:t>
      </w:r>
    </w:p>
    <w:p w:rsidR="00BC6CE1" w:rsidRPr="00315F60" w:rsidRDefault="00BC6CE1" w:rsidP="00BC6CE1">
      <w:pPr>
        <w:pStyle w:val="Heading3"/>
        <w:rPr>
          <w:color w:val="auto"/>
        </w:rPr>
      </w:pPr>
      <w:bookmarkStart w:id="64" w:name="_Toc23363882"/>
      <w:bookmarkStart w:id="65" w:name="_Ref21946240"/>
      <w:bookmarkStart w:id="66" w:name="_Toc23098131"/>
      <w:bookmarkEnd w:id="64"/>
      <w:r w:rsidRPr="00315F60">
        <w:rPr>
          <w:color w:val="auto"/>
        </w:rPr>
        <w:t>Development of the data submission tool</w:t>
      </w:r>
      <w:bookmarkEnd w:id="65"/>
      <w:bookmarkEnd w:id="66"/>
      <w:r w:rsidRPr="00315F60">
        <w:rPr>
          <w:color w:val="auto"/>
        </w:rPr>
        <w:t xml:space="preserve"> </w:t>
      </w:r>
    </w:p>
    <w:p w:rsidR="00250AE6" w:rsidRPr="00315F60" w:rsidRDefault="00BC6CE1" w:rsidP="00BC6CE1">
      <w:pPr>
        <w:pStyle w:val="BodyText"/>
      </w:pPr>
      <w:r w:rsidRPr="00315F60">
        <w:t xml:space="preserve">An online data submission tool was developed to provide a mechanism through which providers could submit data. </w:t>
      </w:r>
      <w:r w:rsidR="00250AE6" w:rsidRPr="00315F60">
        <w:t>The data fields collected were designed in consultation with the Department. The data fields collected for each type of incident were:</w:t>
      </w:r>
    </w:p>
    <w:p w:rsidR="00250AE6" w:rsidRPr="00315F60" w:rsidRDefault="00250AE6" w:rsidP="007F13A4">
      <w:pPr>
        <w:pStyle w:val="Bullet1stlevel"/>
      </w:pPr>
      <w:r w:rsidRPr="00315F60">
        <w:t>For Type 1 incidents:</w:t>
      </w:r>
    </w:p>
    <w:p w:rsidR="00250AE6" w:rsidRPr="00315F60" w:rsidRDefault="00250AE6" w:rsidP="00EF6B6C">
      <w:pPr>
        <w:pStyle w:val="ListBullet2"/>
        <w:tabs>
          <w:tab w:val="clear" w:pos="697"/>
          <w:tab w:val="left" w:pos="714"/>
        </w:tabs>
        <w:ind w:left="714" w:hanging="357"/>
      </w:pPr>
      <w:r w:rsidRPr="00315F60">
        <w:t>The total number of Type 1 incidents during the data collection period</w:t>
      </w:r>
    </w:p>
    <w:p w:rsidR="00250AE6" w:rsidRPr="00315F60" w:rsidRDefault="00250AE6" w:rsidP="00EF6B6C">
      <w:pPr>
        <w:pStyle w:val="ListBullet2"/>
      </w:pPr>
      <w:r w:rsidRPr="00315F60">
        <w:t>Whether or not any of the incidents involved the same resident</w:t>
      </w:r>
    </w:p>
    <w:p w:rsidR="00250AE6" w:rsidRPr="00315F60" w:rsidRDefault="00250AE6" w:rsidP="00EF6B6C">
      <w:pPr>
        <w:pStyle w:val="ListBullet2"/>
      </w:pPr>
      <w:r w:rsidRPr="00315F60">
        <w:t>For each incident, the date when the service first became aware or started to suspect that the reportable assault had occurred</w:t>
      </w:r>
    </w:p>
    <w:p w:rsidR="00250AE6" w:rsidRPr="00315F60" w:rsidRDefault="00250AE6" w:rsidP="00EF6B6C">
      <w:pPr>
        <w:pStyle w:val="ListBullet2"/>
      </w:pPr>
      <w:r w:rsidRPr="00315F60">
        <w:t>For each incident, the type of reportable assault that occurred (i.e. unlawful sexual contact or unreasonable use of force)</w:t>
      </w:r>
    </w:p>
    <w:p w:rsidR="00250AE6" w:rsidRPr="00315F60" w:rsidRDefault="00250AE6" w:rsidP="00EF6B6C">
      <w:pPr>
        <w:pStyle w:val="ListBullet2"/>
      </w:pPr>
      <w:r w:rsidRPr="00315F60">
        <w:t>For each incident, the behaviours that were displayed by the resident that was the alleged perpetrator</w:t>
      </w:r>
    </w:p>
    <w:p w:rsidR="00250AE6" w:rsidRPr="00315F60" w:rsidRDefault="00250AE6" w:rsidP="00EF6B6C">
      <w:pPr>
        <w:pStyle w:val="ListBullet2"/>
      </w:pPr>
      <w:r w:rsidRPr="00315F60">
        <w:t>For each incident, the impact of the incident on the resident who was the victim</w:t>
      </w:r>
    </w:p>
    <w:p w:rsidR="00250AE6" w:rsidRPr="00315F60" w:rsidRDefault="00250AE6" w:rsidP="00EF6B6C">
      <w:pPr>
        <w:pStyle w:val="ListBullet2"/>
      </w:pPr>
      <w:r w:rsidRPr="00315F60">
        <w:t>For each incident, actions taken by the service in response.</w:t>
      </w:r>
    </w:p>
    <w:p w:rsidR="00250AE6" w:rsidRPr="00315F60" w:rsidRDefault="00250AE6" w:rsidP="007F13A4">
      <w:pPr>
        <w:pStyle w:val="Bullet1stlevel"/>
      </w:pPr>
      <w:r w:rsidRPr="00315F60">
        <w:lastRenderedPageBreak/>
        <w:t>For Type 2 incidents:</w:t>
      </w:r>
    </w:p>
    <w:p w:rsidR="00250AE6" w:rsidRPr="00315F60" w:rsidRDefault="00250AE6" w:rsidP="00506A16">
      <w:pPr>
        <w:pStyle w:val="Bullet2ndlevel"/>
        <w:rPr>
          <w:szCs w:val="20"/>
        </w:rPr>
      </w:pPr>
      <w:r w:rsidRPr="00315F60">
        <w:t>The number of incidents that occurred during the data collect</w:t>
      </w:r>
      <w:r w:rsidRPr="00315F60">
        <w:rPr>
          <w:szCs w:val="20"/>
        </w:rPr>
        <w:t>ion period</w:t>
      </w:r>
      <w:r w:rsidR="00BF4B1D" w:rsidRPr="00315F60">
        <w:rPr>
          <w:szCs w:val="20"/>
        </w:rPr>
        <w:t>.</w:t>
      </w:r>
      <w:r w:rsidR="002E3F3D" w:rsidRPr="00315F60">
        <w:rPr>
          <w:rStyle w:val="FootnoteReference"/>
          <w:sz w:val="20"/>
          <w:szCs w:val="20"/>
        </w:rPr>
        <w:footnoteReference w:id="18"/>
      </w:r>
    </w:p>
    <w:p w:rsidR="00BC6CE1" w:rsidRPr="00315F60" w:rsidRDefault="009C4EC3" w:rsidP="00BC6CE1">
      <w:pPr>
        <w:pStyle w:val="BodyText"/>
      </w:pPr>
      <w:r w:rsidRPr="00315F60">
        <w:rPr>
          <w:szCs w:val="20"/>
        </w:rPr>
        <w:t>T</w:t>
      </w:r>
      <w:r w:rsidR="00BC6CE1" w:rsidRPr="00315F60">
        <w:rPr>
          <w:szCs w:val="20"/>
        </w:rPr>
        <w:t>he Resource Manual developed for aged care se</w:t>
      </w:r>
      <w:r w:rsidR="00BC6CE1" w:rsidRPr="00315F60">
        <w:t xml:space="preserve">rvices </w:t>
      </w:r>
      <w:r w:rsidR="0011136A" w:rsidRPr="00315F60">
        <w:t xml:space="preserve">during the project </w:t>
      </w:r>
      <w:r w:rsidRPr="00315F60">
        <w:t xml:space="preserve">can be </w:t>
      </w:r>
      <w:r w:rsidR="004452DC" w:rsidRPr="00315F60">
        <w:t>found</w:t>
      </w:r>
      <w:r w:rsidRPr="00315F60">
        <w:t xml:space="preserve"> at</w:t>
      </w:r>
      <w:r w:rsidR="004452DC" w:rsidRPr="00315F60">
        <w:t xml:space="preserve"> </w:t>
      </w:r>
      <w:r w:rsidR="00433FBB" w:rsidRPr="00315F60">
        <w:fldChar w:fldCharType="begin"/>
      </w:r>
      <w:r w:rsidR="00433FBB" w:rsidRPr="00315F60">
        <w:instrText xml:space="preserve"> REF _Ref25417807 \w \h </w:instrText>
      </w:r>
      <w:r w:rsidR="00433FBB" w:rsidRPr="00315F60">
        <w:fldChar w:fldCharType="separate"/>
      </w:r>
      <w:r w:rsidR="004355CA" w:rsidRPr="00315F60">
        <w:t>Appendix B</w:t>
      </w:r>
      <w:r w:rsidR="00433FBB" w:rsidRPr="00315F60">
        <w:fldChar w:fldCharType="end"/>
      </w:r>
      <w:r w:rsidR="00BC6CE1" w:rsidRPr="00315F60">
        <w:t xml:space="preserve"> of this report.</w:t>
      </w:r>
      <w:r w:rsidR="00BC6CE1" w:rsidRPr="00315F60">
        <w:rPr>
          <w:i/>
        </w:rPr>
        <w:t xml:space="preserve"> </w:t>
      </w:r>
      <w:r w:rsidR="00BC6CE1" w:rsidRPr="00315F60">
        <w:t xml:space="preserve">The data submission tool was accessible by any desktop, laptop or mobile phone with an internet connection. </w:t>
      </w:r>
    </w:p>
    <w:p w:rsidR="00BC6CE1" w:rsidRPr="00315F60" w:rsidRDefault="00EF6B6C" w:rsidP="002F54AD">
      <w:pPr>
        <w:pStyle w:val="Heading4"/>
        <w:rPr>
          <w:color w:val="auto"/>
        </w:rPr>
      </w:pPr>
      <w:r w:rsidRPr="00315F60">
        <w:rPr>
          <w:color w:val="auto"/>
        </w:rPr>
        <w:t xml:space="preserve">Field validation </w:t>
      </w:r>
    </w:p>
    <w:p w:rsidR="00BC6CE1" w:rsidRPr="00315F60" w:rsidRDefault="00BC6CE1" w:rsidP="00EF6B6C">
      <w:pPr>
        <w:pStyle w:val="BodyText"/>
        <w:rPr>
          <w:noProof/>
          <w:lang w:eastAsia="en-AU"/>
        </w:rPr>
      </w:pPr>
      <w:r w:rsidRPr="00315F60">
        <w:rPr>
          <w:noProof/>
          <w:lang w:eastAsia="en-AU"/>
        </w:rPr>
        <w:t>The data submission tool was built using a series of field validations. Field validations can be used to ensure answers are given in a particular format or within a logical range, or to prevent respondents from progressing to the next page of questions until all or particular questions on the preceding page have been answered. This serves to encourage response completeness and to ensure the correct type of information is given. An overview of the field validations used in the data submissio</w:t>
      </w:r>
      <w:r w:rsidR="0011136A" w:rsidRPr="00315F60">
        <w:rPr>
          <w:noProof/>
          <w:lang w:eastAsia="en-AU"/>
        </w:rPr>
        <w:t xml:space="preserve">n tool is provided in </w:t>
      </w:r>
      <w:r w:rsidR="00433FBB" w:rsidRPr="00315F60">
        <w:rPr>
          <w:noProof/>
          <w:lang w:eastAsia="en-AU"/>
        </w:rPr>
        <w:fldChar w:fldCharType="begin"/>
      </w:r>
      <w:r w:rsidR="00433FBB" w:rsidRPr="00315F60">
        <w:rPr>
          <w:noProof/>
          <w:lang w:eastAsia="en-AU"/>
        </w:rPr>
        <w:instrText xml:space="preserve"> REF _Ref25417817 \w \h </w:instrText>
      </w:r>
      <w:r w:rsidR="00433FBB" w:rsidRPr="00315F60">
        <w:rPr>
          <w:noProof/>
          <w:lang w:eastAsia="en-AU"/>
        </w:rPr>
      </w:r>
      <w:r w:rsidR="00433FBB" w:rsidRPr="00315F60">
        <w:rPr>
          <w:noProof/>
          <w:lang w:eastAsia="en-AU"/>
        </w:rPr>
        <w:fldChar w:fldCharType="separate"/>
      </w:r>
      <w:r w:rsidR="004355CA" w:rsidRPr="00315F60">
        <w:rPr>
          <w:noProof/>
          <w:lang w:eastAsia="en-AU"/>
        </w:rPr>
        <w:t>Appendix C</w:t>
      </w:r>
      <w:r w:rsidR="00433FBB" w:rsidRPr="00315F60">
        <w:rPr>
          <w:noProof/>
          <w:lang w:eastAsia="en-AU"/>
        </w:rPr>
        <w:fldChar w:fldCharType="end"/>
      </w:r>
      <w:r w:rsidRPr="00315F60">
        <w:rPr>
          <w:noProof/>
          <w:lang w:eastAsia="en-AU"/>
        </w:rPr>
        <w:t xml:space="preserve"> of this report.</w:t>
      </w:r>
    </w:p>
    <w:p w:rsidR="00BC6CE1" w:rsidRPr="00315F60" w:rsidRDefault="00BC6CE1" w:rsidP="00BC6CE1">
      <w:pPr>
        <w:pStyle w:val="Heading3"/>
        <w:rPr>
          <w:color w:val="auto"/>
        </w:rPr>
      </w:pPr>
      <w:bookmarkStart w:id="67" w:name="_Toc23363884"/>
      <w:bookmarkStart w:id="68" w:name="_Toc23363885"/>
      <w:bookmarkStart w:id="69" w:name="_Toc23363886"/>
      <w:bookmarkStart w:id="70" w:name="_Toc23363887"/>
      <w:bookmarkStart w:id="71" w:name="_Toc23363888"/>
      <w:bookmarkStart w:id="72" w:name="_Toc23363889"/>
      <w:bookmarkStart w:id="73" w:name="_Toc23363890"/>
      <w:bookmarkStart w:id="74" w:name="_Toc23363891"/>
      <w:bookmarkStart w:id="75" w:name="_Toc23363892"/>
      <w:bookmarkStart w:id="76" w:name="_Toc23363893"/>
      <w:bookmarkStart w:id="77" w:name="_Toc23363894"/>
      <w:bookmarkStart w:id="78" w:name="_Toc23363895"/>
      <w:bookmarkStart w:id="79" w:name="_Toc23363896"/>
      <w:bookmarkStart w:id="80" w:name="_Toc23363897"/>
      <w:bookmarkStart w:id="81" w:name="_Toc23363898"/>
      <w:bookmarkStart w:id="82" w:name="_Toc2309813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315F60">
        <w:rPr>
          <w:color w:val="auto"/>
        </w:rPr>
        <w:t>Provision of guidance and resources to support aged care services to participate</w:t>
      </w:r>
      <w:bookmarkEnd w:id="82"/>
    </w:p>
    <w:p w:rsidR="00BC6CE1" w:rsidRPr="00315F60" w:rsidRDefault="00BC6CE1" w:rsidP="00EF6B6C">
      <w:pPr>
        <w:pStyle w:val="BodyTextkeepwithnext"/>
      </w:pPr>
      <w:r w:rsidRPr="00315F60">
        <w:t xml:space="preserve">Aged care services were supported to participate in the study through: </w:t>
      </w:r>
    </w:p>
    <w:p w:rsidR="00BC6CE1" w:rsidRPr="00315F60" w:rsidRDefault="00BC6CE1" w:rsidP="007F13A4">
      <w:pPr>
        <w:pStyle w:val="Bullet1stlevel"/>
      </w:pPr>
      <w:r w:rsidRPr="00315F60">
        <w:t>An online training webinar to prepare for the study</w:t>
      </w:r>
    </w:p>
    <w:p w:rsidR="00BC6CE1" w:rsidRPr="00315F60" w:rsidRDefault="00BC6CE1" w:rsidP="007F13A4">
      <w:pPr>
        <w:pStyle w:val="Bullet1stlevel"/>
      </w:pPr>
      <w:r w:rsidRPr="00315F60">
        <w:t>Written guidance materials, including a resourc</w:t>
      </w:r>
      <w:r w:rsidR="0011136A" w:rsidRPr="00315F60">
        <w:t xml:space="preserve">e manual (included at </w:t>
      </w:r>
      <w:r w:rsidR="00433FBB" w:rsidRPr="00315F60">
        <w:fldChar w:fldCharType="begin"/>
      </w:r>
      <w:r w:rsidR="00433FBB" w:rsidRPr="00315F60">
        <w:instrText xml:space="preserve"> REF _Ref25417837 \w \h </w:instrText>
      </w:r>
      <w:r w:rsidR="009C4EC3" w:rsidRPr="00315F60">
        <w:instrText xml:space="preserve"> \* MERGEFORMAT </w:instrText>
      </w:r>
      <w:r w:rsidR="00433FBB" w:rsidRPr="00315F60">
        <w:fldChar w:fldCharType="separate"/>
      </w:r>
      <w:r w:rsidR="004355CA" w:rsidRPr="00315F60">
        <w:t>Appendix B</w:t>
      </w:r>
      <w:r w:rsidR="00433FBB" w:rsidRPr="00315F60">
        <w:fldChar w:fldCharType="end"/>
      </w:r>
      <w:r w:rsidRPr="00315F60">
        <w:t>) and FAQs</w:t>
      </w:r>
    </w:p>
    <w:p w:rsidR="00BC6CE1" w:rsidRPr="00315F60" w:rsidRDefault="00BC6CE1" w:rsidP="007F13A4">
      <w:pPr>
        <w:pStyle w:val="Bullet1stlevel"/>
      </w:pPr>
      <w:r w:rsidRPr="00315F60">
        <w:t xml:space="preserve">A dedicated toll-free hotline and functional mailbox throughout the project period. </w:t>
      </w:r>
    </w:p>
    <w:p w:rsidR="000F2798" w:rsidRPr="00315F60" w:rsidRDefault="000F2798" w:rsidP="000F2798">
      <w:pPr>
        <w:pStyle w:val="Bullet1stlevel"/>
        <w:numPr>
          <w:ilvl w:val="0"/>
          <w:numId w:val="0"/>
        </w:numPr>
      </w:pPr>
      <w:r w:rsidRPr="00315F60">
        <w:t xml:space="preserve">Further detail regarding these activities is provided in </w:t>
      </w:r>
      <w:r w:rsidRPr="00315F60">
        <w:fldChar w:fldCharType="begin"/>
      </w:r>
      <w:r w:rsidRPr="00315F60">
        <w:instrText xml:space="preserve"> REF _Ref25417845 \w \h </w:instrText>
      </w:r>
      <w:r w:rsidRPr="00315F60">
        <w:fldChar w:fldCharType="separate"/>
      </w:r>
      <w:r w:rsidRPr="00315F60">
        <w:t>Appendix D</w:t>
      </w:r>
      <w:r w:rsidRPr="00315F60">
        <w:fldChar w:fldCharType="end"/>
      </w:r>
      <w:r w:rsidRPr="00315F60">
        <w:t>.</w:t>
      </w:r>
    </w:p>
    <w:tbl>
      <w:tblPr>
        <w:tblStyle w:val="TableGrid"/>
        <w:tblW w:w="0" w:type="auto"/>
        <w:shd w:val="clear" w:color="auto" w:fill="C4EBFF" w:themeFill="accent2" w:themeFillTint="33"/>
        <w:tblLook w:val="04A0" w:firstRow="1" w:lastRow="0" w:firstColumn="1" w:lastColumn="0" w:noHBand="0" w:noVBand="1"/>
        <w:tblDescription w:val="Call-out box with a summary of key findings. "/>
      </w:tblPr>
      <w:tblGrid>
        <w:gridCol w:w="9060"/>
      </w:tblGrid>
      <w:tr w:rsidR="00315F60" w:rsidRPr="00315F60" w:rsidTr="00506A16">
        <w:tc>
          <w:tcPr>
            <w:tcW w:w="9060" w:type="dxa"/>
            <w:shd w:val="clear" w:color="auto" w:fill="FFFFFF" w:themeFill="background1"/>
          </w:tcPr>
          <w:p w:rsidR="000F2798" w:rsidRPr="00315F60" w:rsidRDefault="000F2798" w:rsidP="00C7186C">
            <w:pPr>
              <w:pStyle w:val="BodyText"/>
              <w:rPr>
                <w:b/>
                <w:szCs w:val="20"/>
              </w:rPr>
            </w:pPr>
            <w:r w:rsidRPr="00315F60">
              <w:rPr>
                <w:b/>
                <w:szCs w:val="20"/>
              </w:rPr>
              <w:t xml:space="preserve">Summary of key findings </w:t>
            </w:r>
          </w:p>
          <w:p w:rsidR="000F2798" w:rsidRPr="00315F60" w:rsidRDefault="000F2798" w:rsidP="00C7186C">
            <w:pPr>
              <w:pStyle w:val="ListBullet"/>
              <w:ind w:left="340"/>
              <w:rPr>
                <w:rFonts w:eastAsia="SimSun" w:cs="Times New Roman"/>
                <w:szCs w:val="20"/>
              </w:rPr>
            </w:pPr>
            <w:r w:rsidRPr="00315F60">
              <w:rPr>
                <w:rFonts w:eastAsia="SimSun" w:cs="Times New Roman"/>
                <w:szCs w:val="20"/>
              </w:rPr>
              <w:t>The data collection approach, including scope and data collection period, was developed in consultation with the Department.</w:t>
            </w:r>
          </w:p>
          <w:p w:rsidR="000F2798" w:rsidRPr="00315F60" w:rsidRDefault="000F2798" w:rsidP="00C7186C">
            <w:pPr>
              <w:pStyle w:val="ListBullet"/>
              <w:ind w:left="340"/>
              <w:rPr>
                <w:rFonts w:eastAsia="SimSun" w:cs="Times New Roman"/>
                <w:szCs w:val="20"/>
              </w:rPr>
            </w:pPr>
            <w:r w:rsidRPr="00315F60">
              <w:rPr>
                <w:rFonts w:eastAsia="SimSun" w:cs="Times New Roman"/>
                <w:szCs w:val="20"/>
              </w:rPr>
              <w:t>The study collected information about incidents between residents that are not currently reported to the Department. Two types of incidents were captured:</w:t>
            </w:r>
          </w:p>
          <w:p w:rsidR="000F2798" w:rsidRPr="00315F60" w:rsidRDefault="000F2798" w:rsidP="00C7186C">
            <w:pPr>
              <w:pStyle w:val="ListBullet2"/>
            </w:pPr>
            <w:r w:rsidRPr="00315F60">
              <w:t>Type 1 incidents: Resident on resident incidents that meet the Act’s definition of a reportable assault but which are exempt from being reported to the Department</w:t>
            </w:r>
          </w:p>
          <w:p w:rsidR="000F2798" w:rsidRPr="00315F60" w:rsidRDefault="000F2798" w:rsidP="00C7186C">
            <w:pPr>
              <w:pStyle w:val="ListBullet2"/>
            </w:pPr>
            <w:r w:rsidRPr="00315F60">
              <w:t>Type 2 incidents: Other resident on resident incidents which do not meet the definition of a reportable assault but are recorded by the approved provider.</w:t>
            </w:r>
          </w:p>
          <w:p w:rsidR="000F2798" w:rsidRPr="00315F60" w:rsidRDefault="000F2798" w:rsidP="00C7186C">
            <w:pPr>
              <w:pStyle w:val="ListBullet"/>
              <w:ind w:left="340"/>
              <w:rPr>
                <w:rFonts w:eastAsia="SimSun" w:cs="Times New Roman"/>
                <w:szCs w:val="20"/>
              </w:rPr>
            </w:pPr>
            <w:r w:rsidRPr="00315F60">
              <w:rPr>
                <w:rFonts w:eastAsia="SimSun" w:cs="Times New Roman"/>
                <w:szCs w:val="20"/>
              </w:rPr>
              <w:t>The data collection period was a six month period of 1 February 2019 to 31 July 2019.</w:t>
            </w:r>
          </w:p>
          <w:p w:rsidR="000F2798" w:rsidRPr="00315F60" w:rsidRDefault="000F2798" w:rsidP="00C7186C">
            <w:pPr>
              <w:pStyle w:val="ListBullet"/>
              <w:ind w:left="340"/>
              <w:rPr>
                <w:rFonts w:eastAsia="SimSun" w:cs="Times New Roman"/>
                <w:szCs w:val="20"/>
              </w:rPr>
            </w:pPr>
            <w:r w:rsidRPr="00315F60">
              <w:rPr>
                <w:rFonts w:eastAsia="SimSun" w:cs="Times New Roman"/>
                <w:szCs w:val="20"/>
              </w:rPr>
              <w:t>The amount of detail collected about each incident differed depending on the incident type:</w:t>
            </w:r>
          </w:p>
          <w:p w:rsidR="000F2798" w:rsidRPr="00315F60" w:rsidRDefault="000F2798" w:rsidP="00C7186C">
            <w:pPr>
              <w:pStyle w:val="ListBullet2"/>
            </w:pPr>
            <w:r w:rsidRPr="00315F60">
              <w:t xml:space="preserve">For Type 1 incidents, the study collected information about the total number of incidents that occurred at a service during the data collection period and specific information about each incident that is already recorded by providers. </w:t>
            </w:r>
          </w:p>
          <w:p w:rsidR="000F2798" w:rsidRPr="00315F60" w:rsidRDefault="000F2798" w:rsidP="00C7186C">
            <w:pPr>
              <w:pStyle w:val="ListBullet2"/>
            </w:pPr>
            <w:r w:rsidRPr="00315F60">
              <w:t>For Type 2 incidents, only the number of incidents that occurred during the data collection period was captured.</w:t>
            </w:r>
          </w:p>
          <w:p w:rsidR="000F2798" w:rsidRPr="00315F60" w:rsidRDefault="000F2798" w:rsidP="00C7186C">
            <w:pPr>
              <w:pStyle w:val="ListBullet"/>
              <w:ind w:left="340"/>
              <w:rPr>
                <w:rFonts w:eastAsia="SimSun" w:cs="Times New Roman"/>
                <w:szCs w:val="20"/>
              </w:rPr>
            </w:pPr>
            <w:r w:rsidRPr="00315F60">
              <w:rPr>
                <w:rFonts w:eastAsia="SimSun" w:cs="Times New Roman"/>
                <w:szCs w:val="20"/>
              </w:rPr>
              <w:t xml:space="preserve">Participation in the study was voluntary. Recruitment of residential aged care services occurred through direct email invitations sent to all aged care services listed on the AACS List, dated 30 June 2019, an announcement about the prevalence study via the Department’s Bulk Information </w:t>
            </w:r>
            <w:r w:rsidRPr="00315F60">
              <w:rPr>
                <w:rFonts w:eastAsia="SimSun" w:cs="Times New Roman"/>
                <w:szCs w:val="20"/>
              </w:rPr>
              <w:lastRenderedPageBreak/>
              <w:t>Distribution Service to aged care providers and an invitation to the Aged Care Sector Committee to promote the study within their networks. Services had approximately four weeks to register. A total of 175 services registered to participate.</w:t>
            </w:r>
          </w:p>
          <w:p w:rsidR="000F2798" w:rsidRPr="00315F60" w:rsidRDefault="000F2798" w:rsidP="00C7186C">
            <w:pPr>
              <w:pStyle w:val="ListBullet"/>
              <w:ind w:left="340"/>
              <w:rPr>
                <w:rFonts w:eastAsia="SimSun" w:cs="Times New Roman"/>
                <w:szCs w:val="20"/>
              </w:rPr>
            </w:pPr>
            <w:r w:rsidRPr="00315F60">
              <w:rPr>
                <w:rFonts w:eastAsia="SimSun" w:cs="Times New Roman"/>
                <w:szCs w:val="20"/>
              </w:rPr>
              <w:t xml:space="preserve">Aged care services were supported to participate in the study through: </w:t>
            </w:r>
          </w:p>
          <w:p w:rsidR="000F2798" w:rsidRPr="00315F60" w:rsidRDefault="000F2798" w:rsidP="00C7186C">
            <w:pPr>
              <w:pStyle w:val="ListBullet2"/>
            </w:pPr>
            <w:r w:rsidRPr="00315F60">
              <w:t>An online training webinar to prepare for the study</w:t>
            </w:r>
          </w:p>
          <w:p w:rsidR="000F2798" w:rsidRPr="00315F60" w:rsidRDefault="000F2798" w:rsidP="00C7186C">
            <w:pPr>
              <w:pStyle w:val="ListBullet2"/>
            </w:pPr>
            <w:r w:rsidRPr="00315F60">
              <w:t>Written guidance materials, including a resource manual and FAQs</w:t>
            </w:r>
          </w:p>
          <w:p w:rsidR="000F2798" w:rsidRPr="00315F60" w:rsidRDefault="000F2798" w:rsidP="00C7186C">
            <w:pPr>
              <w:pStyle w:val="ListBullet2"/>
            </w:pPr>
            <w:r w:rsidRPr="00315F60">
              <w:t>A dedicated toll-free hotline and functional mailbox throughout the project period.</w:t>
            </w:r>
          </w:p>
        </w:tc>
      </w:tr>
    </w:tbl>
    <w:p w:rsidR="00BC6CE1" w:rsidRPr="00315F60" w:rsidRDefault="00BC6CE1" w:rsidP="002E7D8E">
      <w:pPr>
        <w:pStyle w:val="Heading2"/>
        <w:rPr>
          <w:color w:val="auto"/>
        </w:rPr>
      </w:pPr>
      <w:bookmarkStart w:id="83" w:name="_Toc23098134"/>
      <w:bookmarkStart w:id="84" w:name="_Ref25423272"/>
      <w:bookmarkStart w:id="85" w:name="_Toc26979133"/>
      <w:r w:rsidRPr="00315F60">
        <w:rPr>
          <w:color w:val="auto"/>
        </w:rPr>
        <w:lastRenderedPageBreak/>
        <w:t>Data submission</w:t>
      </w:r>
      <w:bookmarkEnd w:id="83"/>
      <w:bookmarkEnd w:id="84"/>
      <w:bookmarkEnd w:id="85"/>
    </w:p>
    <w:p w:rsidR="00BC6CE1" w:rsidRPr="00315F60" w:rsidRDefault="00BC6CE1" w:rsidP="00BC6CE1">
      <w:pPr>
        <w:pStyle w:val="Heading3"/>
        <w:rPr>
          <w:color w:val="auto"/>
        </w:rPr>
      </w:pPr>
      <w:r w:rsidRPr="00315F60">
        <w:rPr>
          <w:color w:val="auto"/>
        </w:rPr>
        <w:t>Data submission by services</w:t>
      </w:r>
    </w:p>
    <w:p w:rsidR="00BC6CE1" w:rsidRPr="00315F60" w:rsidRDefault="00BC6CE1" w:rsidP="00BC6CE1">
      <w:pPr>
        <w:pStyle w:val="BodyText"/>
      </w:pPr>
      <w:r w:rsidRPr="00315F60">
        <w:t xml:space="preserve">Data submission occurred over a three week period from 16 September 2019 to 4 October 2019. This stage involved aged care services submitting data via the online submission portal. </w:t>
      </w:r>
    </w:p>
    <w:p w:rsidR="00BC6CE1" w:rsidRPr="00315F60" w:rsidRDefault="00BC6CE1" w:rsidP="00BC6CE1">
      <w:pPr>
        <w:pStyle w:val="BodyText"/>
      </w:pPr>
      <w:r w:rsidRPr="00315F60">
        <w:t>Registrations remained open throughout the data submission period. A small number of services contacted the</w:t>
      </w:r>
      <w:r w:rsidR="005006BD" w:rsidRPr="00315F60">
        <w:t xml:space="preserve"> KPMG</w:t>
      </w:r>
      <w:r w:rsidRPr="00315F60">
        <w:t xml:space="preserve"> project team to request an amendment to their response. The </w:t>
      </w:r>
      <w:r w:rsidR="005006BD" w:rsidRPr="00315F60">
        <w:t xml:space="preserve">KPMG </w:t>
      </w:r>
      <w:r w:rsidRPr="00315F60">
        <w:t>project team kept a log of any amendments requested and made changes to submissions prior to data analysis.</w:t>
      </w:r>
    </w:p>
    <w:p w:rsidR="0011136A" w:rsidRPr="00315F60" w:rsidRDefault="0011136A" w:rsidP="0011136A">
      <w:pPr>
        <w:jc w:val="both"/>
      </w:pPr>
      <w:r w:rsidRPr="00315F60">
        <w:t xml:space="preserve">There were </w:t>
      </w:r>
      <w:r w:rsidR="002E7D8E" w:rsidRPr="00315F60">
        <w:t xml:space="preserve">also </w:t>
      </w:r>
      <w:r w:rsidRPr="00315F60">
        <w:t>some challenges that arose during the data submission period. These included:</w:t>
      </w:r>
    </w:p>
    <w:p w:rsidR="0011136A" w:rsidRPr="00315F60" w:rsidRDefault="0011136A" w:rsidP="0011136A">
      <w:pPr>
        <w:pStyle w:val="ListBullet"/>
        <w:ind w:left="340"/>
        <w:rPr>
          <w:rFonts w:eastAsia="SimSun" w:cs="Times New Roman"/>
          <w:szCs w:val="20"/>
        </w:rPr>
      </w:pPr>
      <w:r w:rsidRPr="00315F60">
        <w:rPr>
          <w:rFonts w:eastAsia="SimSun" w:cs="Times New Roman"/>
          <w:szCs w:val="20"/>
        </w:rPr>
        <w:t>There was some level of confusion regarding the definition of Type 2 incidents. The KPMG project team clarified queries as they arose through the functional mailbox and hotline.</w:t>
      </w:r>
    </w:p>
    <w:p w:rsidR="0011136A" w:rsidRPr="00315F60" w:rsidRDefault="0011136A" w:rsidP="0011136A">
      <w:pPr>
        <w:pStyle w:val="ListBullet"/>
        <w:ind w:left="340"/>
        <w:rPr>
          <w:rFonts w:eastAsia="SimSun" w:cs="Times New Roman"/>
          <w:szCs w:val="20"/>
        </w:rPr>
      </w:pPr>
      <w:r w:rsidRPr="00315F60">
        <w:rPr>
          <w:rFonts w:eastAsia="SimSun" w:cs="Times New Roman"/>
          <w:szCs w:val="20"/>
        </w:rPr>
        <w:t>The contact person assigned by some aged care services at the point of registration was unavailable during the data submission period.</w:t>
      </w:r>
    </w:p>
    <w:p w:rsidR="0011136A" w:rsidRPr="00315F60" w:rsidRDefault="0011136A" w:rsidP="0011136A">
      <w:pPr>
        <w:pStyle w:val="ListBullet"/>
        <w:ind w:left="340"/>
        <w:rPr>
          <w:rFonts w:eastAsia="SimSun" w:cs="Times New Roman"/>
          <w:szCs w:val="20"/>
        </w:rPr>
      </w:pPr>
      <w:r w:rsidRPr="00315F60">
        <w:rPr>
          <w:rFonts w:eastAsia="SimSun" w:cs="Times New Roman"/>
          <w:szCs w:val="20"/>
        </w:rPr>
        <w:t>The</w:t>
      </w:r>
      <w:r w:rsidR="005006BD" w:rsidRPr="00315F60">
        <w:rPr>
          <w:rFonts w:eastAsia="SimSun" w:cs="Times New Roman"/>
          <w:szCs w:val="20"/>
        </w:rPr>
        <w:t xml:space="preserve"> KPMG</w:t>
      </w:r>
      <w:r w:rsidRPr="00315F60">
        <w:rPr>
          <w:rFonts w:eastAsia="SimSun" w:cs="Times New Roman"/>
          <w:szCs w:val="20"/>
        </w:rPr>
        <w:t xml:space="preserve"> project team was unable to get in contact with some aged care services to validate submissions. </w:t>
      </w:r>
    </w:p>
    <w:p w:rsidR="00BC6CE1" w:rsidRPr="00315F60" w:rsidRDefault="00BC6CE1" w:rsidP="00BC6CE1">
      <w:pPr>
        <w:pStyle w:val="BodyText"/>
      </w:pPr>
      <w:r w:rsidRPr="00315F60">
        <w:t xml:space="preserve">A total of three services withdrew from the study during the data submission period. Withdrawn services </w:t>
      </w:r>
      <w:r w:rsidR="00D9569C" w:rsidRPr="00315F60">
        <w:t xml:space="preserve">did not provide a reason for dropping out of the study and </w:t>
      </w:r>
      <w:r w:rsidRPr="00315F60">
        <w:t xml:space="preserve">were not contacted further. </w:t>
      </w:r>
    </w:p>
    <w:p w:rsidR="00BC6CE1" w:rsidRPr="00315F60" w:rsidRDefault="00BC6CE1" w:rsidP="00BC6CE1">
      <w:pPr>
        <w:pStyle w:val="Heading3"/>
        <w:rPr>
          <w:color w:val="auto"/>
        </w:rPr>
      </w:pPr>
      <w:bookmarkStart w:id="86" w:name="_Toc23098137"/>
      <w:r w:rsidRPr="00315F60">
        <w:rPr>
          <w:color w:val="auto"/>
        </w:rPr>
        <w:t>Additional data</w:t>
      </w:r>
      <w:bookmarkEnd w:id="86"/>
    </w:p>
    <w:p w:rsidR="00BC6CE1" w:rsidRPr="00315F60" w:rsidRDefault="00BC6CE1" w:rsidP="00BC6CE1">
      <w:pPr>
        <w:pStyle w:val="BodyText"/>
      </w:pPr>
      <w:r w:rsidRPr="00315F60">
        <w:t xml:space="preserve">Additional data was obtained from the Department to validate and further analyse the data submissions made by aged care services. This included both publically available data and data obtained directly from the Department. The data sources used in the study are summarised in </w:t>
      </w:r>
      <w:r w:rsidRPr="00315F60">
        <w:fldChar w:fldCharType="begin"/>
      </w:r>
      <w:r w:rsidRPr="00315F60">
        <w:instrText xml:space="preserve"> REF _Ref23100444 \h  \* MERGEFORMAT </w:instrText>
      </w:r>
      <w:r w:rsidRPr="00315F60">
        <w:fldChar w:fldCharType="separate"/>
      </w:r>
      <w:r w:rsidR="004355CA" w:rsidRPr="00315F60">
        <w:t xml:space="preserve">Table </w:t>
      </w:r>
      <w:r w:rsidR="004355CA" w:rsidRPr="00315F60">
        <w:rPr>
          <w:noProof/>
        </w:rPr>
        <w:t>3</w:t>
      </w:r>
      <w:r w:rsidRPr="00315F60">
        <w:fldChar w:fldCharType="end"/>
      </w:r>
      <w:r w:rsidRPr="00315F60">
        <w:t xml:space="preserve"> below.</w:t>
      </w:r>
    </w:p>
    <w:p w:rsidR="00BC6CE1" w:rsidRPr="00315F60" w:rsidRDefault="00BC6CE1" w:rsidP="00EF6B6C">
      <w:pPr>
        <w:pStyle w:val="Caption"/>
        <w:rPr>
          <w:color w:val="auto"/>
        </w:rPr>
      </w:pPr>
      <w:bookmarkStart w:id="87" w:name="_Ref23100444"/>
      <w:r w:rsidRPr="00315F60">
        <w:rPr>
          <w:color w:val="auto"/>
        </w:rPr>
        <w:t xml:space="preserve">Table </w:t>
      </w:r>
      <w:r w:rsidR="0088210D" w:rsidRPr="00315F60">
        <w:rPr>
          <w:noProof/>
          <w:color w:val="auto"/>
        </w:rPr>
        <w:fldChar w:fldCharType="begin"/>
      </w:r>
      <w:r w:rsidR="0088210D" w:rsidRPr="00315F60">
        <w:rPr>
          <w:noProof/>
          <w:color w:val="auto"/>
        </w:rPr>
        <w:instrText xml:space="preserve"> SEQ Table \* ARABIC </w:instrText>
      </w:r>
      <w:r w:rsidR="0088210D" w:rsidRPr="00315F60">
        <w:rPr>
          <w:noProof/>
          <w:color w:val="auto"/>
        </w:rPr>
        <w:fldChar w:fldCharType="separate"/>
      </w:r>
      <w:r w:rsidR="004355CA" w:rsidRPr="00315F60">
        <w:rPr>
          <w:noProof/>
          <w:color w:val="auto"/>
        </w:rPr>
        <w:t>3</w:t>
      </w:r>
      <w:r w:rsidR="0088210D" w:rsidRPr="00315F60">
        <w:rPr>
          <w:noProof/>
          <w:color w:val="auto"/>
        </w:rPr>
        <w:fldChar w:fldCharType="end"/>
      </w:r>
      <w:bookmarkEnd w:id="87"/>
      <w:r w:rsidRPr="00315F60">
        <w:rPr>
          <w:color w:val="auto"/>
        </w:rPr>
        <w:t>: Administrative data sources</w:t>
      </w:r>
    </w:p>
    <w:tbl>
      <w:tblPr>
        <w:tblStyle w:val="TableGridKPMGBlue"/>
        <w:tblW w:w="5000" w:type="pct"/>
        <w:tblLayout w:type="fixed"/>
        <w:tblLook w:val="04A0" w:firstRow="1" w:lastRow="0" w:firstColumn="1" w:lastColumn="0" w:noHBand="0" w:noVBand="1"/>
        <w:tblDescription w:val="This table provides an overview of administrative data sources including the relevant fields, data availability and how the data was used. "/>
      </w:tblPr>
      <w:tblGrid>
        <w:gridCol w:w="1413"/>
        <w:gridCol w:w="1417"/>
        <w:gridCol w:w="2207"/>
        <w:gridCol w:w="1178"/>
        <w:gridCol w:w="2845"/>
      </w:tblGrid>
      <w:tr w:rsidR="00315F60" w:rsidRPr="00315F60" w:rsidTr="00506A16">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80" w:type="pct"/>
            <w:shd w:val="clear" w:color="auto" w:fill="000000" w:themeFill="text1"/>
          </w:tcPr>
          <w:p w:rsidR="00BC6CE1" w:rsidRPr="00315F60" w:rsidRDefault="00BC6CE1" w:rsidP="002E7D8E">
            <w:pPr>
              <w:pStyle w:val="Tableheading"/>
              <w:keepNext w:val="0"/>
              <w:rPr>
                <w:color w:val="auto"/>
              </w:rPr>
            </w:pPr>
            <w:r w:rsidRPr="00315F60">
              <w:rPr>
                <w:color w:val="auto"/>
              </w:rPr>
              <w:t>Source</w:t>
            </w:r>
          </w:p>
        </w:tc>
        <w:tc>
          <w:tcPr>
            <w:tcW w:w="782" w:type="pct"/>
            <w:shd w:val="clear" w:color="auto" w:fill="000000" w:themeFill="text1"/>
          </w:tcPr>
          <w:p w:rsidR="00BC6CE1" w:rsidRPr="00315F60" w:rsidRDefault="00BC6CE1" w:rsidP="00EF6B6C">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Data</w:t>
            </w:r>
          </w:p>
        </w:tc>
        <w:tc>
          <w:tcPr>
            <w:tcW w:w="1218" w:type="pct"/>
            <w:shd w:val="clear" w:color="auto" w:fill="000000" w:themeFill="text1"/>
          </w:tcPr>
          <w:p w:rsidR="00BC6CE1" w:rsidRPr="00315F60" w:rsidRDefault="00BC6CE1" w:rsidP="002E7D8E">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Fields</w:t>
            </w:r>
          </w:p>
        </w:tc>
        <w:tc>
          <w:tcPr>
            <w:tcW w:w="650" w:type="pct"/>
            <w:shd w:val="clear" w:color="auto" w:fill="000000" w:themeFill="text1"/>
          </w:tcPr>
          <w:p w:rsidR="00BC6CE1" w:rsidRPr="00315F60" w:rsidRDefault="00BC6CE1" w:rsidP="00EF6B6C">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Availability</w:t>
            </w:r>
          </w:p>
        </w:tc>
        <w:tc>
          <w:tcPr>
            <w:tcW w:w="1570" w:type="pct"/>
            <w:shd w:val="clear" w:color="auto" w:fill="000000" w:themeFill="text1"/>
          </w:tcPr>
          <w:p w:rsidR="00BC6CE1" w:rsidRPr="00315F60" w:rsidRDefault="00BC6CE1" w:rsidP="00EF6B6C">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How the data was used</w:t>
            </w:r>
          </w:p>
        </w:tc>
      </w:tr>
      <w:tr w:rsidR="00315F60" w:rsidRPr="00315F60" w:rsidTr="002F005B">
        <w:trPr>
          <w:cantSplit w:val="0"/>
        </w:trPr>
        <w:tc>
          <w:tcPr>
            <w:cnfStyle w:val="001000000000" w:firstRow="0" w:lastRow="0" w:firstColumn="1" w:lastColumn="0" w:oddVBand="0" w:evenVBand="0" w:oddHBand="0" w:evenHBand="0" w:firstRowFirstColumn="0" w:firstRowLastColumn="0" w:lastRowFirstColumn="0" w:lastRowLastColumn="0"/>
            <w:tcW w:w="780" w:type="pct"/>
          </w:tcPr>
          <w:p w:rsidR="00BC6CE1" w:rsidRPr="00315F60" w:rsidRDefault="00BC6CE1" w:rsidP="00EF6B6C">
            <w:pPr>
              <w:pStyle w:val="Tabletext"/>
            </w:pPr>
            <w:r w:rsidRPr="00315F60">
              <w:t>GEN Aged Care website</w:t>
            </w:r>
            <w:r w:rsidRPr="00315F60">
              <w:rPr>
                <w:rStyle w:val="FootnoteReference"/>
                <w:sz w:val="18"/>
              </w:rPr>
              <w:footnoteReference w:id="19"/>
            </w:r>
          </w:p>
        </w:tc>
        <w:tc>
          <w:tcPr>
            <w:tcW w:w="782" w:type="pct"/>
          </w:tcPr>
          <w:p w:rsidR="00BC6CE1" w:rsidRPr="00315F60" w:rsidRDefault="00516F23" w:rsidP="00EF6B6C">
            <w:pPr>
              <w:pStyle w:val="Tabletext"/>
              <w:cnfStyle w:val="000000000000" w:firstRow="0" w:lastRow="0" w:firstColumn="0" w:lastColumn="0" w:oddVBand="0" w:evenVBand="0" w:oddHBand="0" w:evenHBand="0" w:firstRowFirstColumn="0" w:firstRowLastColumn="0" w:lastRowFirstColumn="0" w:lastRowLastColumn="0"/>
            </w:pPr>
            <w:r w:rsidRPr="00315F60">
              <w:t>AACS List</w:t>
            </w:r>
            <w:r w:rsidR="002E7D8E" w:rsidRPr="00315F60">
              <w:t>, 30 </w:t>
            </w:r>
            <w:r w:rsidR="00BC6CE1" w:rsidRPr="00315F60">
              <w:t>June 2019</w:t>
            </w:r>
          </w:p>
        </w:tc>
        <w:tc>
          <w:tcPr>
            <w:tcW w:w="1218" w:type="pct"/>
          </w:tcPr>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Service name</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Address and location fields</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Aged Care Planning Region</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Care type</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Number of residential places</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lastRenderedPageBreak/>
              <w:t>Number of home care places</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Number of restorative care places</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Provider name</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Organisation type</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Remoteness (ABS)</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pPr>
            <w:r w:rsidRPr="00315F60">
              <w:rPr>
                <w:rFonts w:eastAsia="SimSun"/>
                <w:sz w:val="18"/>
                <w:szCs w:val="18"/>
                <w:lang w:eastAsia="en-US"/>
              </w:rPr>
              <w:t>2018-19 Australian Government funding</w:t>
            </w:r>
          </w:p>
        </w:tc>
        <w:tc>
          <w:tcPr>
            <w:tcW w:w="650" w:type="pct"/>
          </w:tcPr>
          <w:p w:rsidR="00BC6CE1" w:rsidRPr="00315F60" w:rsidRDefault="00BC6CE1" w:rsidP="00EF6B6C">
            <w:pPr>
              <w:pStyle w:val="Tabletext"/>
              <w:cnfStyle w:val="000000000000" w:firstRow="0" w:lastRow="0" w:firstColumn="0" w:lastColumn="0" w:oddVBand="0" w:evenVBand="0" w:oddHBand="0" w:evenHBand="0" w:firstRowFirstColumn="0" w:firstRowLastColumn="0" w:lastRowFirstColumn="0" w:lastRowLastColumn="0"/>
            </w:pPr>
            <w:r w:rsidRPr="00315F60">
              <w:lastRenderedPageBreak/>
              <w:t>Publically available</w:t>
            </w:r>
          </w:p>
        </w:tc>
        <w:tc>
          <w:tcPr>
            <w:tcW w:w="1570" w:type="pct"/>
          </w:tcPr>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Reconciled list of services that submitted data (the sample) with the list of approved service providers to ensure all submissions were eligible. Eligibility was restricted to residential aged care services operating under an approved provider in Australia.</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lastRenderedPageBreak/>
              <w:t xml:space="preserve">Analysed how the characteristics of the sample compared to the characteristics of the complete list of services in Australia. Characteristics included size, location and remoteness of the service. </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pPr>
            <w:r w:rsidRPr="00315F60">
              <w:rPr>
                <w:rFonts w:eastAsia="SimSun"/>
                <w:sz w:val="18"/>
                <w:szCs w:val="18"/>
                <w:lang w:eastAsia="en-US"/>
              </w:rPr>
              <w:t>Analysed any potential correlation between service characteristics and incident number.</w:t>
            </w:r>
          </w:p>
        </w:tc>
      </w:tr>
      <w:tr w:rsidR="00315F60" w:rsidRPr="00315F60" w:rsidTr="002F005B">
        <w:trPr>
          <w:cantSplit w:val="0"/>
        </w:trPr>
        <w:tc>
          <w:tcPr>
            <w:cnfStyle w:val="001000000000" w:firstRow="0" w:lastRow="0" w:firstColumn="1" w:lastColumn="0" w:oddVBand="0" w:evenVBand="0" w:oddHBand="0" w:evenHBand="0" w:firstRowFirstColumn="0" w:firstRowLastColumn="0" w:lastRowFirstColumn="0" w:lastRowLastColumn="0"/>
            <w:tcW w:w="780" w:type="pct"/>
          </w:tcPr>
          <w:p w:rsidR="00BC6CE1" w:rsidRPr="00315F60" w:rsidRDefault="00BC6CE1" w:rsidP="00EF6B6C">
            <w:pPr>
              <w:pStyle w:val="Tabletext"/>
            </w:pPr>
            <w:r w:rsidRPr="00315F60">
              <w:lastRenderedPageBreak/>
              <w:t xml:space="preserve">Department of Health </w:t>
            </w:r>
          </w:p>
        </w:tc>
        <w:tc>
          <w:tcPr>
            <w:tcW w:w="782" w:type="pct"/>
          </w:tcPr>
          <w:p w:rsidR="00BC6CE1" w:rsidRPr="00315F60" w:rsidRDefault="00BC6CE1" w:rsidP="00EF6B6C">
            <w:pPr>
              <w:pStyle w:val="Tabletext"/>
              <w:cnfStyle w:val="000000000000" w:firstRow="0" w:lastRow="0" w:firstColumn="0" w:lastColumn="0" w:oddVBand="0" w:evenVBand="0" w:oddHBand="0" w:evenHBand="0" w:firstRowFirstColumn="0" w:firstRowLastColumn="0" w:lastRowFirstColumn="0" w:lastRowLastColumn="0"/>
            </w:pPr>
            <w:r w:rsidRPr="00315F60">
              <w:t>Australian Aged Care Services Residential Occupancy Rates, February to July 2019, by month</w:t>
            </w:r>
          </w:p>
        </w:tc>
        <w:tc>
          <w:tcPr>
            <w:tcW w:w="1218" w:type="pct"/>
          </w:tcPr>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Provider name</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Service name</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rPr>
                <w:rFonts w:eastAsia="SimSun"/>
                <w:szCs w:val="18"/>
                <w:lang w:eastAsia="en-US"/>
              </w:rPr>
            </w:pPr>
            <w:r w:rsidRPr="00315F60">
              <w:rPr>
                <w:rFonts w:eastAsia="SimSun"/>
                <w:sz w:val="18"/>
                <w:szCs w:val="18"/>
                <w:lang w:eastAsia="en-US"/>
              </w:rPr>
              <w:t>Service ID</w:t>
            </w:r>
          </w:p>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pPr>
            <w:r w:rsidRPr="00315F60">
              <w:rPr>
                <w:rFonts w:eastAsia="SimSun"/>
                <w:sz w:val="18"/>
                <w:szCs w:val="18"/>
                <w:lang w:eastAsia="en-US"/>
              </w:rPr>
              <w:t xml:space="preserve">Occupancy </w:t>
            </w:r>
            <w:r w:rsidR="00D5538B" w:rsidRPr="00315F60">
              <w:rPr>
                <w:rFonts w:eastAsia="SimSun"/>
                <w:sz w:val="18"/>
                <w:szCs w:val="18"/>
                <w:lang w:eastAsia="en-US"/>
              </w:rPr>
              <w:t>per</w:t>
            </w:r>
            <w:r w:rsidRPr="00315F60">
              <w:rPr>
                <w:rFonts w:eastAsia="SimSun"/>
                <w:sz w:val="18"/>
                <w:szCs w:val="18"/>
                <w:lang w:eastAsia="en-US"/>
              </w:rPr>
              <w:t>centage (claim days) for February, March, April, May, June and July 2019</w:t>
            </w:r>
          </w:p>
        </w:tc>
        <w:tc>
          <w:tcPr>
            <w:tcW w:w="650" w:type="pct"/>
          </w:tcPr>
          <w:p w:rsidR="00BC6CE1" w:rsidRPr="00315F60" w:rsidRDefault="00BC6CE1" w:rsidP="00EF6B6C">
            <w:pPr>
              <w:pStyle w:val="Tabletext"/>
              <w:cnfStyle w:val="000000000000" w:firstRow="0" w:lastRow="0" w:firstColumn="0" w:lastColumn="0" w:oddVBand="0" w:evenVBand="0" w:oddHBand="0" w:evenHBand="0" w:firstRowFirstColumn="0" w:firstRowLastColumn="0" w:lastRowFirstColumn="0" w:lastRowLastColumn="0"/>
            </w:pPr>
            <w:r w:rsidRPr="00315F60">
              <w:t>Provided on request</w:t>
            </w:r>
          </w:p>
        </w:tc>
        <w:tc>
          <w:tcPr>
            <w:tcW w:w="1570" w:type="pct"/>
          </w:tcPr>
          <w:p w:rsidR="00BC6CE1" w:rsidRPr="00315F60" w:rsidRDefault="00BC6CE1" w:rsidP="009F1F87">
            <w:pPr>
              <w:pStyle w:val="ListBullet"/>
              <w:ind w:left="340"/>
              <w:jc w:val="left"/>
              <w:cnfStyle w:val="000000000000" w:firstRow="0" w:lastRow="0" w:firstColumn="0" w:lastColumn="0" w:oddVBand="0" w:evenVBand="0" w:oddHBand="0" w:evenHBand="0" w:firstRowFirstColumn="0" w:firstRowLastColumn="0" w:lastRowFirstColumn="0" w:lastRowLastColumn="0"/>
            </w:pPr>
            <w:r w:rsidRPr="00315F60">
              <w:rPr>
                <w:rFonts w:eastAsia="SimSun"/>
                <w:sz w:val="18"/>
                <w:szCs w:val="18"/>
                <w:lang w:eastAsia="en-US"/>
              </w:rPr>
              <w:t>Analysed any potential correlation between occupancy rate and incident number.</w:t>
            </w:r>
          </w:p>
        </w:tc>
      </w:tr>
    </w:tbl>
    <w:p w:rsidR="00BC6CE1" w:rsidRPr="00315F60" w:rsidRDefault="00BC6CE1" w:rsidP="00FA0BA9">
      <w:pPr>
        <w:pStyle w:val="Source"/>
      </w:pPr>
      <w:bookmarkStart w:id="88" w:name="_Toc23098138"/>
      <w:r w:rsidRPr="00315F60">
        <w:t>Source: KPMG</w:t>
      </w:r>
    </w:p>
    <w:p w:rsidR="002E7D8E" w:rsidRPr="00315F60" w:rsidRDefault="00921137" w:rsidP="00F21C6C">
      <w:pPr>
        <w:pStyle w:val="BodyText0"/>
        <w:rPr>
          <w:i/>
          <w:sz w:val="18"/>
          <w:szCs w:val="18"/>
        </w:rPr>
      </w:pPr>
      <w:r w:rsidRPr="00315F60">
        <w:rPr>
          <w:i/>
          <w:noProof/>
          <w:sz w:val="18"/>
          <w:szCs w:val="18"/>
          <w:lang w:eastAsia="en-AU"/>
        </w:rPr>
        <mc:AlternateContent>
          <mc:Choice Requires="wps">
            <w:drawing>
              <wp:inline distT="0" distB="0" distL="0" distR="0">
                <wp:extent cx="5748728" cy="1404620"/>
                <wp:effectExtent l="0" t="0" r="23495"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28" cy="1404620"/>
                        </a:xfrm>
                        <a:prstGeom prst="rect">
                          <a:avLst/>
                        </a:prstGeom>
                        <a:solidFill>
                          <a:schemeClr val="bg1"/>
                        </a:solidFill>
                        <a:ln w="9525">
                          <a:solidFill>
                            <a:srgbClr val="000000"/>
                          </a:solidFill>
                          <a:miter lim="800000"/>
                          <a:headEnd/>
                          <a:tailEnd/>
                        </a:ln>
                      </wps:spPr>
                      <wps:txbx>
                        <w:txbxContent>
                          <w:p w:rsidR="00921137" w:rsidRPr="00FA0BA9" w:rsidRDefault="00921137" w:rsidP="00921137">
                            <w:pPr>
                              <w:pStyle w:val="BodyText"/>
                              <w:jc w:val="left"/>
                              <w:rPr>
                                <w:b/>
                                <w:szCs w:val="20"/>
                              </w:rPr>
                            </w:pPr>
                            <w:r w:rsidRPr="00FA0BA9">
                              <w:rPr>
                                <w:b/>
                                <w:szCs w:val="20"/>
                              </w:rPr>
                              <w:t xml:space="preserve">Summary of key findings </w:t>
                            </w:r>
                          </w:p>
                          <w:p w:rsidR="00921137" w:rsidRPr="009F1F87" w:rsidRDefault="00921137" w:rsidP="00921137">
                            <w:pPr>
                              <w:pStyle w:val="ListBullet"/>
                              <w:ind w:left="340"/>
                              <w:rPr>
                                <w:rFonts w:eastAsia="SimSun" w:cs="Times New Roman"/>
                                <w:szCs w:val="20"/>
                              </w:rPr>
                            </w:pPr>
                            <w:r w:rsidRPr="009F1F87">
                              <w:rPr>
                                <w:rFonts w:eastAsia="SimSun" w:cs="Times New Roman"/>
                                <w:szCs w:val="20"/>
                              </w:rPr>
                              <w:t>Data submission occurred over a three week period from 16 September 2019 to 4 October 2019. Registered services submitted data through an online submission tool.</w:t>
                            </w:r>
                          </w:p>
                          <w:p w:rsidR="00921137" w:rsidRPr="00921137" w:rsidRDefault="00921137" w:rsidP="00A324C6">
                            <w:pPr>
                              <w:pStyle w:val="ListBullet"/>
                              <w:ind w:left="340"/>
                            </w:pPr>
                            <w:r w:rsidRPr="00921137">
                              <w:rPr>
                                <w:rFonts w:eastAsia="SimSun" w:cs="Times New Roman"/>
                                <w:szCs w:val="20"/>
                              </w:rPr>
                              <w:t>Three services withdrew from the study during the data submission period.</w:t>
                            </w:r>
                          </w:p>
                          <w:p w:rsidR="00921137" w:rsidRDefault="00921137" w:rsidP="00A324C6">
                            <w:pPr>
                              <w:pStyle w:val="ListBullet"/>
                              <w:ind w:left="340"/>
                            </w:pPr>
                            <w:r w:rsidRPr="00921137">
                              <w:rPr>
                                <w:rFonts w:eastAsia="SimSun" w:cs="Times New Roman"/>
                                <w:szCs w:val="20"/>
                              </w:rPr>
                              <w:t>Additional data was obtained from the Department and publically available sources to validate and further analyse the data submissions made by aged care services.</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" fillcolor="white [3212]">
                <v:textbox style="mso-fit-shape-to-text:t">
                  <w:txbxContent>
                    <w:p w:rsidR="00921137" w:rsidRPr="00FA0BA9" w:rsidRDefault="00921137" w:rsidP="00921137">
                      <w:pPr>
                        <w:pStyle w:val="BodyText"/>
                        <w:jc w:val="left"/>
                        <w:rPr>
                          <w:b/>
                          <w:szCs w:val="20"/>
                        </w:rPr>
                      </w:pPr>
                      <w:r w:rsidRPr="00FA0BA9">
                        <w:rPr>
                          <w:b/>
                          <w:szCs w:val="20"/>
                        </w:rPr>
                        <w:t xml:space="preserve">Summary of key findings </w:t>
                      </w:r>
                    </w:p>
                    <w:p w:rsidR="00921137" w:rsidRPr="009F1F87" w:rsidRDefault="00921137" w:rsidP="00921137">
                      <w:pPr>
                        <w:pStyle w:val="ListBullet"/>
                        <w:ind w:left="340"/>
                        <w:rPr>
                          <w:rFonts w:eastAsia="SimSun" w:cs="Times New Roman"/>
                          <w:szCs w:val="20"/>
                        </w:rPr>
                      </w:pPr>
                      <w:r w:rsidRPr="009F1F87">
                        <w:rPr>
                          <w:rFonts w:eastAsia="SimSun" w:cs="Times New Roman"/>
                          <w:szCs w:val="20"/>
                        </w:rPr>
                        <w:t>Data submission occurred over a three week period from 16 September 2019 to 4 October 2019. Registered services submitted data through an online submission tool.</w:t>
                      </w:r>
                    </w:p>
                    <w:p w:rsidR="00921137" w:rsidRPr="00921137" w:rsidRDefault="00921137" w:rsidP="00A324C6">
                      <w:pPr>
                        <w:pStyle w:val="ListBullet"/>
                        <w:ind w:left="340"/>
                      </w:pPr>
                      <w:r w:rsidRPr="00921137">
                        <w:rPr>
                          <w:rFonts w:eastAsia="SimSun" w:cs="Times New Roman"/>
                          <w:szCs w:val="20"/>
                        </w:rPr>
                        <w:t>Three services withdrew from the study during the data submission period.</w:t>
                      </w:r>
                    </w:p>
                    <w:p w:rsidR="00921137" w:rsidRDefault="00921137" w:rsidP="00A324C6">
                      <w:pPr>
                        <w:pStyle w:val="ListBullet"/>
                        <w:ind w:left="340"/>
                      </w:pPr>
                      <w:r w:rsidRPr="00921137">
                        <w:rPr>
                          <w:rFonts w:eastAsia="SimSun" w:cs="Times New Roman"/>
                          <w:szCs w:val="20"/>
                        </w:rPr>
                        <w:t>Additional data was obtained from the Department and publically available sources to validate and further analyse the data submissions made by aged care services.</w:t>
                      </w:r>
                    </w:p>
                  </w:txbxContent>
                </v:textbox>
                <w10:anchorlock/>
              </v:shape>
            </w:pict>
          </mc:Fallback>
        </mc:AlternateContent>
      </w:r>
    </w:p>
    <w:p w:rsidR="00F86F07" w:rsidRPr="00315F60" w:rsidRDefault="00F86F07" w:rsidP="00F21C6C">
      <w:pPr>
        <w:pStyle w:val="BodyText0"/>
        <w:rPr>
          <w:i/>
          <w:sz w:val="18"/>
          <w:szCs w:val="18"/>
        </w:rPr>
      </w:pPr>
    </w:p>
    <w:p w:rsidR="002E7D8E" w:rsidRPr="00315F60" w:rsidRDefault="002E7D8E" w:rsidP="00F21C6C">
      <w:pPr>
        <w:pStyle w:val="BodyText0"/>
      </w:pPr>
      <w:r w:rsidRPr="00315F60">
        <w:br w:type="page"/>
      </w:r>
    </w:p>
    <w:p w:rsidR="00BC6CE1" w:rsidRPr="00315F60" w:rsidRDefault="00BC6CE1" w:rsidP="002E7D8E">
      <w:pPr>
        <w:pStyle w:val="Heading2"/>
        <w:rPr>
          <w:color w:val="auto"/>
        </w:rPr>
      </w:pPr>
      <w:bookmarkStart w:id="89" w:name="_Toc26979134"/>
      <w:r w:rsidRPr="00315F60">
        <w:rPr>
          <w:color w:val="auto"/>
        </w:rPr>
        <w:lastRenderedPageBreak/>
        <w:t>Data modelling and analysis</w:t>
      </w:r>
      <w:bookmarkEnd w:id="88"/>
      <w:bookmarkEnd w:id="89"/>
      <w:r w:rsidRPr="00315F60">
        <w:rPr>
          <w:color w:val="auto"/>
        </w:rPr>
        <w:t xml:space="preserve"> </w:t>
      </w:r>
    </w:p>
    <w:p w:rsidR="00BC6CE1" w:rsidRPr="00315F60" w:rsidRDefault="00BC6CE1" w:rsidP="00BC6CE1">
      <w:pPr>
        <w:pStyle w:val="BodyText"/>
        <w:jc w:val="left"/>
        <w:rPr>
          <w:i/>
          <w:sz w:val="18"/>
        </w:rPr>
      </w:pPr>
      <w:r w:rsidRPr="00315F60">
        <w:t>The process to model and analyse data collected by aged care services is detailed below.</w:t>
      </w:r>
    </w:p>
    <w:p w:rsidR="00BC6CE1" w:rsidRPr="00315F60" w:rsidRDefault="00BC6CE1" w:rsidP="00BC6CE1">
      <w:pPr>
        <w:pStyle w:val="Heading3"/>
        <w:rPr>
          <w:color w:val="auto"/>
        </w:rPr>
      </w:pPr>
      <w:bookmarkStart w:id="90" w:name="_Toc21960908"/>
      <w:r w:rsidRPr="00315F60">
        <w:rPr>
          <w:color w:val="auto"/>
        </w:rPr>
        <w:t>Data validation</w:t>
      </w:r>
      <w:bookmarkEnd w:id="90"/>
    </w:p>
    <w:p w:rsidR="00BC6CE1" w:rsidRPr="00315F60" w:rsidRDefault="00BC6CE1" w:rsidP="00BC6CE1">
      <w:pPr>
        <w:pStyle w:val="BodyText"/>
      </w:pPr>
      <w:r w:rsidRPr="00315F60">
        <w:t>A total of 196 submissions were re</w:t>
      </w:r>
      <w:r w:rsidRPr="00315F60">
        <w:rPr>
          <w:szCs w:val="20"/>
        </w:rPr>
        <w:t>ceived through the online tool</w:t>
      </w:r>
      <w:r w:rsidR="00BF4B1D" w:rsidRPr="00315F60">
        <w:rPr>
          <w:szCs w:val="20"/>
        </w:rPr>
        <w:t>.</w:t>
      </w:r>
      <w:r w:rsidR="002E3F3D" w:rsidRPr="00315F60">
        <w:rPr>
          <w:rStyle w:val="FootnoteReference"/>
          <w:sz w:val="20"/>
          <w:szCs w:val="20"/>
        </w:rPr>
        <w:footnoteReference w:id="20"/>
      </w:r>
      <w:r w:rsidRPr="00315F60">
        <w:rPr>
          <w:szCs w:val="20"/>
        </w:rPr>
        <w:t xml:space="preserve"> The sub</w:t>
      </w:r>
      <w:r w:rsidRPr="00315F60">
        <w:t xml:space="preserve">missions were reviewed at a submission and incident level. As a result of the submission review, </w:t>
      </w:r>
      <w:r w:rsidR="005E5E1D" w:rsidRPr="00315F60">
        <w:t xml:space="preserve">17 </w:t>
      </w:r>
      <w:r w:rsidRPr="00315F60">
        <w:t>submissions were excluded</w:t>
      </w:r>
      <w:r w:rsidR="002E7D8E" w:rsidRPr="00315F60">
        <w:t xml:space="preserve"> due to</w:t>
      </w:r>
      <w:r w:rsidRPr="00315F60">
        <w:t xml:space="preserve">: </w:t>
      </w:r>
    </w:p>
    <w:p w:rsidR="00BC6CE1" w:rsidRPr="00315F60" w:rsidRDefault="00BC6CE1" w:rsidP="007F13A4">
      <w:pPr>
        <w:pStyle w:val="Bullet1stlevel"/>
      </w:pPr>
      <w:r w:rsidRPr="00315F60">
        <w:t>15 submissions were classified as incomplete. For example</w:t>
      </w:r>
      <w:r w:rsidR="002E7D8E" w:rsidRPr="00315F60">
        <w:t>,</w:t>
      </w:r>
      <w:r w:rsidRPr="00315F60">
        <w:t xml:space="preserve"> a service commencing data entry and then stopping part way through</w:t>
      </w:r>
    </w:p>
    <w:p w:rsidR="00BC6CE1" w:rsidRPr="00315F60" w:rsidRDefault="00BC6CE1" w:rsidP="007F13A4">
      <w:pPr>
        <w:pStyle w:val="Bullet1stlevel"/>
      </w:pPr>
      <w:r w:rsidRPr="00315F60">
        <w:t>There was one duplicate submission</w:t>
      </w:r>
    </w:p>
    <w:p w:rsidR="00BC6CE1" w:rsidRPr="00315F60" w:rsidRDefault="00BC6CE1" w:rsidP="007F13A4">
      <w:pPr>
        <w:pStyle w:val="Bullet1stlevel"/>
      </w:pPr>
      <w:r w:rsidRPr="00315F60">
        <w:t>There was one submission where the specific name of the service was unable to be determined.</w:t>
      </w:r>
    </w:p>
    <w:p w:rsidR="00BC6CE1" w:rsidRPr="00315F60" w:rsidRDefault="00BC6CE1" w:rsidP="00BC6CE1">
      <w:pPr>
        <w:pStyle w:val="BodyText"/>
      </w:pPr>
      <w:r w:rsidRPr="00315F60">
        <w:t>A total of 179 submissions remained for analysis after the data validation process. Once the submission validation was complete</w:t>
      </w:r>
      <w:r w:rsidR="002E7D8E" w:rsidRPr="00315F60">
        <w:t>,</w:t>
      </w:r>
      <w:r w:rsidRPr="00315F60">
        <w:t xml:space="preserve"> high level incident validation was undertaken. There were nine Type 1 incidents with dates outside of the reporting period (1 Feb</w:t>
      </w:r>
      <w:r w:rsidR="004168F1" w:rsidRPr="00315F60">
        <w:t>ruary</w:t>
      </w:r>
      <w:r w:rsidRPr="00315F60">
        <w:t xml:space="preserve"> </w:t>
      </w:r>
      <w:r w:rsidR="004168F1" w:rsidRPr="00315F60">
        <w:t xml:space="preserve">2019 </w:t>
      </w:r>
      <w:r w:rsidRPr="00315F60">
        <w:t xml:space="preserve">to </w:t>
      </w:r>
      <w:r w:rsidR="004168F1" w:rsidRPr="00315F60">
        <w:t xml:space="preserve">31 </w:t>
      </w:r>
      <w:r w:rsidRPr="00315F60">
        <w:t>Jul</w:t>
      </w:r>
      <w:r w:rsidR="004168F1" w:rsidRPr="00315F60">
        <w:t>y</w:t>
      </w:r>
      <w:r w:rsidRPr="00315F60">
        <w:t xml:space="preserve"> 2019). These incidents were excluded. One service was only able to report Type 1 incidents and not Type 2 incidents. </w:t>
      </w:r>
    </w:p>
    <w:p w:rsidR="00BC6CE1" w:rsidRPr="00315F60" w:rsidRDefault="00BC6CE1" w:rsidP="00BC6CE1">
      <w:pPr>
        <w:pStyle w:val="Heading3"/>
        <w:rPr>
          <w:color w:val="auto"/>
        </w:rPr>
      </w:pPr>
      <w:bookmarkStart w:id="91" w:name="_Toc21960909"/>
      <w:r w:rsidRPr="00315F60">
        <w:rPr>
          <w:color w:val="auto"/>
        </w:rPr>
        <w:t>Modelling</w:t>
      </w:r>
      <w:bookmarkEnd w:id="91"/>
    </w:p>
    <w:p w:rsidR="00BC6CE1" w:rsidRPr="00315F60" w:rsidRDefault="00BC6CE1" w:rsidP="00BC6CE1">
      <w:pPr>
        <w:pStyle w:val="BodyText"/>
      </w:pPr>
      <w:bookmarkStart w:id="92" w:name="_Toc21960910"/>
      <w:r w:rsidRPr="00315F60">
        <w:t>Data was received from a sample of services</w:t>
      </w:r>
      <w:r w:rsidR="00250AE6" w:rsidRPr="00315F60">
        <w:t xml:space="preserve"> (the sample)</w:t>
      </w:r>
      <w:r w:rsidRPr="00315F60">
        <w:t xml:space="preserve">. One of the main objectives of the study was to estimate the total number and type of Type 1 and Type 2 incidents that take place in residential aged care. To estimate (or model) the prevalence of Type 1 and Type 2 incidents at a national level, sample estimates were required to be “weighted”. This ensured that national estimates reflected the national population of services, rather than the subset of services that submitted data (e.g. services from a particular jurisdiction). Five methods were used to weight the data and calculate national level estimates. The approach for modelling data is included in </w:t>
      </w:r>
      <w:r w:rsidR="00433FBB" w:rsidRPr="00315F60">
        <w:fldChar w:fldCharType="begin"/>
      </w:r>
      <w:r w:rsidR="00433FBB" w:rsidRPr="00315F60">
        <w:instrText xml:space="preserve"> REF _Ref25417853 \w \h </w:instrText>
      </w:r>
      <w:r w:rsidR="00BF4B1D" w:rsidRPr="00315F60">
        <w:instrText xml:space="preserve"> \* MERGEFORMAT </w:instrText>
      </w:r>
      <w:r w:rsidR="00433FBB" w:rsidRPr="00315F60">
        <w:fldChar w:fldCharType="separate"/>
      </w:r>
      <w:r w:rsidR="004355CA" w:rsidRPr="00315F60">
        <w:t>Appendix E</w:t>
      </w:r>
      <w:r w:rsidR="00433FBB" w:rsidRPr="00315F60">
        <w:fldChar w:fldCharType="end"/>
      </w:r>
      <w:r w:rsidRPr="00315F60">
        <w:t xml:space="preserve"> of this report.</w:t>
      </w:r>
    </w:p>
    <w:p w:rsidR="00BC6CE1" w:rsidRPr="00315F60" w:rsidRDefault="00BC6CE1" w:rsidP="00BC6CE1">
      <w:pPr>
        <w:pStyle w:val="Heading3"/>
        <w:rPr>
          <w:color w:val="auto"/>
        </w:rPr>
      </w:pPr>
      <w:r w:rsidRPr="00315F60">
        <w:rPr>
          <w:color w:val="auto"/>
        </w:rPr>
        <w:t>Analysis</w:t>
      </w:r>
      <w:bookmarkEnd w:id="92"/>
    </w:p>
    <w:p w:rsidR="00BC6CE1" w:rsidRPr="00315F60" w:rsidRDefault="00BC6CE1" w:rsidP="00BC6CE1">
      <w:r w:rsidRPr="00315F60">
        <w:t xml:space="preserve">Three main pieces of analysis were undertaken as part of the study: </w:t>
      </w:r>
    </w:p>
    <w:p w:rsidR="00BC6CE1" w:rsidRPr="00315F60" w:rsidRDefault="00BC6CE1" w:rsidP="002E7D8E">
      <w:pPr>
        <w:pStyle w:val="Numberbullet1stlevel"/>
        <w:numPr>
          <w:ilvl w:val="0"/>
          <w:numId w:val="2"/>
        </w:numPr>
      </w:pPr>
      <w:r w:rsidRPr="00315F60">
        <w:t>Descriptive analysis of the participating services and providers</w:t>
      </w:r>
    </w:p>
    <w:p w:rsidR="00BC6CE1" w:rsidRPr="00315F60" w:rsidRDefault="00BC6CE1" w:rsidP="002E7D8E">
      <w:pPr>
        <w:pStyle w:val="Numberbullet1stlevel"/>
        <w:numPr>
          <w:ilvl w:val="0"/>
          <w:numId w:val="28"/>
        </w:numPr>
      </w:pPr>
      <w:r w:rsidRPr="00315F60">
        <w:t>Descriptive analysis of the Type 1 and Type 2 incidents</w:t>
      </w:r>
    </w:p>
    <w:p w:rsidR="00BC6CE1" w:rsidRPr="00315F60" w:rsidRDefault="00BC6CE1" w:rsidP="002E7D8E">
      <w:pPr>
        <w:pStyle w:val="Numberbullet1stlevel"/>
        <w:numPr>
          <w:ilvl w:val="0"/>
          <w:numId w:val="28"/>
        </w:numPr>
      </w:pPr>
      <w:r w:rsidRPr="00315F60">
        <w:t xml:space="preserve">Modelling the incidents from the sample to </w:t>
      </w:r>
      <w:r w:rsidR="00B202EC" w:rsidRPr="00315F60">
        <w:t xml:space="preserve">present </w:t>
      </w:r>
      <w:r w:rsidRPr="00315F60">
        <w:t>a national estimate of incidents.</w:t>
      </w:r>
    </w:p>
    <w:p w:rsidR="00BC6CE1" w:rsidRPr="00315F60" w:rsidRDefault="00BC6CE1" w:rsidP="00BC6CE1">
      <w:pPr>
        <w:pStyle w:val="BodyText"/>
      </w:pPr>
      <w:r w:rsidRPr="00315F60">
        <w:t xml:space="preserve">The purpose of the descriptive analysis was to understand whether the sample of services was representative of the national population of residential aged care services. </w:t>
      </w:r>
    </w:p>
    <w:p w:rsidR="00BC6CE1" w:rsidRPr="00315F60" w:rsidRDefault="00BC6CE1" w:rsidP="00BC6CE1">
      <w:pPr>
        <w:pStyle w:val="BodyText"/>
        <w:rPr>
          <w:b/>
        </w:rPr>
      </w:pPr>
      <w:r w:rsidRPr="00315F60">
        <w:t>It is not possible for a sample to perfectly represent the population from which it is drawn. This is the case with the sample of services that part</w:t>
      </w:r>
      <w:r w:rsidR="006D2780" w:rsidRPr="00315F60">
        <w:t xml:space="preserve">icipated in the study. Section </w:t>
      </w:r>
      <w:r w:rsidR="002E7D8E" w:rsidRPr="00315F60">
        <w:fldChar w:fldCharType="begin"/>
      </w:r>
      <w:r w:rsidR="002E7D8E" w:rsidRPr="00315F60">
        <w:instrText xml:space="preserve"> REF _Ref25416810 \w \h </w:instrText>
      </w:r>
      <w:r w:rsidR="002E7D8E" w:rsidRPr="00315F60">
        <w:fldChar w:fldCharType="separate"/>
      </w:r>
      <w:r w:rsidR="004355CA" w:rsidRPr="00315F60">
        <w:t>3</w:t>
      </w:r>
      <w:r w:rsidR="002E7D8E" w:rsidRPr="00315F60">
        <w:fldChar w:fldCharType="end"/>
      </w:r>
      <w:r w:rsidRPr="00315F60">
        <w:t xml:space="preserve"> outlines some of the limitations of the sample in terms of providers and services, jurisdiction, remoteness, size (number of residential places) and occupancy. </w:t>
      </w:r>
      <w:r w:rsidRPr="00315F60">
        <w:rPr>
          <w:b/>
        </w:rPr>
        <w:t>These limitations need to be considered when interpreting the modelled estimates.</w:t>
      </w:r>
    </w:p>
    <w:p w:rsidR="00BC6CE1" w:rsidRPr="00315F60" w:rsidRDefault="00BC6CE1" w:rsidP="00EF6B6C">
      <w:pPr>
        <w:pStyle w:val="BodyTextkeepwithnext"/>
      </w:pPr>
      <w:r w:rsidRPr="00315F60">
        <w:lastRenderedPageBreak/>
        <w:t>Descriptive analysis of the Type 1 and Type 2 incidents reported by aged care services was used to understand the number and nature of incidents. Type 1 incident analysis focused on the characteristics of the incidents, namely:</w:t>
      </w:r>
    </w:p>
    <w:p w:rsidR="00BC6CE1" w:rsidRPr="00315F60" w:rsidRDefault="00BC6CE1" w:rsidP="007F13A4">
      <w:pPr>
        <w:pStyle w:val="Bullet1stlevel"/>
      </w:pPr>
      <w:r w:rsidRPr="00315F60">
        <w:t>When (by month)</w:t>
      </w:r>
    </w:p>
    <w:p w:rsidR="00BC6CE1" w:rsidRPr="00315F60" w:rsidRDefault="00BC6CE1" w:rsidP="007F13A4">
      <w:pPr>
        <w:pStyle w:val="Bullet1stlevel"/>
      </w:pPr>
      <w:r w:rsidRPr="00315F60">
        <w:t>Reportable assault type (</w:t>
      </w:r>
      <w:r w:rsidR="00B202EC" w:rsidRPr="00315F60">
        <w:t>u</w:t>
      </w:r>
      <w:r w:rsidRPr="00315F60">
        <w:t xml:space="preserve">nreasonable use of force or </w:t>
      </w:r>
      <w:r w:rsidR="00B202EC" w:rsidRPr="00315F60">
        <w:t>u</w:t>
      </w:r>
      <w:r w:rsidRPr="00315F60">
        <w:t>nlawful sexual contact)</w:t>
      </w:r>
    </w:p>
    <w:p w:rsidR="00BC6CE1" w:rsidRPr="00315F60" w:rsidRDefault="00BC6CE1" w:rsidP="007F13A4">
      <w:pPr>
        <w:pStyle w:val="Bullet1stlevel"/>
      </w:pPr>
      <w:r w:rsidRPr="00315F60">
        <w:t>Perpetrator behaviours</w:t>
      </w:r>
    </w:p>
    <w:p w:rsidR="00BC6CE1" w:rsidRPr="00315F60" w:rsidRDefault="00BC6CE1" w:rsidP="007F13A4">
      <w:pPr>
        <w:pStyle w:val="Bullet1stlevel"/>
      </w:pPr>
      <w:r w:rsidRPr="00315F60">
        <w:t>Victim impact</w:t>
      </w:r>
    </w:p>
    <w:p w:rsidR="00BC6CE1" w:rsidRPr="00315F60" w:rsidRDefault="00BC6CE1" w:rsidP="007F13A4">
      <w:pPr>
        <w:pStyle w:val="Bullet1stlevel"/>
      </w:pPr>
      <w:r w:rsidRPr="00315F60">
        <w:t xml:space="preserve">Service response. </w:t>
      </w:r>
    </w:p>
    <w:p w:rsidR="00BC6CE1" w:rsidRPr="00315F60" w:rsidRDefault="00BC6CE1" w:rsidP="00BC6CE1">
      <w:pPr>
        <w:pStyle w:val="BodyText"/>
      </w:pPr>
      <w:r w:rsidRPr="00315F60">
        <w:t>Some detailed incident level analysis was undertaken. This included analysing reportable assault types by perpetrator behaviour, victim impact and service response. However</w:t>
      </w:r>
      <w:r w:rsidR="002E7D8E" w:rsidRPr="00315F60">
        <w:t>,</w:t>
      </w:r>
      <w:r w:rsidR="00902110" w:rsidRPr="00315F60">
        <w:t xml:space="preserve"> undertaking detailed incident breakdowns</w:t>
      </w:r>
      <w:r w:rsidR="00145ABB" w:rsidRPr="00315F60">
        <w:t xml:space="preserve"> (or cross-tabulations)</w:t>
      </w:r>
      <w:r w:rsidR="00902110" w:rsidRPr="00315F60">
        <w:t xml:space="preserve"> by</w:t>
      </w:r>
      <w:r w:rsidRPr="00315F60">
        <w:t xml:space="preserve"> </w:t>
      </w:r>
      <w:r w:rsidR="00393F6D" w:rsidRPr="00315F60">
        <w:t>reportable assault t</w:t>
      </w:r>
      <w:r w:rsidR="00902110" w:rsidRPr="00315F60">
        <w:t>ype,</w:t>
      </w:r>
      <w:r w:rsidR="00393F6D" w:rsidRPr="00315F60">
        <w:t xml:space="preserve"> perpetrator behaviour, </w:t>
      </w:r>
      <w:r w:rsidR="00902110" w:rsidRPr="00315F60">
        <w:t>v</w:t>
      </w:r>
      <w:r w:rsidR="00393F6D" w:rsidRPr="00315F60">
        <w:t>ictim impact and by service response</w:t>
      </w:r>
      <w:r w:rsidR="00902110" w:rsidRPr="00315F60">
        <w:t xml:space="preserve"> simultaneously</w:t>
      </w:r>
      <w:r w:rsidRPr="00315F60">
        <w:t xml:space="preserve"> did not provide additional insights due to the distributions inherent within each individual variable. Distributions within each variable were often dominated by a par</w:t>
      </w:r>
      <w:r w:rsidR="002E7D8E" w:rsidRPr="00315F60">
        <w:t xml:space="preserve">ticular response category </w:t>
      </w:r>
      <w:r w:rsidR="00393F6D" w:rsidRPr="00315F60">
        <w:t xml:space="preserve">e.g. </w:t>
      </w:r>
      <w:r w:rsidRPr="00315F60">
        <w:t>unreasonable use of force was selected in 95 per cent of incidents</w:t>
      </w:r>
      <w:r w:rsidR="00393F6D" w:rsidRPr="00315F60">
        <w:t xml:space="preserve"> and update made to the perpetrator’s care plan was selected as a service response for 82 per cent of incidents</w:t>
      </w:r>
      <w:r w:rsidRPr="00315F60">
        <w:t xml:space="preserve">. </w:t>
      </w:r>
    </w:p>
    <w:p w:rsidR="00896491" w:rsidRPr="00315F60" w:rsidRDefault="00896491" w:rsidP="00BC6CE1">
      <w:pPr>
        <w:pStyle w:val="BodyText"/>
      </w:pPr>
      <w:r w:rsidRPr="00315F60">
        <w:rPr>
          <w:i/>
          <w:noProof/>
          <w:sz w:val="18"/>
          <w:szCs w:val="18"/>
          <w:lang w:eastAsia="en-AU"/>
        </w:rPr>
        <mc:AlternateContent>
          <mc:Choice Requires="wps">
            <w:drawing>
              <wp:inline distT="0" distB="0" distL="0" distR="0" wp14:anchorId="504EA1D6" wp14:editId="73A36AFA">
                <wp:extent cx="5748728" cy="1404620"/>
                <wp:effectExtent l="0" t="0" r="23495" b="2667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28" cy="1404620"/>
                        </a:xfrm>
                        <a:prstGeom prst="rect">
                          <a:avLst/>
                        </a:prstGeom>
                        <a:noFill/>
                        <a:ln w="9525">
                          <a:solidFill>
                            <a:srgbClr val="000000"/>
                          </a:solidFill>
                          <a:miter lim="800000"/>
                          <a:headEnd/>
                          <a:tailEnd/>
                        </a:ln>
                      </wps:spPr>
                      <wps:txbx>
                        <w:txbxContent>
                          <w:p w:rsidR="00896491" w:rsidRPr="00EF6B6C" w:rsidRDefault="00896491" w:rsidP="00896491">
                            <w:pPr>
                              <w:pStyle w:val="BodyText"/>
                              <w:jc w:val="left"/>
                              <w:rPr>
                                <w:b/>
                              </w:rPr>
                            </w:pPr>
                            <w:r w:rsidRPr="00EF6B6C">
                              <w:rPr>
                                <w:b/>
                              </w:rPr>
                              <w:t xml:space="preserve">Summary of key findings </w:t>
                            </w:r>
                          </w:p>
                          <w:p w:rsidR="00896491" w:rsidRPr="009F1F87" w:rsidRDefault="00896491" w:rsidP="00896491">
                            <w:pPr>
                              <w:pStyle w:val="ListBullet"/>
                              <w:ind w:left="340"/>
                              <w:rPr>
                                <w:rFonts w:eastAsia="SimSun" w:cs="Times New Roman"/>
                                <w:szCs w:val="20"/>
                              </w:rPr>
                            </w:pPr>
                            <w:r w:rsidRPr="009F1F87">
                              <w:rPr>
                                <w:rFonts w:eastAsia="SimSun" w:cs="Times New Roman"/>
                                <w:szCs w:val="20"/>
                              </w:rPr>
                              <w:t>A total of 196 submissions were received during the data collection period. 179 submissions were used for data analysis and modelling. 17 submissions were excluded during the data validation process.</w:t>
                            </w:r>
                          </w:p>
                          <w:p w:rsidR="00896491" w:rsidRPr="009F1F87" w:rsidRDefault="00896491" w:rsidP="00896491">
                            <w:pPr>
                              <w:pStyle w:val="ListBullet"/>
                              <w:ind w:left="340"/>
                              <w:rPr>
                                <w:rFonts w:eastAsia="SimSun" w:cs="Times New Roman"/>
                                <w:szCs w:val="20"/>
                              </w:rPr>
                            </w:pPr>
                            <w:r w:rsidRPr="009F1F87">
                              <w:rPr>
                                <w:rFonts w:eastAsia="SimSun" w:cs="Times New Roman"/>
                                <w:szCs w:val="20"/>
                              </w:rPr>
                              <w:t>Data analysis involved three different types of analysis:</w:t>
                            </w:r>
                          </w:p>
                          <w:p w:rsidR="00896491" w:rsidRDefault="00896491" w:rsidP="00896491">
                            <w:pPr>
                              <w:pStyle w:val="ListBullet2"/>
                            </w:pPr>
                            <w:r>
                              <w:t xml:space="preserve">Descriptive analysis of </w:t>
                            </w:r>
                            <w:r w:rsidRPr="00D0293A">
                              <w:t xml:space="preserve">participating services and providers to understand whether the sample </w:t>
                            </w:r>
                            <w:r>
                              <w:t xml:space="preserve">of services was </w:t>
                            </w:r>
                            <w:r w:rsidRPr="00D0293A">
                              <w:t>representative of the national population of</w:t>
                            </w:r>
                            <w:r>
                              <w:t xml:space="preserve"> residential aged care services, noting i</w:t>
                            </w:r>
                            <w:r w:rsidRPr="00D0293A">
                              <w:t>t is not possible for a sample to perfectly represent the population from which it is drawn.</w:t>
                            </w:r>
                          </w:p>
                          <w:p w:rsidR="00896491" w:rsidRDefault="00896491" w:rsidP="00896491">
                            <w:pPr>
                              <w:pStyle w:val="ListBullet2"/>
                            </w:pPr>
                            <w:r>
                              <w:t>Descriptive analysis of Type 1 and Type 2 incidents to understand the number and nature of incidents that were reported.</w:t>
                            </w:r>
                          </w:p>
                          <w:p w:rsidR="00896491" w:rsidRDefault="00896491" w:rsidP="00896491">
                            <w:pPr>
                              <w:pStyle w:val="ListBullet2"/>
                            </w:pPr>
                            <w:r>
                              <w:t>Modelling of incidents to generate national estimates.</w:t>
                            </w:r>
                          </w:p>
                        </w:txbxContent>
                      </wps:txbx>
                      <wps:bodyPr rot="0" vert="horz" wrap="square" lIns="91440" tIns="45720" rIns="91440" bIns="45720" anchor="t" anchorCtr="0">
                        <a:spAutoFit/>
                      </wps:bodyPr>
                    </wps:wsp>
                  </a:graphicData>
                </a:graphic>
              </wp:inline>
            </w:drawing>
          </mc:Choice>
          <mc:Fallback>
            <w:pict>
              <v:shape w14:anchorId="504EA1D6" id="Text Box 3" o:spid="_x0000_s1027" type="#_x0000_t202" style="width:45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" filled="f">
                <v:textbox style="mso-fit-shape-to-text:t">
                  <w:txbxContent>
                    <w:p w:rsidR="00896491" w:rsidRPr="00EF6B6C" w:rsidRDefault="00896491" w:rsidP="00896491">
                      <w:pPr>
                        <w:pStyle w:val="BodyText"/>
                        <w:jc w:val="left"/>
                        <w:rPr>
                          <w:b/>
                        </w:rPr>
                      </w:pPr>
                      <w:r w:rsidRPr="00EF6B6C">
                        <w:rPr>
                          <w:b/>
                        </w:rPr>
                        <w:t xml:space="preserve">Summary of key findings </w:t>
                      </w:r>
                    </w:p>
                    <w:p w:rsidR="00896491" w:rsidRPr="009F1F87" w:rsidRDefault="00896491" w:rsidP="00896491">
                      <w:pPr>
                        <w:pStyle w:val="ListBullet"/>
                        <w:ind w:left="340"/>
                        <w:rPr>
                          <w:rFonts w:eastAsia="SimSun" w:cs="Times New Roman"/>
                          <w:szCs w:val="20"/>
                        </w:rPr>
                      </w:pPr>
                      <w:r w:rsidRPr="009F1F87">
                        <w:rPr>
                          <w:rFonts w:eastAsia="SimSun" w:cs="Times New Roman"/>
                          <w:szCs w:val="20"/>
                        </w:rPr>
                        <w:t>A total of 196 submissions were received during the data collection period. 179 submissions were used for data analysis and modelling. 17 submissions were excluded during the data validation process.</w:t>
                      </w:r>
                    </w:p>
                    <w:p w:rsidR="00896491" w:rsidRPr="009F1F87" w:rsidRDefault="00896491" w:rsidP="00896491">
                      <w:pPr>
                        <w:pStyle w:val="ListBullet"/>
                        <w:ind w:left="340"/>
                        <w:rPr>
                          <w:rFonts w:eastAsia="SimSun" w:cs="Times New Roman"/>
                          <w:szCs w:val="20"/>
                        </w:rPr>
                      </w:pPr>
                      <w:r w:rsidRPr="009F1F87">
                        <w:rPr>
                          <w:rFonts w:eastAsia="SimSun" w:cs="Times New Roman"/>
                          <w:szCs w:val="20"/>
                        </w:rPr>
                        <w:t>Data analysis involved three different types of analysis:</w:t>
                      </w:r>
                    </w:p>
                    <w:p w:rsidR="00896491" w:rsidRDefault="00896491" w:rsidP="00896491">
                      <w:pPr>
                        <w:pStyle w:val="ListBullet2"/>
                      </w:pPr>
                      <w:r>
                        <w:t xml:space="preserve">Descriptive analysis of </w:t>
                      </w:r>
                      <w:r w:rsidRPr="00D0293A">
                        <w:t xml:space="preserve">participating services and providers to understand whether the sample </w:t>
                      </w:r>
                      <w:r>
                        <w:t xml:space="preserve">of services was </w:t>
                      </w:r>
                      <w:r w:rsidRPr="00D0293A">
                        <w:t>representative of the national population of</w:t>
                      </w:r>
                      <w:r>
                        <w:t xml:space="preserve"> residential aged care services, noting i</w:t>
                      </w:r>
                      <w:r w:rsidRPr="00D0293A">
                        <w:t>t is not possible for a sample to perfectly represent the population from which it is drawn.</w:t>
                      </w:r>
                    </w:p>
                    <w:p w:rsidR="00896491" w:rsidRDefault="00896491" w:rsidP="00896491">
                      <w:pPr>
                        <w:pStyle w:val="ListBullet2"/>
                      </w:pPr>
                      <w:r>
                        <w:t>Descriptive analysis of Type 1 and Type 2 incidents to understand the number and nature of incidents that were reported.</w:t>
                      </w:r>
                    </w:p>
                    <w:p w:rsidR="00896491" w:rsidRDefault="00896491" w:rsidP="00896491">
                      <w:pPr>
                        <w:pStyle w:val="ListBullet2"/>
                      </w:pPr>
                      <w:r>
                        <w:t>Modelling of incidents to generate national estimates.</w:t>
                      </w:r>
                    </w:p>
                  </w:txbxContent>
                </v:textbox>
                <w10:anchorlock/>
              </v:shape>
            </w:pict>
          </mc:Fallback>
        </mc:AlternateContent>
      </w:r>
    </w:p>
    <w:p w:rsidR="00524FAA" w:rsidRPr="00315F60" w:rsidRDefault="003C02A7" w:rsidP="00EF6B6C">
      <w:pPr>
        <w:pStyle w:val="Heading1"/>
        <w:rPr>
          <w:color w:val="auto"/>
        </w:rPr>
      </w:pPr>
      <w:bookmarkStart w:id="93" w:name="_Ref25416810"/>
      <w:bookmarkStart w:id="94" w:name="_Toc26979135"/>
      <w:r w:rsidRPr="00315F60">
        <w:rPr>
          <w:color w:val="auto"/>
        </w:rPr>
        <w:lastRenderedPageBreak/>
        <w:t>F</w:t>
      </w:r>
      <w:r w:rsidR="00524FAA" w:rsidRPr="00315F60">
        <w:rPr>
          <w:color w:val="auto"/>
        </w:rPr>
        <w:t>indings</w:t>
      </w:r>
      <w:bookmarkEnd w:id="51"/>
      <w:bookmarkEnd w:id="93"/>
      <w:bookmarkEnd w:id="94"/>
    </w:p>
    <w:p w:rsidR="00D9569C" w:rsidRPr="00315F60" w:rsidRDefault="00D9569C" w:rsidP="002E7D8E">
      <w:pPr>
        <w:pStyle w:val="Heading2"/>
        <w:rPr>
          <w:color w:val="auto"/>
        </w:rPr>
      </w:pPr>
      <w:bookmarkStart w:id="95" w:name="_Toc9428667"/>
      <w:bookmarkStart w:id="96" w:name="_Toc9428668"/>
      <w:bookmarkStart w:id="97" w:name="_Toc9428671"/>
      <w:bookmarkStart w:id="98" w:name="_Toc9428672"/>
      <w:bookmarkStart w:id="99" w:name="_Toc9428673"/>
      <w:bookmarkStart w:id="100" w:name="_Toc23363981"/>
      <w:bookmarkStart w:id="101" w:name="_Toc23364408"/>
      <w:bookmarkStart w:id="102" w:name="_Toc23363982"/>
      <w:bookmarkStart w:id="103" w:name="_Toc23364409"/>
      <w:bookmarkStart w:id="104" w:name="_Toc23363983"/>
      <w:bookmarkStart w:id="105" w:name="_Toc23364410"/>
      <w:bookmarkStart w:id="106" w:name="_Toc23363984"/>
      <w:bookmarkStart w:id="107" w:name="_Toc23364411"/>
      <w:bookmarkStart w:id="108" w:name="_Toc23363985"/>
      <w:bookmarkStart w:id="109" w:name="_Toc23364412"/>
      <w:bookmarkStart w:id="110" w:name="_Toc23363986"/>
      <w:bookmarkStart w:id="111" w:name="_Toc23364413"/>
      <w:bookmarkStart w:id="112" w:name="_Toc23363987"/>
      <w:bookmarkStart w:id="113" w:name="_Toc23364414"/>
      <w:bookmarkStart w:id="114" w:name="_Toc23363988"/>
      <w:bookmarkStart w:id="115" w:name="_Toc23364415"/>
      <w:bookmarkStart w:id="116" w:name="_Toc23363989"/>
      <w:bookmarkStart w:id="117" w:name="_Toc23364416"/>
      <w:bookmarkStart w:id="118" w:name="_Toc23363990"/>
      <w:bookmarkStart w:id="119" w:name="_Toc23364417"/>
      <w:bookmarkStart w:id="120" w:name="_Toc23363991"/>
      <w:bookmarkStart w:id="121" w:name="_Toc23364418"/>
      <w:bookmarkStart w:id="122" w:name="_Toc23363992"/>
      <w:bookmarkStart w:id="123" w:name="_Toc23364419"/>
      <w:bookmarkStart w:id="124" w:name="_Toc23363993"/>
      <w:bookmarkStart w:id="125" w:name="_Toc23364420"/>
      <w:bookmarkStart w:id="126" w:name="_Toc23363994"/>
      <w:bookmarkStart w:id="127" w:name="_Toc23364421"/>
      <w:bookmarkStart w:id="128" w:name="_Toc23363995"/>
      <w:bookmarkStart w:id="129" w:name="_Toc23364422"/>
      <w:bookmarkStart w:id="130" w:name="_Toc23363996"/>
      <w:bookmarkStart w:id="131" w:name="_Toc23364423"/>
      <w:bookmarkStart w:id="132" w:name="_Toc23363997"/>
      <w:bookmarkStart w:id="133" w:name="_Toc23364424"/>
      <w:bookmarkStart w:id="134" w:name="_Toc23363998"/>
      <w:bookmarkStart w:id="135" w:name="_Toc23364425"/>
      <w:bookmarkStart w:id="136" w:name="_Toc23363999"/>
      <w:bookmarkStart w:id="137" w:name="_Toc23364426"/>
      <w:bookmarkStart w:id="138" w:name="_Toc23364000"/>
      <w:bookmarkStart w:id="139" w:name="_Toc23364427"/>
      <w:bookmarkStart w:id="140" w:name="_Toc23364001"/>
      <w:bookmarkStart w:id="141" w:name="_Toc23364428"/>
      <w:bookmarkStart w:id="142" w:name="_Toc23364002"/>
      <w:bookmarkStart w:id="143" w:name="_Toc23364429"/>
      <w:bookmarkStart w:id="144" w:name="_Toc23364003"/>
      <w:bookmarkStart w:id="145" w:name="_Toc23364430"/>
      <w:bookmarkStart w:id="146" w:name="_Toc23364004"/>
      <w:bookmarkStart w:id="147" w:name="_Toc23364431"/>
      <w:bookmarkStart w:id="148" w:name="_Toc23364005"/>
      <w:bookmarkStart w:id="149" w:name="_Toc23364432"/>
      <w:bookmarkStart w:id="150" w:name="_Toc23364006"/>
      <w:bookmarkStart w:id="151" w:name="_Toc23364433"/>
      <w:bookmarkStart w:id="152" w:name="_Toc23364007"/>
      <w:bookmarkStart w:id="153" w:name="_Toc23364434"/>
      <w:bookmarkStart w:id="154" w:name="_Toc23364008"/>
      <w:bookmarkStart w:id="155" w:name="_Toc23364435"/>
      <w:bookmarkStart w:id="156" w:name="_Toc23364009"/>
      <w:bookmarkStart w:id="157" w:name="_Toc23364436"/>
      <w:bookmarkStart w:id="158" w:name="_Toc23364010"/>
      <w:bookmarkStart w:id="159" w:name="_Toc23364437"/>
      <w:bookmarkStart w:id="160" w:name="_Toc23364011"/>
      <w:bookmarkStart w:id="161" w:name="_Toc23364438"/>
      <w:bookmarkStart w:id="162" w:name="_Toc23364012"/>
      <w:bookmarkStart w:id="163" w:name="_Toc23364439"/>
      <w:bookmarkStart w:id="164" w:name="_Toc23364013"/>
      <w:bookmarkStart w:id="165" w:name="_Toc23364440"/>
      <w:bookmarkStart w:id="166" w:name="_Toc23364014"/>
      <w:bookmarkStart w:id="167" w:name="_Toc23364441"/>
      <w:bookmarkStart w:id="168" w:name="_Toc23364015"/>
      <w:bookmarkStart w:id="169" w:name="_Toc23364442"/>
      <w:bookmarkStart w:id="170" w:name="_Toc23364016"/>
      <w:bookmarkStart w:id="171" w:name="_Toc23364443"/>
      <w:bookmarkStart w:id="172" w:name="_Toc23364017"/>
      <w:bookmarkStart w:id="173" w:name="_Toc23364444"/>
      <w:bookmarkStart w:id="174" w:name="_Toc23364018"/>
      <w:bookmarkStart w:id="175" w:name="_Toc23364445"/>
      <w:bookmarkStart w:id="176" w:name="_Toc23364019"/>
      <w:bookmarkStart w:id="177" w:name="_Toc23364446"/>
      <w:bookmarkStart w:id="178" w:name="_Toc23364020"/>
      <w:bookmarkStart w:id="179" w:name="_Toc23364447"/>
      <w:bookmarkStart w:id="180" w:name="_Toc23364021"/>
      <w:bookmarkStart w:id="181" w:name="_Toc23364448"/>
      <w:bookmarkStart w:id="182" w:name="_Toc23364022"/>
      <w:bookmarkStart w:id="183" w:name="_Toc23364449"/>
      <w:bookmarkStart w:id="184" w:name="_Toc23364023"/>
      <w:bookmarkStart w:id="185" w:name="_Toc23364450"/>
      <w:bookmarkStart w:id="186" w:name="_Toc23364024"/>
      <w:bookmarkStart w:id="187" w:name="_Toc23364451"/>
      <w:bookmarkStart w:id="188" w:name="_Toc23364025"/>
      <w:bookmarkStart w:id="189" w:name="_Toc23364452"/>
      <w:bookmarkStart w:id="190" w:name="_Toc23364026"/>
      <w:bookmarkStart w:id="191" w:name="_Toc23364453"/>
      <w:bookmarkStart w:id="192" w:name="_Toc23364027"/>
      <w:bookmarkStart w:id="193" w:name="_Toc23364454"/>
      <w:bookmarkStart w:id="194" w:name="_Toc23364028"/>
      <w:bookmarkStart w:id="195" w:name="_Toc23364455"/>
      <w:bookmarkStart w:id="196" w:name="_Toc23364029"/>
      <w:bookmarkStart w:id="197" w:name="_Toc23364456"/>
      <w:bookmarkStart w:id="198" w:name="_Toc23364030"/>
      <w:bookmarkStart w:id="199" w:name="_Toc23364457"/>
      <w:bookmarkStart w:id="200" w:name="_Toc23364031"/>
      <w:bookmarkStart w:id="201" w:name="_Toc23364458"/>
      <w:bookmarkStart w:id="202" w:name="_Toc23364032"/>
      <w:bookmarkStart w:id="203" w:name="_Toc23364459"/>
      <w:bookmarkStart w:id="204" w:name="_Toc23364033"/>
      <w:bookmarkStart w:id="205" w:name="_Toc23364460"/>
      <w:bookmarkStart w:id="206" w:name="_Toc23364034"/>
      <w:bookmarkStart w:id="207" w:name="_Toc23364461"/>
      <w:bookmarkStart w:id="208" w:name="_Toc23364035"/>
      <w:bookmarkStart w:id="209" w:name="_Toc23364462"/>
      <w:bookmarkStart w:id="210" w:name="_Toc23364036"/>
      <w:bookmarkStart w:id="211" w:name="_Toc23364463"/>
      <w:bookmarkStart w:id="212" w:name="_Toc23364037"/>
      <w:bookmarkStart w:id="213" w:name="_Toc23364464"/>
      <w:bookmarkStart w:id="214" w:name="_Toc23364062"/>
      <w:bookmarkStart w:id="215" w:name="_Toc23364489"/>
      <w:bookmarkStart w:id="216" w:name="_Toc23364063"/>
      <w:bookmarkStart w:id="217" w:name="_Toc23364490"/>
      <w:bookmarkStart w:id="218" w:name="_Toc23364064"/>
      <w:bookmarkStart w:id="219" w:name="_Toc23364491"/>
      <w:bookmarkStart w:id="220" w:name="_Toc23364065"/>
      <w:bookmarkStart w:id="221" w:name="_Toc23364492"/>
      <w:bookmarkStart w:id="222" w:name="_Toc23364066"/>
      <w:bookmarkStart w:id="223" w:name="_Toc23364493"/>
      <w:bookmarkStart w:id="224" w:name="_Toc23364067"/>
      <w:bookmarkStart w:id="225" w:name="_Toc23364494"/>
      <w:bookmarkStart w:id="226" w:name="_Toc23364068"/>
      <w:bookmarkStart w:id="227" w:name="_Toc23364495"/>
      <w:bookmarkStart w:id="228" w:name="_Toc23364069"/>
      <w:bookmarkStart w:id="229" w:name="_Toc23364496"/>
      <w:bookmarkStart w:id="230" w:name="_Toc23364070"/>
      <w:bookmarkStart w:id="231" w:name="_Toc23364497"/>
      <w:bookmarkStart w:id="232" w:name="_Toc23364071"/>
      <w:bookmarkStart w:id="233" w:name="_Toc23364498"/>
      <w:bookmarkStart w:id="234" w:name="_Toc23364072"/>
      <w:bookmarkStart w:id="235" w:name="_Toc23364499"/>
      <w:bookmarkStart w:id="236" w:name="_Toc23364073"/>
      <w:bookmarkStart w:id="237" w:name="_Toc23364500"/>
      <w:bookmarkStart w:id="238" w:name="_Toc23364074"/>
      <w:bookmarkStart w:id="239" w:name="_Toc23364501"/>
      <w:bookmarkStart w:id="240" w:name="_Toc23364075"/>
      <w:bookmarkStart w:id="241" w:name="_Toc23364502"/>
      <w:bookmarkStart w:id="242" w:name="_Toc23364076"/>
      <w:bookmarkStart w:id="243" w:name="_Toc23364503"/>
      <w:bookmarkStart w:id="244" w:name="_Toc23364077"/>
      <w:bookmarkStart w:id="245" w:name="_Toc23364504"/>
      <w:bookmarkStart w:id="246" w:name="_Toc23364078"/>
      <w:bookmarkStart w:id="247" w:name="_Toc23364505"/>
      <w:bookmarkStart w:id="248" w:name="_Toc23364079"/>
      <w:bookmarkStart w:id="249" w:name="_Toc23364506"/>
      <w:bookmarkStart w:id="250" w:name="_Toc23364080"/>
      <w:bookmarkStart w:id="251" w:name="_Toc23364507"/>
      <w:bookmarkStart w:id="252" w:name="_Toc23364081"/>
      <w:bookmarkStart w:id="253" w:name="_Toc23364508"/>
      <w:bookmarkStart w:id="254" w:name="_Toc23364082"/>
      <w:bookmarkStart w:id="255" w:name="_Toc23364509"/>
      <w:bookmarkStart w:id="256" w:name="_Toc23364083"/>
      <w:bookmarkStart w:id="257" w:name="_Toc23364510"/>
      <w:bookmarkStart w:id="258" w:name="_Toc23364084"/>
      <w:bookmarkStart w:id="259" w:name="_Toc23364511"/>
      <w:bookmarkStart w:id="260" w:name="_Toc23364085"/>
      <w:bookmarkStart w:id="261" w:name="_Toc23364512"/>
      <w:bookmarkStart w:id="262" w:name="_Toc23364086"/>
      <w:bookmarkStart w:id="263" w:name="_Toc23364513"/>
      <w:bookmarkStart w:id="264" w:name="_Toc23364087"/>
      <w:bookmarkStart w:id="265" w:name="_Toc23364514"/>
      <w:bookmarkStart w:id="266" w:name="_Toc23364088"/>
      <w:bookmarkStart w:id="267" w:name="_Toc23364515"/>
      <w:bookmarkStart w:id="268" w:name="_Toc23364089"/>
      <w:bookmarkStart w:id="269" w:name="_Toc23364516"/>
      <w:bookmarkStart w:id="270" w:name="_Toc23364090"/>
      <w:bookmarkStart w:id="271" w:name="_Toc23364517"/>
      <w:bookmarkStart w:id="272" w:name="_Toc23364091"/>
      <w:bookmarkStart w:id="273" w:name="_Toc23364518"/>
      <w:bookmarkStart w:id="274" w:name="_Toc23364132"/>
      <w:bookmarkStart w:id="275" w:name="_Toc23364559"/>
      <w:bookmarkStart w:id="276" w:name="_Toc23364133"/>
      <w:bookmarkStart w:id="277" w:name="_Toc23364560"/>
      <w:bookmarkStart w:id="278" w:name="_Toc23364134"/>
      <w:bookmarkStart w:id="279" w:name="_Toc23364561"/>
      <w:bookmarkStart w:id="280" w:name="_Toc23364135"/>
      <w:bookmarkStart w:id="281" w:name="_Toc23364562"/>
      <w:bookmarkStart w:id="282" w:name="_Toc23364136"/>
      <w:bookmarkStart w:id="283" w:name="_Toc23364563"/>
      <w:bookmarkStart w:id="284" w:name="_Toc23364137"/>
      <w:bookmarkStart w:id="285" w:name="_Toc23364564"/>
      <w:bookmarkStart w:id="286" w:name="_Toc23364138"/>
      <w:bookmarkStart w:id="287" w:name="_Toc23364565"/>
      <w:bookmarkStart w:id="288" w:name="_Toc23364139"/>
      <w:bookmarkStart w:id="289" w:name="_Toc23364566"/>
      <w:bookmarkStart w:id="290" w:name="_Toc23364140"/>
      <w:bookmarkStart w:id="291" w:name="_Toc23364567"/>
      <w:bookmarkStart w:id="292" w:name="_Toc23364141"/>
      <w:bookmarkStart w:id="293" w:name="_Toc23364568"/>
      <w:bookmarkStart w:id="294" w:name="_Toc23364142"/>
      <w:bookmarkStart w:id="295" w:name="_Toc23364569"/>
      <w:bookmarkStart w:id="296" w:name="_Toc23364171"/>
      <w:bookmarkStart w:id="297" w:name="_Toc23364598"/>
      <w:bookmarkStart w:id="298" w:name="_Toc23364172"/>
      <w:bookmarkStart w:id="299" w:name="_Toc23364599"/>
      <w:bookmarkStart w:id="300" w:name="_Toc23364173"/>
      <w:bookmarkStart w:id="301" w:name="_Toc23364600"/>
      <w:bookmarkStart w:id="302" w:name="_Toc23364174"/>
      <w:bookmarkStart w:id="303" w:name="_Toc23364601"/>
      <w:bookmarkStart w:id="304" w:name="_Toc23364175"/>
      <w:bookmarkStart w:id="305" w:name="_Toc23364602"/>
      <w:bookmarkStart w:id="306" w:name="_Toc23364176"/>
      <w:bookmarkStart w:id="307" w:name="_Toc23364603"/>
      <w:bookmarkStart w:id="308" w:name="_Toc23364177"/>
      <w:bookmarkStart w:id="309" w:name="_Toc23364604"/>
      <w:bookmarkStart w:id="310" w:name="_Toc23364178"/>
      <w:bookmarkStart w:id="311" w:name="_Toc23364605"/>
      <w:bookmarkStart w:id="312" w:name="_Toc23364179"/>
      <w:bookmarkStart w:id="313" w:name="_Toc23364606"/>
      <w:bookmarkStart w:id="314" w:name="_Toc23364180"/>
      <w:bookmarkStart w:id="315" w:name="_Toc23364607"/>
      <w:bookmarkStart w:id="316" w:name="_Toc23364181"/>
      <w:bookmarkStart w:id="317" w:name="_Toc23364608"/>
      <w:bookmarkStart w:id="318" w:name="_Toc23364182"/>
      <w:bookmarkStart w:id="319" w:name="_Toc23364609"/>
      <w:bookmarkStart w:id="320" w:name="_Toc23364183"/>
      <w:bookmarkStart w:id="321" w:name="_Toc23364610"/>
      <w:bookmarkStart w:id="322" w:name="_Toc23364184"/>
      <w:bookmarkStart w:id="323" w:name="_Toc23364611"/>
      <w:bookmarkStart w:id="324" w:name="_Toc23364185"/>
      <w:bookmarkStart w:id="325" w:name="_Toc23364612"/>
      <w:bookmarkStart w:id="326" w:name="_Toc23364186"/>
      <w:bookmarkStart w:id="327" w:name="_Toc23364613"/>
      <w:bookmarkStart w:id="328" w:name="_Toc23364187"/>
      <w:bookmarkStart w:id="329" w:name="_Toc23364614"/>
      <w:bookmarkStart w:id="330" w:name="_Toc23364188"/>
      <w:bookmarkStart w:id="331" w:name="_Toc23364615"/>
      <w:bookmarkStart w:id="332" w:name="_Toc23364189"/>
      <w:bookmarkStart w:id="333" w:name="_Toc23364616"/>
      <w:bookmarkStart w:id="334" w:name="_Toc23364190"/>
      <w:bookmarkStart w:id="335" w:name="_Toc23364617"/>
      <w:bookmarkStart w:id="336" w:name="_Toc23364191"/>
      <w:bookmarkStart w:id="337" w:name="_Toc23364618"/>
      <w:bookmarkStart w:id="338" w:name="_Toc23364192"/>
      <w:bookmarkStart w:id="339" w:name="_Toc23364619"/>
      <w:bookmarkStart w:id="340" w:name="_Toc23364193"/>
      <w:bookmarkStart w:id="341" w:name="_Toc23364620"/>
      <w:bookmarkStart w:id="342" w:name="_Toc23364194"/>
      <w:bookmarkStart w:id="343" w:name="_Toc23364621"/>
      <w:bookmarkStart w:id="344" w:name="_Toc23364195"/>
      <w:bookmarkStart w:id="345" w:name="_Toc23364622"/>
      <w:bookmarkStart w:id="346" w:name="_Toc23364196"/>
      <w:bookmarkStart w:id="347" w:name="_Toc23364623"/>
      <w:bookmarkStart w:id="348" w:name="_Toc23364197"/>
      <w:bookmarkStart w:id="349" w:name="_Toc23364624"/>
      <w:bookmarkStart w:id="350" w:name="_Toc23364198"/>
      <w:bookmarkStart w:id="351" w:name="_Toc23364625"/>
      <w:bookmarkStart w:id="352" w:name="_Toc23364199"/>
      <w:bookmarkStart w:id="353" w:name="_Toc23364626"/>
      <w:bookmarkStart w:id="354" w:name="_Toc23364200"/>
      <w:bookmarkStart w:id="355" w:name="_Toc23364627"/>
      <w:bookmarkStart w:id="356" w:name="_Toc23364201"/>
      <w:bookmarkStart w:id="357" w:name="_Toc23364628"/>
      <w:bookmarkStart w:id="358" w:name="_Toc23364202"/>
      <w:bookmarkStart w:id="359" w:name="_Toc23364629"/>
      <w:bookmarkStart w:id="360" w:name="_Toc23364203"/>
      <w:bookmarkStart w:id="361" w:name="_Toc23364630"/>
      <w:bookmarkStart w:id="362" w:name="_Toc23364204"/>
      <w:bookmarkStart w:id="363" w:name="_Toc23364631"/>
      <w:bookmarkStart w:id="364" w:name="_Toc23364205"/>
      <w:bookmarkStart w:id="365" w:name="_Toc23364632"/>
      <w:bookmarkStart w:id="366" w:name="_Toc23364206"/>
      <w:bookmarkStart w:id="367" w:name="_Toc23364633"/>
      <w:bookmarkStart w:id="368" w:name="_Toc23364207"/>
      <w:bookmarkStart w:id="369" w:name="_Toc23364634"/>
      <w:bookmarkStart w:id="370" w:name="_Toc23364208"/>
      <w:bookmarkStart w:id="371" w:name="_Toc23364635"/>
      <w:bookmarkStart w:id="372" w:name="_Toc23364209"/>
      <w:bookmarkStart w:id="373" w:name="_Toc23364636"/>
      <w:bookmarkStart w:id="374" w:name="_Toc23364210"/>
      <w:bookmarkStart w:id="375" w:name="_Toc23364637"/>
      <w:bookmarkStart w:id="376" w:name="_Toc23364211"/>
      <w:bookmarkStart w:id="377" w:name="_Toc23364638"/>
      <w:bookmarkStart w:id="378" w:name="_Toc23364212"/>
      <w:bookmarkStart w:id="379" w:name="_Toc23364639"/>
      <w:bookmarkStart w:id="380" w:name="_Toc23364243"/>
      <w:bookmarkStart w:id="381" w:name="_Toc23364670"/>
      <w:bookmarkStart w:id="382" w:name="_Toc23364244"/>
      <w:bookmarkStart w:id="383" w:name="_Toc23364671"/>
      <w:bookmarkStart w:id="384" w:name="_Toc23364245"/>
      <w:bookmarkStart w:id="385" w:name="_Toc23364672"/>
      <w:bookmarkStart w:id="386" w:name="_Toc23364246"/>
      <w:bookmarkStart w:id="387" w:name="_Toc23364673"/>
      <w:bookmarkStart w:id="388" w:name="_Toc23364281"/>
      <w:bookmarkStart w:id="389" w:name="_Toc23364708"/>
      <w:bookmarkStart w:id="390" w:name="_Toc23364319"/>
      <w:bookmarkStart w:id="391" w:name="_Toc23364746"/>
      <w:bookmarkStart w:id="392" w:name="_Toc23404182"/>
      <w:bookmarkStart w:id="393" w:name="_Ref25424707"/>
      <w:bookmarkStart w:id="394" w:name="_Toc26979136"/>
      <w:bookmarkStart w:id="395" w:name="_Toc21960913"/>
      <w:bookmarkStart w:id="396" w:name="_Toc23254343"/>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315F60">
        <w:rPr>
          <w:color w:val="auto"/>
        </w:rPr>
        <w:t>Characteristics of participating approved providers and services</w:t>
      </w:r>
      <w:bookmarkEnd w:id="392"/>
      <w:bookmarkEnd w:id="393"/>
      <w:bookmarkEnd w:id="394"/>
    </w:p>
    <w:p w:rsidR="00D9569C" w:rsidRPr="00315F60" w:rsidRDefault="00D9569C" w:rsidP="00EF6B6C">
      <w:pPr>
        <w:pStyle w:val="BodyText"/>
      </w:pPr>
      <w:r w:rsidRPr="00315F60">
        <w:t>KPMG analysed the characteristics of the services that submitted data to understand whether these services were representative of the national population of residential aged care services. This involved comparing the number of approved providers and services in the sample with the numbers of approved providers and services in the population of services delivering residential aged care nationally. Service level characteristics</w:t>
      </w:r>
      <w:r w:rsidR="002E7D8E" w:rsidRPr="00315F60">
        <w:t>,</w:t>
      </w:r>
      <w:r w:rsidRPr="00315F60">
        <w:t xml:space="preserve"> including jurisdiction, remoteness, size (places) and occupancy</w:t>
      </w:r>
      <w:r w:rsidR="002E7D8E" w:rsidRPr="00315F60">
        <w:t>,</w:t>
      </w:r>
      <w:r w:rsidRPr="00315F60">
        <w:t xml:space="preserve"> were the main characteristic</w:t>
      </w:r>
      <w:r w:rsidR="004271DA" w:rsidRPr="00315F60">
        <w:t>s</w:t>
      </w:r>
      <w:r w:rsidRPr="00315F60">
        <w:t xml:space="preserve"> of the sample which were compared to the population of services. </w:t>
      </w:r>
    </w:p>
    <w:p w:rsidR="00D9569C" w:rsidRPr="00315F60" w:rsidRDefault="00D9569C" w:rsidP="00EF6B6C">
      <w:pPr>
        <w:pStyle w:val="BodyText"/>
      </w:pPr>
      <w:r w:rsidRPr="00315F60">
        <w:t xml:space="preserve">The following sub-sections describe the results of this analysis. Data used </w:t>
      </w:r>
      <w:r w:rsidR="005B361A" w:rsidRPr="00315F60">
        <w:t xml:space="preserve">to support </w:t>
      </w:r>
      <w:r w:rsidRPr="00315F60">
        <w:t>this analysis was obtained from the GEN Aged Care website.</w:t>
      </w:r>
      <w:r w:rsidRPr="00315F60">
        <w:rPr>
          <w:vertAlign w:val="superscript"/>
        </w:rPr>
        <w:footnoteReference w:id="21"/>
      </w:r>
    </w:p>
    <w:p w:rsidR="00D9569C" w:rsidRPr="00315F60" w:rsidRDefault="00D9569C"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t>Total number of services and approved providers in the sample</w:t>
      </w:r>
    </w:p>
    <w:p w:rsidR="00D9569C" w:rsidRPr="00315F60" w:rsidRDefault="00D9569C" w:rsidP="00EF6B6C">
      <w:pPr>
        <w:pStyle w:val="BodyText"/>
      </w:pPr>
      <w:r w:rsidRPr="00315F60">
        <w:t>In Australia</w:t>
      </w:r>
      <w:r w:rsidR="002E7D8E" w:rsidRPr="00315F60">
        <w:t>,</w:t>
      </w:r>
      <w:r w:rsidRPr="00315F60">
        <w:t xml:space="preserve"> there are 869 approved providers operating 2,717 services (as at 30 June 2019). On average, each approved provider operates 3.1 services (2,717 services / 869 approved providers). In total, 178 of 2,717 approved services (6.6 per cent) and 37 of 869 approved providers (4.3 per cent) participated in the study. This distribution is illustrated in </w:t>
      </w:r>
      <w:r w:rsidRPr="00315F60">
        <w:fldChar w:fldCharType="begin"/>
      </w:r>
      <w:r w:rsidRPr="00315F60">
        <w:instrText xml:space="preserve"> REF _Ref23405054 \h  \* MERGEFORMAT </w:instrText>
      </w:r>
      <w:r w:rsidRPr="00315F60">
        <w:fldChar w:fldCharType="separate"/>
      </w:r>
      <w:r w:rsidR="004355CA" w:rsidRPr="00315F60">
        <w:t xml:space="preserve">Figure </w:t>
      </w:r>
      <w:r w:rsidR="004355CA" w:rsidRPr="00315F60">
        <w:rPr>
          <w:noProof/>
        </w:rPr>
        <w:t>1</w:t>
      </w:r>
      <w:r w:rsidRPr="00315F60">
        <w:fldChar w:fldCharType="end"/>
      </w:r>
      <w:r w:rsidRPr="00315F60">
        <w:t>. On average, each participating approved provider submitted data on 4.8 services. A higher percentage of services than approved providers participated due to a number of approved providers submitti</w:t>
      </w:r>
      <w:r w:rsidR="002E7D8E" w:rsidRPr="00315F60">
        <w:t>ng data for many services, e.g. </w:t>
      </w:r>
      <w:r w:rsidRPr="00315F60">
        <w:t>two approved providers submitted data for over 20 services.</w:t>
      </w:r>
    </w:p>
    <w:p w:rsidR="00D9569C" w:rsidRPr="00315F60" w:rsidRDefault="00D9569C" w:rsidP="00EF6B6C">
      <w:pPr>
        <w:pStyle w:val="Caption"/>
        <w:rPr>
          <w:color w:val="auto"/>
        </w:rPr>
      </w:pPr>
      <w:bookmarkStart w:id="397" w:name="_Ref23405054"/>
      <w:r w:rsidRPr="00315F60">
        <w:rPr>
          <w:color w:val="auto"/>
        </w:rPr>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1</w:t>
      </w:r>
      <w:r w:rsidR="0088210D" w:rsidRPr="00315F60">
        <w:rPr>
          <w:noProof/>
          <w:color w:val="auto"/>
        </w:rPr>
        <w:fldChar w:fldCharType="end"/>
      </w:r>
      <w:bookmarkEnd w:id="397"/>
      <w:r w:rsidRPr="00315F60">
        <w:rPr>
          <w:color w:val="auto"/>
        </w:rPr>
        <w:t>: Percentage of approved providers and services that participated in the study</w:t>
      </w:r>
    </w:p>
    <w:p w:rsidR="00D9569C" w:rsidRPr="00315F60" w:rsidRDefault="00D9569C" w:rsidP="002E7D8E">
      <w:pPr>
        <w:pStyle w:val="BodyTextFigure"/>
      </w:pPr>
      <w:r w:rsidRPr="00315F60">
        <w:drawing>
          <wp:inline distT="0" distB="0" distL="0" distR="0" wp14:anchorId="2139207C" wp14:editId="27A00825">
            <wp:extent cx="4680000" cy="2520000"/>
            <wp:effectExtent l="0" t="0" r="6350" b="13970"/>
            <wp:docPr id="14605" name="Chart 14605" descr="Bar graph showing the percentage of approved providers and services that participated in the study.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569C" w:rsidRPr="00315F60" w:rsidRDefault="00D9569C" w:rsidP="00EF6B6C">
      <w:pPr>
        <w:pStyle w:val="Source"/>
      </w:pPr>
      <w:r w:rsidRPr="00315F60">
        <w:t xml:space="preserve">Source: KPMG analysis of </w:t>
      </w:r>
      <w:r w:rsidR="00A75F38" w:rsidRPr="00315F60">
        <w:t>resident on resident</w:t>
      </w:r>
      <w:r w:rsidRPr="00315F60">
        <w:t xml:space="preserve"> incident study data and Aged Care Service List June 2019</w:t>
      </w:r>
    </w:p>
    <w:p w:rsidR="00D9569C" w:rsidRPr="00315F60" w:rsidRDefault="00D9569C"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lastRenderedPageBreak/>
        <w:t>Participating services by jurisdiction and remoteness</w:t>
      </w:r>
    </w:p>
    <w:p w:rsidR="00D9569C" w:rsidRPr="00315F60" w:rsidRDefault="00D9569C" w:rsidP="00D9569C">
      <w:pPr>
        <w:jc w:val="both"/>
      </w:pPr>
      <w:r w:rsidRPr="00315F60">
        <w:t>There was variation in participation by jurisdiction. Notably, no services from the Northern Territory (NT) participated and almost one in eight services (12.0 per cent) from Queensland participated. New South Wales (NSW) (5.8 per cent), Victoria (6.5 per cent) and Tasmania (5.6 per cent) were one percentage point below the national participation level of 6.6 per cent. Participation by services in the Australian Capital Territory (ACT) (4.0 per cent), South Australia (SA) (3.6 per cent) and Western Australia (WA</w:t>
      </w:r>
      <w:r w:rsidR="00324DE2" w:rsidRPr="00315F60">
        <w:t>)</w:t>
      </w:r>
      <w:r w:rsidRPr="00315F60">
        <w:t xml:space="preserve"> (2.8 per cent) was lower still and these jurisdictions, along with NT, may be considered </w:t>
      </w:r>
      <w:r w:rsidR="00C22BB4" w:rsidRPr="00315F60">
        <w:t>under-represented</w:t>
      </w:r>
      <w:r w:rsidRPr="00315F60">
        <w:t xml:space="preserve"> compared to the national figure. This distribution is illustrated in</w:t>
      </w:r>
      <w:r w:rsidR="004271DA" w:rsidRPr="00315F60">
        <w:t xml:space="preserve"> </w:t>
      </w:r>
      <w:r w:rsidRPr="00315F60">
        <w:fldChar w:fldCharType="begin"/>
      </w:r>
      <w:r w:rsidRPr="00315F60">
        <w:instrText xml:space="preserve"> REF _Ref23272861 \h  \* MERGEFORMAT </w:instrText>
      </w:r>
      <w:r w:rsidRPr="00315F60">
        <w:fldChar w:fldCharType="separate"/>
      </w:r>
      <w:r w:rsidR="004355CA" w:rsidRPr="00315F60">
        <w:t xml:space="preserve">Figure </w:t>
      </w:r>
      <w:r w:rsidR="004355CA" w:rsidRPr="00315F60">
        <w:rPr>
          <w:noProof/>
        </w:rPr>
        <w:t>2</w:t>
      </w:r>
      <w:r w:rsidRPr="00315F60">
        <w:fldChar w:fldCharType="end"/>
      </w:r>
      <w:r w:rsidRPr="00315F60">
        <w:t>.</w:t>
      </w:r>
    </w:p>
    <w:p w:rsidR="00D9569C" w:rsidRPr="00315F60" w:rsidRDefault="00D9569C" w:rsidP="00EF6B6C">
      <w:pPr>
        <w:pStyle w:val="Caption"/>
        <w:rPr>
          <w:color w:val="auto"/>
        </w:rPr>
      </w:pPr>
      <w:bookmarkStart w:id="398" w:name="_Ref23272861"/>
      <w:r w:rsidRPr="00315F60">
        <w:rPr>
          <w:color w:val="auto"/>
        </w:rPr>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2</w:t>
      </w:r>
      <w:r w:rsidR="0088210D" w:rsidRPr="00315F60">
        <w:rPr>
          <w:noProof/>
          <w:color w:val="auto"/>
        </w:rPr>
        <w:fldChar w:fldCharType="end"/>
      </w:r>
      <w:bookmarkEnd w:id="398"/>
      <w:r w:rsidRPr="00315F60">
        <w:rPr>
          <w:noProof/>
          <w:color w:val="auto"/>
        </w:rPr>
        <w:t>:</w:t>
      </w:r>
      <w:r w:rsidRPr="00315F60">
        <w:rPr>
          <w:color w:val="auto"/>
        </w:rPr>
        <w:t xml:space="preserve"> Percentage of services that participated by jurisdiction</w:t>
      </w:r>
    </w:p>
    <w:p w:rsidR="00D9569C" w:rsidRPr="00315F60" w:rsidRDefault="00D9569C" w:rsidP="002E7D8E">
      <w:pPr>
        <w:pStyle w:val="BodyTextFigure"/>
      </w:pPr>
      <w:r w:rsidRPr="00315F60">
        <w:drawing>
          <wp:inline distT="0" distB="0" distL="0" distR="0" wp14:anchorId="416537C7" wp14:editId="631999F1">
            <wp:extent cx="4680000" cy="2520000"/>
            <wp:effectExtent l="0" t="0" r="6350" b="13970"/>
            <wp:docPr id="14" name="Chart 14" descr="Bar graph showing the percentage of services that participated by jurisdic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569C" w:rsidRPr="00315F60" w:rsidRDefault="00D9569C" w:rsidP="00EF6B6C">
      <w:pPr>
        <w:pStyle w:val="Source"/>
      </w:pPr>
      <w:r w:rsidRPr="00315F60">
        <w:t xml:space="preserve">Source: KPMG analysis of </w:t>
      </w:r>
      <w:r w:rsidR="00A75F38" w:rsidRPr="00315F60">
        <w:t>resident on resident</w:t>
      </w:r>
      <w:r w:rsidRPr="00315F60">
        <w:t xml:space="preserve"> incident study data and Aged Care Service List June 2019</w:t>
      </w:r>
    </w:p>
    <w:p w:rsidR="00D9569C" w:rsidRPr="00315F60" w:rsidRDefault="00D9569C" w:rsidP="00EF6B6C">
      <w:pPr>
        <w:pStyle w:val="BodyText"/>
      </w:pPr>
      <w:r w:rsidRPr="00315F60">
        <w:t>There was no variation in participation by remoteness categories of Major Cities (6.5</w:t>
      </w:r>
      <w:r w:rsidRPr="00315F60">
        <w:rPr>
          <w:rFonts w:eastAsia="SimSun" w:cs="Times New Roman"/>
          <w:szCs w:val="20"/>
        </w:rPr>
        <w:t xml:space="preserve"> per cent</w:t>
      </w:r>
      <w:r w:rsidRPr="00315F60">
        <w:t>), Regional (6.7</w:t>
      </w:r>
      <w:r w:rsidRPr="00315F60">
        <w:rPr>
          <w:rFonts w:eastAsia="SimSun" w:cs="Times New Roman"/>
          <w:szCs w:val="20"/>
        </w:rPr>
        <w:t xml:space="preserve"> per cent</w:t>
      </w:r>
      <w:r w:rsidRPr="00315F60">
        <w:t>), and Remote Australia (6.7</w:t>
      </w:r>
      <w:r w:rsidRPr="00315F60">
        <w:rPr>
          <w:rFonts w:eastAsia="SimSun" w:cs="Times New Roman"/>
          <w:szCs w:val="20"/>
        </w:rPr>
        <w:t xml:space="preserve"> per cent</w:t>
      </w:r>
      <w:r w:rsidRPr="00315F60">
        <w:t>). In relation to the participating services and their remoteness, the sample can be considered “representative” as</w:t>
      </w:r>
      <w:r w:rsidR="00745901" w:rsidRPr="00315F60">
        <w:t>,</w:t>
      </w:r>
      <w:r w:rsidRPr="00315F60">
        <w:t xml:space="preserve"> across the three remoteness categories</w:t>
      </w:r>
      <w:r w:rsidR="00745901" w:rsidRPr="00315F60">
        <w:t>,</w:t>
      </w:r>
      <w:r w:rsidRPr="00315F60">
        <w:t xml:space="preserve"> a similar percentage of services participated. This distribution is illustrated in </w:t>
      </w:r>
      <w:r w:rsidRPr="00315F60">
        <w:fldChar w:fldCharType="begin"/>
      </w:r>
      <w:r w:rsidRPr="00315F60">
        <w:instrText xml:space="preserve"> REF _Ref23272882 \h  \* MERGEFORMAT </w:instrText>
      </w:r>
      <w:r w:rsidRPr="00315F60">
        <w:fldChar w:fldCharType="separate"/>
      </w:r>
      <w:r w:rsidR="004355CA" w:rsidRPr="00315F60">
        <w:t xml:space="preserve">Figure </w:t>
      </w:r>
      <w:r w:rsidR="004355CA" w:rsidRPr="00315F60">
        <w:rPr>
          <w:noProof/>
        </w:rPr>
        <w:t>3</w:t>
      </w:r>
      <w:r w:rsidRPr="00315F60">
        <w:fldChar w:fldCharType="end"/>
      </w:r>
      <w:r w:rsidR="009C7B36" w:rsidRPr="00315F60">
        <w:t>.</w:t>
      </w:r>
    </w:p>
    <w:p w:rsidR="00D9569C" w:rsidRPr="00315F60" w:rsidRDefault="00D9569C" w:rsidP="00EF6B6C">
      <w:pPr>
        <w:pStyle w:val="Caption"/>
        <w:rPr>
          <w:color w:val="auto"/>
        </w:rPr>
      </w:pPr>
      <w:bookmarkStart w:id="399" w:name="_Ref23272882"/>
      <w:r w:rsidRPr="00315F60">
        <w:rPr>
          <w:color w:val="auto"/>
        </w:rPr>
        <w:lastRenderedPageBreak/>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3</w:t>
      </w:r>
      <w:r w:rsidR="0088210D" w:rsidRPr="00315F60">
        <w:rPr>
          <w:noProof/>
          <w:color w:val="auto"/>
        </w:rPr>
        <w:fldChar w:fldCharType="end"/>
      </w:r>
      <w:bookmarkEnd w:id="399"/>
      <w:r w:rsidRPr="00315F60">
        <w:rPr>
          <w:color w:val="auto"/>
        </w:rPr>
        <w:t>: Percentage of services that participated by remoteness</w:t>
      </w:r>
      <w:r w:rsidRPr="00315F60">
        <w:rPr>
          <w:color w:val="auto"/>
          <w:vertAlign w:val="superscript"/>
        </w:rPr>
        <w:footnoteReference w:id="22"/>
      </w:r>
    </w:p>
    <w:p w:rsidR="00D9569C" w:rsidRPr="00315F60" w:rsidRDefault="00D9569C" w:rsidP="002E7D8E">
      <w:pPr>
        <w:pStyle w:val="BodyTextFigure"/>
      </w:pPr>
      <w:r w:rsidRPr="00315F60">
        <w:drawing>
          <wp:inline distT="0" distB="0" distL="0" distR="0" wp14:anchorId="6833ABC8" wp14:editId="215213D1">
            <wp:extent cx="4680000" cy="2520000"/>
            <wp:effectExtent l="0" t="0" r="6350" b="13970"/>
            <wp:docPr id="14600" name="Chart 14600" descr="Bar graph showing the percentage of services that participated by remotenes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569C" w:rsidRPr="00315F60" w:rsidRDefault="00D9569C" w:rsidP="00EF6B6C">
      <w:pPr>
        <w:pStyle w:val="Source"/>
      </w:pPr>
      <w:r w:rsidRPr="00315F60">
        <w:t xml:space="preserve">Source: KPMG analysis of </w:t>
      </w:r>
      <w:r w:rsidR="00A75F38" w:rsidRPr="00315F60">
        <w:t>resident on resident</w:t>
      </w:r>
      <w:r w:rsidRPr="00315F60">
        <w:t xml:space="preserve"> incident study data and Aged Care Service List June 2019</w:t>
      </w:r>
    </w:p>
    <w:p w:rsidR="00D9569C" w:rsidRPr="00315F60" w:rsidRDefault="00D9569C" w:rsidP="00D9569C">
      <w:pPr>
        <w:keepNext/>
        <w:keepLines/>
        <w:numPr>
          <w:ilvl w:val="2"/>
          <w:numId w:val="9"/>
        </w:numPr>
        <w:spacing w:before="240"/>
        <w:outlineLvl w:val="2"/>
        <w:rPr>
          <w:rFonts w:eastAsiaTheme="majorEastAsia" w:cstheme="majorBidi"/>
          <w:sz w:val="24"/>
          <w:szCs w:val="24"/>
        </w:rPr>
      </w:pPr>
      <w:bookmarkStart w:id="400" w:name="_Ref23277431"/>
      <w:r w:rsidRPr="00315F60">
        <w:rPr>
          <w:rFonts w:eastAsiaTheme="majorEastAsia" w:cstheme="majorBidi"/>
          <w:sz w:val="24"/>
          <w:szCs w:val="24"/>
        </w:rPr>
        <w:t>Participating services by size and occupancy</w:t>
      </w:r>
      <w:bookmarkEnd w:id="400"/>
    </w:p>
    <w:p w:rsidR="00D9569C" w:rsidRPr="00315F60" w:rsidRDefault="00D9569C" w:rsidP="00EF6B6C">
      <w:pPr>
        <w:pStyle w:val="BodyText"/>
      </w:pPr>
      <w:r w:rsidRPr="00315F60">
        <w:t>There was some variation in participation by size (</w:t>
      </w:r>
      <w:r w:rsidR="00E269AD" w:rsidRPr="00315F60">
        <w:t xml:space="preserve">number of </w:t>
      </w:r>
      <w:r w:rsidRPr="00315F60">
        <w:t>places) of service. Generally, smaller services were “</w:t>
      </w:r>
      <w:r w:rsidR="00C22BB4" w:rsidRPr="00315F60">
        <w:t>under-represented</w:t>
      </w:r>
      <w:r w:rsidRPr="00315F60">
        <w:t>” compared to larger services, which were “over</w:t>
      </w:r>
      <w:r w:rsidR="00745901" w:rsidRPr="00315F60">
        <w:t>-</w:t>
      </w:r>
      <w:r w:rsidRPr="00315F60">
        <w:t>represented</w:t>
      </w:r>
      <w:r w:rsidR="00E269AD" w:rsidRPr="00315F60">
        <w:t>”</w:t>
      </w:r>
      <w:r w:rsidRPr="00315F60">
        <w:t>. For example</w:t>
      </w:r>
      <w:r w:rsidR="00745901" w:rsidRPr="00315F60">
        <w:t>,</w:t>
      </w:r>
      <w:r w:rsidRPr="00315F60">
        <w:t xml:space="preserve"> </w:t>
      </w:r>
      <w:r w:rsidR="00E269AD" w:rsidRPr="00315F60">
        <w:t xml:space="preserve">3.9 per cent of services that have </w:t>
      </w:r>
      <w:r w:rsidRPr="00315F60">
        <w:t>one to 20 places participate</w:t>
      </w:r>
      <w:r w:rsidR="00E269AD" w:rsidRPr="00315F60">
        <w:t>d</w:t>
      </w:r>
      <w:r w:rsidRPr="00315F60">
        <w:t xml:space="preserve">, and </w:t>
      </w:r>
      <w:r w:rsidR="00E269AD" w:rsidRPr="00315F60">
        <w:t xml:space="preserve">5.4 per cent of </w:t>
      </w:r>
      <w:r w:rsidRPr="00315F60">
        <w:t xml:space="preserve">services </w:t>
      </w:r>
      <w:r w:rsidR="00E269AD" w:rsidRPr="00315F60">
        <w:t>that have</w:t>
      </w:r>
      <w:r w:rsidRPr="00315F60">
        <w:t xml:space="preserve"> 21 to 40 places </w:t>
      </w:r>
      <w:r w:rsidR="00E269AD" w:rsidRPr="00315F60">
        <w:t>participated</w:t>
      </w:r>
      <w:r w:rsidRPr="00315F60">
        <w:t xml:space="preserve"> compared to the national figure of 6.6 per cent. In comparison, services of 61 to 80 places were over</w:t>
      </w:r>
      <w:r w:rsidR="00745901" w:rsidRPr="00315F60">
        <w:t>-</w:t>
      </w:r>
      <w:r w:rsidRPr="00315F60">
        <w:t xml:space="preserve">represented (7.8 per cent), when compared to the national figure of 6.6 per cent. This distribution is illustrated in </w:t>
      </w:r>
      <w:r w:rsidRPr="00315F60">
        <w:fldChar w:fldCharType="begin"/>
      </w:r>
      <w:r w:rsidRPr="00315F60">
        <w:instrText xml:space="preserve"> REF _Ref23272972 \h  \* MERGEFORMAT </w:instrText>
      </w:r>
      <w:r w:rsidRPr="00315F60">
        <w:fldChar w:fldCharType="separate"/>
      </w:r>
      <w:r w:rsidR="004355CA" w:rsidRPr="00315F60">
        <w:t xml:space="preserve">Figure </w:t>
      </w:r>
      <w:r w:rsidR="004355CA" w:rsidRPr="00315F60">
        <w:rPr>
          <w:noProof/>
        </w:rPr>
        <w:t>4</w:t>
      </w:r>
      <w:r w:rsidRPr="00315F60">
        <w:fldChar w:fldCharType="end"/>
      </w:r>
      <w:r w:rsidRPr="00315F60">
        <w:t xml:space="preserve">. </w:t>
      </w:r>
    </w:p>
    <w:p w:rsidR="00D9569C" w:rsidRPr="00315F60" w:rsidRDefault="00D9569C" w:rsidP="00EF6B6C">
      <w:pPr>
        <w:pStyle w:val="Caption"/>
        <w:rPr>
          <w:color w:val="auto"/>
        </w:rPr>
      </w:pPr>
      <w:bookmarkStart w:id="401" w:name="_Ref23272972"/>
      <w:r w:rsidRPr="00315F60">
        <w:rPr>
          <w:color w:val="auto"/>
        </w:rPr>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4</w:t>
      </w:r>
      <w:r w:rsidR="0088210D" w:rsidRPr="00315F60">
        <w:rPr>
          <w:noProof/>
          <w:color w:val="auto"/>
        </w:rPr>
        <w:fldChar w:fldCharType="end"/>
      </w:r>
      <w:bookmarkEnd w:id="401"/>
      <w:r w:rsidRPr="00315F60">
        <w:rPr>
          <w:color w:val="auto"/>
        </w:rPr>
        <w:t>: Percentage of services that participated by size</w:t>
      </w:r>
    </w:p>
    <w:p w:rsidR="00D9569C" w:rsidRPr="00315F60" w:rsidRDefault="00D9569C" w:rsidP="002E7D8E">
      <w:pPr>
        <w:pStyle w:val="BodyTextFigure"/>
        <w:rPr>
          <w:sz w:val="16"/>
          <w:szCs w:val="16"/>
        </w:rPr>
      </w:pPr>
      <w:r w:rsidRPr="00315F60">
        <w:drawing>
          <wp:inline distT="0" distB="0" distL="0" distR="0" wp14:anchorId="64CEEB93" wp14:editId="71305E82">
            <wp:extent cx="5353729" cy="2733225"/>
            <wp:effectExtent l="0" t="0" r="18415" b="10160"/>
            <wp:docPr id="14597" name="Chart 14597" descr="Bar graph showing the percentage of services that participated by siz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569C" w:rsidRPr="00315F60" w:rsidRDefault="00D9569C" w:rsidP="00EF6B6C">
      <w:pPr>
        <w:pStyle w:val="Source"/>
      </w:pPr>
      <w:r w:rsidRPr="00315F60">
        <w:t xml:space="preserve">Source: KPMG analysis of </w:t>
      </w:r>
      <w:r w:rsidR="00A75F38" w:rsidRPr="00315F60">
        <w:t>resident on resident</w:t>
      </w:r>
      <w:r w:rsidRPr="00315F60">
        <w:t xml:space="preserve"> incident study data and Aged Care Service List June 2019</w:t>
      </w:r>
    </w:p>
    <w:p w:rsidR="00D9569C" w:rsidRPr="00315F60" w:rsidRDefault="00D9569C" w:rsidP="00D9569C">
      <w:pPr>
        <w:jc w:val="both"/>
      </w:pPr>
      <w:r w:rsidRPr="00315F60">
        <w:lastRenderedPageBreak/>
        <w:t xml:space="preserve">The Department provided KPMG with information on the occupancy of 2,724 services for the six month </w:t>
      </w:r>
      <w:r w:rsidR="00CD26B6" w:rsidRPr="00315F60">
        <w:t xml:space="preserve">period </w:t>
      </w:r>
      <w:r w:rsidRPr="00315F60">
        <w:t xml:space="preserve">of 1 February 2019 to 31 July 2019. Only 2,682 of these </w:t>
      </w:r>
      <w:r w:rsidR="00CD26B6" w:rsidRPr="00315F60">
        <w:t xml:space="preserve">services </w:t>
      </w:r>
      <w:r w:rsidRPr="00315F60">
        <w:t xml:space="preserve">could be matched to the aged care service list </w:t>
      </w:r>
      <w:r w:rsidR="00CD26B6" w:rsidRPr="00315F60">
        <w:t>(</w:t>
      </w:r>
      <w:r w:rsidRPr="00315F60">
        <w:t>as at 30 June 2019</w:t>
      </w:r>
      <w:r w:rsidR="00CD26B6" w:rsidRPr="00315F60">
        <w:t>)</w:t>
      </w:r>
      <w:r w:rsidRPr="00315F60">
        <w:t xml:space="preserve"> to incorporate places (e.g. 20 places) with occupancy data (e.g. 90 per cent). The places and occupancy data was combined to </w:t>
      </w:r>
      <w:r w:rsidR="00CD26B6" w:rsidRPr="00315F60">
        <w:t xml:space="preserve">calculate the average number of residents per day </w:t>
      </w:r>
      <w:r w:rsidRPr="00315F60">
        <w:t xml:space="preserve">for the six month period. For example, a service with 20 places and 90 per cent occupancy over the six month window equates to there being 18 residents per day (Residents / Day). These residents per day </w:t>
      </w:r>
      <w:r w:rsidR="00CD26B6" w:rsidRPr="00315F60">
        <w:t xml:space="preserve">calculations </w:t>
      </w:r>
      <w:r w:rsidRPr="00315F60">
        <w:t>were grouped into the same bands as the size bands</w:t>
      </w:r>
      <w:r w:rsidR="00CD26B6" w:rsidRPr="00315F60">
        <w:t xml:space="preserve"> developed</w:t>
      </w:r>
      <w:r w:rsidRPr="00315F60">
        <w:t xml:space="preserve"> (e.g. 1 to 20 places and 1 to 20 </w:t>
      </w:r>
      <w:r w:rsidR="00745901" w:rsidRPr="00315F60">
        <w:t>R</w:t>
      </w:r>
      <w:r w:rsidRPr="00315F60">
        <w:t xml:space="preserve">esidents / </w:t>
      </w:r>
      <w:r w:rsidR="00745901" w:rsidRPr="00315F60">
        <w:t>D</w:t>
      </w:r>
      <w:r w:rsidRPr="00315F60">
        <w:t xml:space="preserve">ay). </w:t>
      </w:r>
    </w:p>
    <w:p w:rsidR="00D9569C" w:rsidRPr="00315F60" w:rsidRDefault="00D9569C" w:rsidP="00D9569C">
      <w:pPr>
        <w:jc w:val="both"/>
      </w:pPr>
      <w:r w:rsidRPr="00315F60">
        <w:t>Generally, services with</w:t>
      </w:r>
      <w:r w:rsidR="00CD26B6" w:rsidRPr="00315F60">
        <w:t xml:space="preserve"> a</w:t>
      </w:r>
      <w:r w:rsidRPr="00315F60">
        <w:t xml:space="preserve"> lower occupancy (1 to 20 Residents / Day, 21 to 40 Residents / Day) were </w:t>
      </w:r>
      <w:r w:rsidR="00C22BB4" w:rsidRPr="00315F60">
        <w:t>under-represented</w:t>
      </w:r>
      <w:r w:rsidRPr="00315F60">
        <w:t>. However, the distribution by occupancy ranges is quite even, with the lowest</w:t>
      </w:r>
      <w:r w:rsidR="00CD26B6" w:rsidRPr="00315F60">
        <w:t xml:space="preserve"> participation rate</w:t>
      </w:r>
      <w:r w:rsidRPr="00315F60">
        <w:t xml:space="preserve"> being for </w:t>
      </w:r>
      <w:r w:rsidR="00CD26B6" w:rsidRPr="00315F60">
        <w:t xml:space="preserve">services with </w:t>
      </w:r>
      <w:r w:rsidR="00745901" w:rsidRPr="00315F60">
        <w:t xml:space="preserve">1 </w:t>
      </w:r>
      <w:r w:rsidRPr="00315F60">
        <w:t xml:space="preserve">to 20 residents (5.2 per cent), and the highest being </w:t>
      </w:r>
      <w:r w:rsidR="00CD26B6" w:rsidRPr="00315F60">
        <w:t xml:space="preserve">for services with </w:t>
      </w:r>
      <w:r w:rsidRPr="00315F60">
        <w:t xml:space="preserve">81 to 100 </w:t>
      </w:r>
      <w:r w:rsidR="00745901" w:rsidRPr="00315F60">
        <w:t>R</w:t>
      </w:r>
      <w:r w:rsidRPr="00315F60">
        <w:t>esidents</w:t>
      </w:r>
      <w:r w:rsidR="00745901" w:rsidRPr="00315F60">
        <w:t xml:space="preserve"> </w:t>
      </w:r>
      <w:r w:rsidRPr="00315F60">
        <w:t>/</w:t>
      </w:r>
      <w:r w:rsidR="00745901" w:rsidRPr="00315F60">
        <w:t xml:space="preserve"> D</w:t>
      </w:r>
      <w:r w:rsidRPr="00315F60">
        <w:t xml:space="preserve">ay (7.5 per cent). This distribution is outlined in </w:t>
      </w:r>
      <w:r w:rsidRPr="00315F60">
        <w:fldChar w:fldCharType="begin"/>
      </w:r>
      <w:r w:rsidRPr="00315F60">
        <w:instrText xml:space="preserve"> REF _Ref23273018 \h  \* MERGEFORMAT </w:instrText>
      </w:r>
      <w:r w:rsidRPr="00315F60">
        <w:fldChar w:fldCharType="separate"/>
      </w:r>
      <w:r w:rsidR="004355CA" w:rsidRPr="00315F60">
        <w:t xml:space="preserve">Figure </w:t>
      </w:r>
      <w:r w:rsidR="004355CA" w:rsidRPr="00315F60">
        <w:rPr>
          <w:noProof/>
        </w:rPr>
        <w:t>5</w:t>
      </w:r>
      <w:r w:rsidRPr="00315F60">
        <w:fldChar w:fldCharType="end"/>
      </w:r>
      <w:r w:rsidRPr="00315F60">
        <w:t>.</w:t>
      </w:r>
    </w:p>
    <w:p w:rsidR="00D9569C" w:rsidRPr="00315F60" w:rsidRDefault="00D9569C" w:rsidP="00EF6B6C">
      <w:pPr>
        <w:pStyle w:val="Caption"/>
        <w:rPr>
          <w:color w:val="auto"/>
        </w:rPr>
      </w:pPr>
      <w:bookmarkStart w:id="402" w:name="_Ref23273018"/>
      <w:r w:rsidRPr="00315F60">
        <w:rPr>
          <w:color w:val="auto"/>
        </w:rPr>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5</w:t>
      </w:r>
      <w:r w:rsidR="0088210D" w:rsidRPr="00315F60">
        <w:rPr>
          <w:noProof/>
          <w:color w:val="auto"/>
        </w:rPr>
        <w:fldChar w:fldCharType="end"/>
      </w:r>
      <w:bookmarkEnd w:id="402"/>
      <w:r w:rsidRPr="00315F60">
        <w:rPr>
          <w:color w:val="auto"/>
        </w:rPr>
        <w:t>: Percentage of services that participated by occupancy</w:t>
      </w:r>
      <w:r w:rsidRPr="00315F60">
        <w:rPr>
          <w:color w:val="auto"/>
          <w:vertAlign w:val="superscript"/>
        </w:rPr>
        <w:footnoteReference w:id="23"/>
      </w:r>
    </w:p>
    <w:p w:rsidR="00D9569C" w:rsidRPr="00315F60" w:rsidRDefault="00D9569C" w:rsidP="002E7D8E">
      <w:pPr>
        <w:pStyle w:val="BodyTextFigure"/>
        <w:rPr>
          <w:highlight w:val="yellow"/>
        </w:rPr>
      </w:pPr>
      <w:r w:rsidRPr="00315F60">
        <w:drawing>
          <wp:inline distT="0" distB="0" distL="0" distR="0" wp14:anchorId="67A6A7F2" wp14:editId="7F85DF87">
            <wp:extent cx="5180743" cy="2710670"/>
            <wp:effectExtent l="0" t="0" r="1270" b="13970"/>
            <wp:docPr id="14598" name="Chart 14598" descr="Bar graph showing the percentage of services that participated by occupancy.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569C" w:rsidRPr="00315F60" w:rsidRDefault="00D9569C" w:rsidP="00EF6B6C">
      <w:pPr>
        <w:pStyle w:val="Source"/>
      </w:pPr>
      <w:r w:rsidRPr="00315F60">
        <w:t xml:space="preserve">Source: KPMG analysis of </w:t>
      </w:r>
      <w:r w:rsidR="00A75F38" w:rsidRPr="00315F60">
        <w:t>resident on resident</w:t>
      </w:r>
      <w:r w:rsidRPr="00315F60">
        <w:t xml:space="preserve"> incident study data and occupancy dat</w:t>
      </w:r>
      <w:r w:rsidRPr="00315F60">
        <w:rPr>
          <w:szCs w:val="18"/>
        </w:rPr>
        <w:t>a supplied by the Department</w:t>
      </w:r>
    </w:p>
    <w:p w:rsidR="00D9569C" w:rsidRPr="00315F60" w:rsidRDefault="00145ABB"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t xml:space="preserve">Sample </w:t>
      </w:r>
      <w:r w:rsidR="00D9569C" w:rsidRPr="00315F60">
        <w:rPr>
          <w:rFonts w:eastAsiaTheme="majorEastAsia" w:cstheme="majorBidi"/>
          <w:sz w:val="24"/>
          <w:szCs w:val="24"/>
        </w:rPr>
        <w:t>of participating services</w:t>
      </w:r>
    </w:p>
    <w:p w:rsidR="00D9569C" w:rsidRPr="00315F60" w:rsidRDefault="00D9569C" w:rsidP="00EF6B6C">
      <w:pPr>
        <w:pStyle w:val="BodyText"/>
      </w:pPr>
      <w:r w:rsidRPr="00315F60">
        <w:t>Any sample of residential aged care services selected will, across a range of factors such as location</w:t>
      </w:r>
      <w:r w:rsidR="00145ABB" w:rsidRPr="00315F60">
        <w:t xml:space="preserve"> (jurisdiction and remoteness),</w:t>
      </w:r>
      <w:r w:rsidRPr="00315F60">
        <w:t xml:space="preserve"> size</w:t>
      </w:r>
      <w:r w:rsidR="00145ABB" w:rsidRPr="00315F60">
        <w:t xml:space="preserve"> and occupancy</w:t>
      </w:r>
      <w:r w:rsidRPr="00315F60">
        <w:t xml:space="preserve"> be deficient in one of these factors. In this instance, the sample of participating services is not “representative” from a jurisdiction point of view</w:t>
      </w:r>
      <w:r w:rsidR="00CD26B6" w:rsidRPr="00315F60">
        <w:t>. S</w:t>
      </w:r>
      <w:r w:rsidRPr="00315F60">
        <w:t>everal jurisdictions</w:t>
      </w:r>
      <w:r w:rsidR="00CD26B6" w:rsidRPr="00315F60">
        <w:t xml:space="preserve"> were</w:t>
      </w:r>
      <w:r w:rsidRPr="00315F60">
        <w:t xml:space="preserve"> under-represented (ACT, SA and WA), and NT </w:t>
      </w:r>
      <w:r w:rsidR="00CD26B6" w:rsidRPr="00315F60">
        <w:t xml:space="preserve">was </w:t>
      </w:r>
      <w:r w:rsidRPr="00315F60">
        <w:t>not represented at all. The sample d</w:t>
      </w:r>
      <w:r w:rsidR="00CD26B6" w:rsidRPr="00315F60">
        <w:t xml:space="preserve">id </w:t>
      </w:r>
      <w:r w:rsidRPr="00315F60">
        <w:t>however, appear</w:t>
      </w:r>
      <w:r w:rsidR="00CD26B6" w:rsidRPr="00315F60">
        <w:t xml:space="preserve"> to be</w:t>
      </w:r>
      <w:r w:rsidRPr="00315F60">
        <w:t xml:space="preserve"> “representative” of all services from a remoteness point of view. In terms of size, smaller services were </w:t>
      </w:r>
      <w:r w:rsidR="00C22BB4" w:rsidRPr="00315F60">
        <w:t>under-represented</w:t>
      </w:r>
      <w:r w:rsidRPr="00315F60">
        <w:t xml:space="preserve"> but when considering occupancy, rather than just size, the sample</w:t>
      </w:r>
      <w:r w:rsidR="00CD26B6" w:rsidRPr="00315F60">
        <w:t xml:space="preserve"> was</w:t>
      </w:r>
      <w:r w:rsidRPr="00315F60">
        <w:t xml:space="preserve"> more </w:t>
      </w:r>
      <w:r w:rsidR="00145ABB" w:rsidRPr="00315F60">
        <w:t>“</w:t>
      </w:r>
      <w:r w:rsidRPr="00315F60">
        <w:t>representative</w:t>
      </w:r>
      <w:r w:rsidR="00145ABB" w:rsidRPr="00315F60">
        <w:t>”</w:t>
      </w:r>
      <w:r w:rsidRPr="00315F60">
        <w:t xml:space="preserve"> of services nationally. </w:t>
      </w:r>
    </w:p>
    <w:p w:rsidR="00D9569C" w:rsidRPr="00315F60" w:rsidRDefault="00D9569C" w:rsidP="00EF6B6C">
      <w:pPr>
        <w:pStyle w:val="BodyText"/>
      </w:pPr>
      <w:r w:rsidRPr="00315F60">
        <w:t xml:space="preserve">There </w:t>
      </w:r>
      <w:r w:rsidR="00CD26B6" w:rsidRPr="00315F60">
        <w:t xml:space="preserve">was </w:t>
      </w:r>
      <w:r w:rsidR="00145ABB" w:rsidRPr="00315F60">
        <w:t xml:space="preserve">a total of </w:t>
      </w:r>
      <w:r w:rsidRPr="00315F60">
        <w:t>178 services that participated</w:t>
      </w:r>
      <w:r w:rsidR="00145ABB" w:rsidRPr="00315F60">
        <w:t xml:space="preserve"> in the SIRS prevalence study</w:t>
      </w:r>
      <w:r w:rsidR="001952BF" w:rsidRPr="00315F60">
        <w:t xml:space="preserve">. </w:t>
      </w:r>
      <w:r w:rsidRPr="00315F60">
        <w:t>Noting some of the limitations</w:t>
      </w:r>
      <w:r w:rsidR="00145ABB" w:rsidRPr="00315F60">
        <w:t xml:space="preserve"> with participating service “representativeness”</w:t>
      </w:r>
      <w:r w:rsidRPr="00315F60">
        <w:t xml:space="preserve"> above, the study sample </w:t>
      </w:r>
      <w:r w:rsidR="00145ABB" w:rsidRPr="00315F60">
        <w:t>still provides the only available data on resident on resident inciden</w:t>
      </w:r>
      <w:r w:rsidR="00CD26B6" w:rsidRPr="00315F60">
        <w:t>ts that are not reported</w:t>
      </w:r>
      <w:r w:rsidR="0065699C" w:rsidRPr="00315F60">
        <w:t xml:space="preserve"> to enable the estimation of the volume of incidents that may occur at a national level</w:t>
      </w:r>
      <w:r w:rsidR="00145ABB" w:rsidRPr="00315F60">
        <w:t xml:space="preserve">. These issues with “representativeness” should be taken into consideration </w:t>
      </w:r>
      <w:r w:rsidR="00F334FF" w:rsidRPr="00315F60">
        <w:t>alongside the national estimates</w:t>
      </w:r>
      <w:r w:rsidR="005D15C2" w:rsidRPr="00315F60">
        <w:t xml:space="preserve"> presented in Section </w:t>
      </w:r>
      <w:r w:rsidR="005D15C2" w:rsidRPr="00315F60">
        <w:fldChar w:fldCharType="begin"/>
      </w:r>
      <w:r w:rsidR="005D15C2" w:rsidRPr="00315F60">
        <w:instrText xml:space="preserve"> REF _Ref23367520 \w \h </w:instrText>
      </w:r>
      <w:r w:rsidR="005D15C2" w:rsidRPr="00315F60">
        <w:fldChar w:fldCharType="separate"/>
      </w:r>
      <w:r w:rsidR="004355CA" w:rsidRPr="00315F60">
        <w:t>3.3</w:t>
      </w:r>
      <w:r w:rsidR="005D15C2" w:rsidRPr="00315F60">
        <w:fldChar w:fldCharType="end"/>
      </w:r>
      <w:r w:rsidR="00F334FF" w:rsidRPr="00315F60">
        <w:t>.</w:t>
      </w:r>
      <w:r w:rsidR="00145ABB" w:rsidRPr="00315F60">
        <w:t xml:space="preserve"> </w:t>
      </w:r>
      <w:r w:rsidR="00F334FF" w:rsidRPr="00315F60">
        <w:t>The</w:t>
      </w:r>
      <w:r w:rsidRPr="00315F60">
        <w:t xml:space="preserve"> focus </w:t>
      </w:r>
      <w:r w:rsidR="00F334FF" w:rsidRPr="00315F60">
        <w:lastRenderedPageBreak/>
        <w:t>of the estimates is at a</w:t>
      </w:r>
      <w:r w:rsidRPr="00315F60">
        <w:t xml:space="preserve"> national level as more detailed breakdowns will be less reliable (e.g. national estimates of incidents for smaller services) or </w:t>
      </w:r>
      <w:r w:rsidR="00EF6B6C" w:rsidRPr="00315F60">
        <w:t>not possible to calculate (e.g. </w:t>
      </w:r>
      <w:r w:rsidRPr="00315F60">
        <w:t>for particular jurisdictions).</w:t>
      </w:r>
    </w:p>
    <w:p w:rsidR="00D9569C" w:rsidRPr="00315F60" w:rsidRDefault="00D9569C" w:rsidP="002E7D8E">
      <w:pPr>
        <w:pStyle w:val="Heading2"/>
        <w:rPr>
          <w:color w:val="auto"/>
        </w:rPr>
      </w:pPr>
      <w:bookmarkStart w:id="403" w:name="_Toc23404183"/>
      <w:bookmarkStart w:id="404" w:name="_Toc26979137"/>
      <w:r w:rsidRPr="00315F60">
        <w:rPr>
          <w:color w:val="auto"/>
        </w:rPr>
        <w:t>Descriptive analysis of incident data</w:t>
      </w:r>
      <w:bookmarkEnd w:id="403"/>
      <w:bookmarkEnd w:id="404"/>
    </w:p>
    <w:p w:rsidR="00D9569C" w:rsidRPr="00315F60" w:rsidRDefault="00D9569C" w:rsidP="00EF6B6C">
      <w:pPr>
        <w:pStyle w:val="BodyText"/>
      </w:pPr>
      <w:r w:rsidRPr="00315F60">
        <w:t>Descriptive analysis was performed on the Type 1 and Type 2 incident data</w:t>
      </w:r>
      <w:r w:rsidR="00EC119A" w:rsidRPr="00315F60">
        <w:t xml:space="preserve"> in the sample</w:t>
      </w:r>
      <w:r w:rsidRPr="00315F60">
        <w:t>. For the Type</w:t>
      </w:r>
      <w:r w:rsidR="00EC119A" w:rsidRPr="00315F60">
        <w:t> </w:t>
      </w:r>
      <w:r w:rsidRPr="00315F60">
        <w:t>1 incident data, analysis was undertaken on the characteristics of the Type 1 incidents</w:t>
      </w:r>
      <w:r w:rsidR="00745901" w:rsidRPr="00315F60">
        <w:t>,</w:t>
      </w:r>
      <w:r w:rsidRPr="00315F60">
        <w:t xml:space="preserve"> i.e.</w:t>
      </w:r>
      <w:r w:rsidR="00745901" w:rsidRPr="00315F60">
        <w:t> </w:t>
      </w:r>
      <w:r w:rsidR="00BE1A9C" w:rsidRPr="00315F60">
        <w:t xml:space="preserve">the </w:t>
      </w:r>
      <w:r w:rsidRPr="00315F60">
        <w:t xml:space="preserve">total </w:t>
      </w:r>
      <w:r w:rsidR="00BE1A9C" w:rsidRPr="00315F60">
        <w:t xml:space="preserve">number of </w:t>
      </w:r>
      <w:r w:rsidRPr="00315F60">
        <w:t>incidents</w:t>
      </w:r>
      <w:r w:rsidR="00BE1A9C" w:rsidRPr="00315F60">
        <w:t>,</w:t>
      </w:r>
      <w:r w:rsidRPr="00315F60">
        <w:t xml:space="preserve"> whether the same resident was involved, when the incident occurred (by month), reportable assault type (Unreasonable use of force or </w:t>
      </w:r>
      <w:r w:rsidR="00745901" w:rsidRPr="00315F60">
        <w:t>U</w:t>
      </w:r>
      <w:r w:rsidRPr="00315F60">
        <w:t xml:space="preserve">nlawful sexual contact), perpetrator behaviour, victim impact and service response. </w:t>
      </w:r>
    </w:p>
    <w:p w:rsidR="00D9569C" w:rsidRPr="00315F60" w:rsidRDefault="00D9569C" w:rsidP="00EF6B6C">
      <w:pPr>
        <w:pStyle w:val="BodyText"/>
      </w:pPr>
      <w:r w:rsidRPr="00315F60">
        <w:t>Th</w:t>
      </w:r>
      <w:r w:rsidR="00745901" w:rsidRPr="00315F60">
        <w:t>e</w:t>
      </w:r>
      <w:r w:rsidRPr="00315F60">
        <w:t xml:space="preserve"> following sub-sections describe the results of the descriptive analysis of Type 1 incidents </w:t>
      </w:r>
      <w:r w:rsidR="00745901" w:rsidRPr="00315F60">
        <w:t>followed by</w:t>
      </w:r>
      <w:r w:rsidRPr="00315F60">
        <w:t xml:space="preserve"> Type 2 Incidents.</w:t>
      </w:r>
    </w:p>
    <w:p w:rsidR="00D9569C" w:rsidRPr="00315F60" w:rsidRDefault="00D9569C"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t>Type 1 Incidents reported per service</w:t>
      </w:r>
    </w:p>
    <w:p w:rsidR="00D9569C" w:rsidRPr="00315F60" w:rsidRDefault="00D9569C" w:rsidP="00EF6B6C">
      <w:pPr>
        <w:pStyle w:val="BodyText"/>
      </w:pPr>
      <w:r w:rsidRPr="00315F60">
        <w:t xml:space="preserve">In total, there </w:t>
      </w:r>
      <w:r w:rsidR="00EC119A" w:rsidRPr="00315F60">
        <w:t xml:space="preserve">was a total of </w:t>
      </w:r>
      <w:r w:rsidRPr="00315F60">
        <w:t xml:space="preserve">1,259 Type 1 incidents </w:t>
      </w:r>
      <w:r w:rsidR="00EC119A" w:rsidRPr="00315F60">
        <w:t xml:space="preserve">reported </w:t>
      </w:r>
      <w:r w:rsidRPr="00315F60">
        <w:t xml:space="preserve">for the six month </w:t>
      </w:r>
      <w:r w:rsidR="00EC119A" w:rsidRPr="00315F60">
        <w:t xml:space="preserve">period </w:t>
      </w:r>
      <w:r w:rsidRPr="00315F60">
        <w:t>from the 178 services</w:t>
      </w:r>
      <w:r w:rsidR="00BE1A9C" w:rsidRPr="00315F60">
        <w:t xml:space="preserve"> in the sample</w:t>
      </w:r>
      <w:r w:rsidRPr="00315F60">
        <w:t>. Notably, 28 services reported zero Type 1 incidents, and 18 services reported 15 or more Type</w:t>
      </w:r>
      <w:r w:rsidR="00EC119A" w:rsidRPr="00315F60">
        <w:t> </w:t>
      </w:r>
      <w:r w:rsidRPr="00315F60">
        <w:t xml:space="preserve">1 incidents. This distribution is illustrated in </w:t>
      </w:r>
      <w:r w:rsidRPr="00315F60">
        <w:fldChar w:fldCharType="begin"/>
      </w:r>
      <w:r w:rsidRPr="00315F60">
        <w:instrText xml:space="preserve"> REF _Ref23405153 \h  \* MERGEFORMAT </w:instrText>
      </w:r>
      <w:r w:rsidRPr="00315F60">
        <w:fldChar w:fldCharType="separate"/>
      </w:r>
      <w:r w:rsidR="004355CA" w:rsidRPr="00315F60">
        <w:t xml:space="preserve">Figure </w:t>
      </w:r>
      <w:r w:rsidR="004355CA" w:rsidRPr="00315F60">
        <w:rPr>
          <w:noProof/>
        </w:rPr>
        <w:t>8</w:t>
      </w:r>
      <w:r w:rsidRPr="00315F60">
        <w:fldChar w:fldCharType="end"/>
      </w:r>
      <w:r w:rsidRPr="00315F60">
        <w:t xml:space="preserve">. </w:t>
      </w:r>
    </w:p>
    <w:p w:rsidR="00D9569C" w:rsidRPr="00315F60" w:rsidRDefault="00D9569C" w:rsidP="00EF6B6C">
      <w:pPr>
        <w:pStyle w:val="BodyText"/>
      </w:pPr>
      <w:r w:rsidRPr="00315F60">
        <w:t xml:space="preserve">This distribution, i.e. services reporting zero incidents and services reporting many incidents, is important to keep in mind </w:t>
      </w:r>
      <w:r w:rsidR="00745901" w:rsidRPr="00315F60">
        <w:t xml:space="preserve">when reading </w:t>
      </w:r>
      <w:r w:rsidR="00C81753" w:rsidRPr="00315F60">
        <w:t xml:space="preserve">section </w:t>
      </w:r>
      <w:r w:rsidR="00C81753" w:rsidRPr="00315F60">
        <w:fldChar w:fldCharType="begin"/>
      </w:r>
      <w:r w:rsidR="00C81753" w:rsidRPr="00315F60">
        <w:instrText xml:space="preserve"> REF _Ref23367520 \r \h </w:instrText>
      </w:r>
      <w:r w:rsidR="00C81753" w:rsidRPr="00315F60">
        <w:fldChar w:fldCharType="separate"/>
      </w:r>
      <w:r w:rsidR="004355CA" w:rsidRPr="00315F60">
        <w:t>3.3</w:t>
      </w:r>
      <w:r w:rsidR="00C81753" w:rsidRPr="00315F60">
        <w:fldChar w:fldCharType="end"/>
      </w:r>
      <w:r w:rsidR="00745901" w:rsidRPr="00315F60">
        <w:t xml:space="preserve"> of this report</w:t>
      </w:r>
      <w:r w:rsidRPr="00315F60">
        <w:t xml:space="preserve">. The main reason is that this sample data is used to infer estimates of incidents for all 2,717 services for a 12 month window. The sample has </w:t>
      </w:r>
      <w:r w:rsidR="00BE1A9C" w:rsidRPr="00315F60">
        <w:t xml:space="preserve">some </w:t>
      </w:r>
      <w:r w:rsidRPr="00315F60">
        <w:t xml:space="preserve">services reporting zero incidents for a six month window and some services reporting more than </w:t>
      </w:r>
      <w:r w:rsidR="00BE1A9C" w:rsidRPr="00315F60">
        <w:t>one</w:t>
      </w:r>
      <w:r w:rsidRPr="00315F60">
        <w:t xml:space="preserve"> incident per month for the six month window. If, for example,</w:t>
      </w:r>
      <w:r w:rsidRPr="00315F60">
        <w:rPr>
          <w:noProof/>
          <w:lang w:eastAsia="en-AU"/>
        </w:rPr>
        <w:t xml:space="preserve"> </w:t>
      </w:r>
      <w:r w:rsidRPr="00315F60">
        <w:t>the study had by chance only collected data from the 28 services that reported zero Type 1 incidents then the estimate of total incidents at a national level for a 12 mo</w:t>
      </w:r>
      <w:bookmarkStart w:id="405" w:name="_Ref23272578"/>
      <w:r w:rsidRPr="00315F60">
        <w:t xml:space="preserve">nth window would be zero. </w:t>
      </w:r>
    </w:p>
    <w:p w:rsidR="00D9569C" w:rsidRPr="00315F60" w:rsidRDefault="00D9569C" w:rsidP="00EF6B6C">
      <w:pPr>
        <w:pStyle w:val="Caption"/>
        <w:rPr>
          <w:color w:val="auto"/>
        </w:rPr>
      </w:pPr>
      <w:r w:rsidRPr="00315F60">
        <w:rPr>
          <w:color w:val="auto"/>
        </w:rPr>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6</w:t>
      </w:r>
      <w:r w:rsidR="0088210D" w:rsidRPr="00315F60">
        <w:rPr>
          <w:noProof/>
          <w:color w:val="auto"/>
        </w:rPr>
        <w:fldChar w:fldCharType="end"/>
      </w:r>
      <w:bookmarkEnd w:id="405"/>
      <w:r w:rsidRPr="00315F60">
        <w:rPr>
          <w:color w:val="auto"/>
        </w:rPr>
        <w:t xml:space="preserve">: Count of services by total Type 1 incidents reported </w:t>
      </w:r>
    </w:p>
    <w:p w:rsidR="00D9569C" w:rsidRPr="00315F60" w:rsidRDefault="00D9569C" w:rsidP="002E7D8E">
      <w:pPr>
        <w:pStyle w:val="BodyTextFigure"/>
      </w:pPr>
      <w:r w:rsidRPr="00315F60">
        <w:drawing>
          <wp:inline distT="0" distB="0" distL="0" distR="0" wp14:anchorId="4DDD3E78" wp14:editId="3BB26852">
            <wp:extent cx="4680000" cy="2520000"/>
            <wp:effectExtent l="0" t="0" r="6350" b="13970"/>
            <wp:docPr id="14602" name="Chart 14602" descr="Bar graph showing the count of services by total Type 1 incidents report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9569C" w:rsidRPr="00315F60" w:rsidRDefault="00D9569C" w:rsidP="00EF6B6C">
      <w:pPr>
        <w:pStyle w:val="Source"/>
      </w:pPr>
      <w:r w:rsidRPr="00315F60">
        <w:t xml:space="preserve">Source: KPMG analysis of </w:t>
      </w:r>
      <w:r w:rsidR="00A75F38" w:rsidRPr="00315F60">
        <w:t>resident on resident</w:t>
      </w:r>
      <w:r w:rsidRPr="00315F60">
        <w:t xml:space="preserve"> incident study data</w:t>
      </w:r>
    </w:p>
    <w:p w:rsidR="00D9569C" w:rsidRPr="00315F60" w:rsidRDefault="00D9569C" w:rsidP="00D9569C">
      <w:pPr>
        <w:jc w:val="both"/>
      </w:pPr>
      <w:r w:rsidRPr="00315F60">
        <w:t xml:space="preserve">The total number of incidents </w:t>
      </w:r>
      <w:r w:rsidR="00960158" w:rsidRPr="00315F60">
        <w:t xml:space="preserve">reported </w:t>
      </w:r>
      <w:r w:rsidRPr="00315F60">
        <w:t xml:space="preserve">generally increased with service size. This is outlined in </w:t>
      </w:r>
      <w:r w:rsidRPr="00315F60">
        <w:fldChar w:fldCharType="begin"/>
      </w:r>
      <w:r w:rsidRPr="00315F60">
        <w:instrText xml:space="preserve"> REF _Ref23405199 \h  \* MERGEFORMAT </w:instrText>
      </w:r>
      <w:r w:rsidRPr="00315F60">
        <w:fldChar w:fldCharType="separate"/>
      </w:r>
      <w:r w:rsidR="004355CA" w:rsidRPr="00315F60">
        <w:t xml:space="preserve">Table </w:t>
      </w:r>
      <w:r w:rsidR="004355CA" w:rsidRPr="00315F60">
        <w:rPr>
          <w:noProof/>
        </w:rPr>
        <w:t>4</w:t>
      </w:r>
      <w:r w:rsidRPr="00315F60">
        <w:fldChar w:fldCharType="end"/>
      </w:r>
      <w:r w:rsidRPr="00315F60">
        <w:t>. A weak positive relationship between places and Type 1 incidents at a service level was also observed</w:t>
      </w:r>
      <w:r w:rsidR="00745901" w:rsidRPr="00315F60">
        <w:t>,</w:t>
      </w:r>
      <w:r w:rsidRPr="00315F60">
        <w:t xml:space="preserve"> i.e. as the size of the service increases</w:t>
      </w:r>
      <w:r w:rsidR="00745901" w:rsidRPr="00315F60">
        <w:t>,</w:t>
      </w:r>
      <w:r w:rsidRPr="00315F60">
        <w:t xml:space="preserve"> the number of Type 1 incidents also increases. This relationship was heavily influenced by outliers (those services reporting large numbers of incidents despite having less than 60 places), and some larger services reporting zero incidents (services with over 100 places but no incidents). This is illustrated in</w:t>
      </w:r>
      <w:r w:rsidR="00C81753" w:rsidRPr="00315F60">
        <w:t xml:space="preserve"> </w:t>
      </w:r>
      <w:r w:rsidR="00C81753" w:rsidRPr="00315F60">
        <w:fldChar w:fldCharType="begin"/>
      </w:r>
      <w:r w:rsidR="00C81753" w:rsidRPr="00315F60">
        <w:instrText xml:space="preserve"> REF _Ref23413540 \h  \* MERGEFORMAT </w:instrText>
      </w:r>
      <w:r w:rsidR="00C81753" w:rsidRPr="00315F60">
        <w:fldChar w:fldCharType="separate"/>
      </w:r>
      <w:r w:rsidR="004355CA" w:rsidRPr="00315F60">
        <w:t>Figure 7</w:t>
      </w:r>
      <w:r w:rsidR="00C81753" w:rsidRPr="00315F60">
        <w:fldChar w:fldCharType="end"/>
      </w:r>
      <w:r w:rsidRPr="00315F60">
        <w:t>.</w:t>
      </w:r>
    </w:p>
    <w:p w:rsidR="00D9569C" w:rsidRPr="00315F60" w:rsidRDefault="00D9569C" w:rsidP="00D9569C">
      <w:pPr>
        <w:rPr>
          <w:rFonts w:eastAsia="SimSun" w:cs="Times New Roman"/>
          <w:szCs w:val="20"/>
        </w:rPr>
      </w:pPr>
    </w:p>
    <w:p w:rsidR="00D9569C" w:rsidRPr="00315F60" w:rsidRDefault="00D9569C" w:rsidP="00EF6B6C">
      <w:pPr>
        <w:pStyle w:val="Caption"/>
        <w:rPr>
          <w:color w:val="auto"/>
        </w:rPr>
      </w:pPr>
      <w:bookmarkStart w:id="406" w:name="_Ref23413540"/>
      <w:r w:rsidRPr="00315F60">
        <w:rPr>
          <w:color w:val="auto"/>
        </w:rPr>
        <w:lastRenderedPageBreak/>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7</w:t>
      </w:r>
      <w:r w:rsidR="0088210D" w:rsidRPr="00315F60">
        <w:rPr>
          <w:noProof/>
          <w:color w:val="auto"/>
        </w:rPr>
        <w:fldChar w:fldCharType="end"/>
      </w:r>
      <w:bookmarkEnd w:id="406"/>
      <w:r w:rsidRPr="00315F60">
        <w:rPr>
          <w:color w:val="auto"/>
        </w:rPr>
        <w:t>: Total incidents reported by size of service</w:t>
      </w:r>
    </w:p>
    <w:p w:rsidR="00D9569C" w:rsidRPr="00315F60" w:rsidRDefault="00D9569C" w:rsidP="00B078F7">
      <w:pPr>
        <w:pStyle w:val="BodyText"/>
        <w:jc w:val="center"/>
      </w:pPr>
      <w:r w:rsidRPr="00315F60">
        <w:rPr>
          <w:noProof/>
          <w:lang w:eastAsia="en-AU"/>
        </w:rPr>
        <w:drawing>
          <wp:inline distT="0" distB="0" distL="0" distR="0">
            <wp:extent cx="4680000" cy="2520000"/>
            <wp:effectExtent l="0" t="0" r="6350" b="13970"/>
            <wp:docPr id="14606" name="Chart 14606" descr="Scatter plot showing total incidents reported by size of the serv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569C" w:rsidRPr="00315F60" w:rsidRDefault="00D9569C" w:rsidP="00EF6B6C">
      <w:pPr>
        <w:pStyle w:val="Source"/>
      </w:pPr>
      <w:r w:rsidRPr="00315F60">
        <w:t xml:space="preserve">Source: KPMG analysis of </w:t>
      </w:r>
      <w:r w:rsidR="00A75F38" w:rsidRPr="00315F60">
        <w:t>resident on resident</w:t>
      </w:r>
      <w:r w:rsidRPr="00315F60">
        <w:t xml:space="preserve"> incident study data</w:t>
      </w:r>
    </w:p>
    <w:p w:rsidR="00D9569C" w:rsidRPr="00315F60" w:rsidRDefault="00D9569C" w:rsidP="00EF6B6C">
      <w:pPr>
        <w:pStyle w:val="Caption"/>
        <w:rPr>
          <w:color w:val="auto"/>
        </w:rPr>
      </w:pPr>
      <w:bookmarkStart w:id="407" w:name="_Ref23405199"/>
      <w:bookmarkStart w:id="408" w:name="_Ref23405195"/>
      <w:r w:rsidRPr="00315F60">
        <w:rPr>
          <w:color w:val="auto"/>
        </w:rPr>
        <w:t xml:space="preserve">Table </w:t>
      </w:r>
      <w:r w:rsidRPr="00315F60">
        <w:rPr>
          <w:noProof/>
          <w:color w:val="auto"/>
        </w:rPr>
        <w:fldChar w:fldCharType="begin"/>
      </w:r>
      <w:r w:rsidRPr="00315F60">
        <w:rPr>
          <w:noProof/>
          <w:color w:val="auto"/>
        </w:rPr>
        <w:instrText xml:space="preserve"> SEQ Table \* ARABIC </w:instrText>
      </w:r>
      <w:r w:rsidRPr="00315F60">
        <w:rPr>
          <w:noProof/>
          <w:color w:val="auto"/>
        </w:rPr>
        <w:fldChar w:fldCharType="separate"/>
      </w:r>
      <w:r w:rsidR="004355CA" w:rsidRPr="00315F60">
        <w:rPr>
          <w:noProof/>
          <w:color w:val="auto"/>
        </w:rPr>
        <w:t>4</w:t>
      </w:r>
      <w:r w:rsidRPr="00315F60">
        <w:rPr>
          <w:noProof/>
          <w:color w:val="auto"/>
        </w:rPr>
        <w:fldChar w:fldCharType="end"/>
      </w:r>
      <w:bookmarkEnd w:id="407"/>
      <w:r w:rsidRPr="00315F60">
        <w:rPr>
          <w:color w:val="auto"/>
        </w:rPr>
        <w:t xml:space="preserve">: Count of Type 1 incidents and services by residential </w:t>
      </w:r>
      <w:r w:rsidR="00A75F38" w:rsidRPr="00315F60">
        <w:rPr>
          <w:color w:val="auto"/>
        </w:rPr>
        <w:t xml:space="preserve">aged </w:t>
      </w:r>
      <w:r w:rsidRPr="00315F60">
        <w:rPr>
          <w:color w:val="auto"/>
        </w:rPr>
        <w:t>care place size groupings</w:t>
      </w:r>
      <w:bookmarkEnd w:id="408"/>
    </w:p>
    <w:tbl>
      <w:tblPr>
        <w:tblStyle w:val="TableGridKPMGBlue1"/>
        <w:tblW w:w="5000" w:type="pct"/>
        <w:tblLook w:val="04A0" w:firstRow="1" w:lastRow="0" w:firstColumn="1" w:lastColumn="0" w:noHBand="0" w:noVBand="1"/>
        <w:tblDescription w:val="Table showing count of Type 1 incidents and services by residential aged care place size groupings. "/>
      </w:tblPr>
      <w:tblGrid>
        <w:gridCol w:w="1555"/>
        <w:gridCol w:w="2501"/>
        <w:gridCol w:w="2502"/>
        <w:gridCol w:w="2502"/>
      </w:tblGrid>
      <w:tr w:rsidR="00315F60" w:rsidRPr="00315F60" w:rsidTr="00D95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vAlign w:val="center"/>
          </w:tcPr>
          <w:p w:rsidR="00D9569C" w:rsidRPr="00315F60" w:rsidRDefault="00D9569C" w:rsidP="00EF6B6C">
            <w:pPr>
              <w:pStyle w:val="Tableheading"/>
              <w:rPr>
                <w:rFonts w:eastAsia="SimSun"/>
                <w:color w:val="auto"/>
              </w:rPr>
            </w:pPr>
            <w:r w:rsidRPr="00315F60">
              <w:rPr>
                <w:rFonts w:eastAsia="SimSun"/>
                <w:color w:val="auto"/>
              </w:rPr>
              <w:t>Service size</w:t>
            </w:r>
          </w:p>
        </w:tc>
        <w:tc>
          <w:tcPr>
            <w:tcW w:w="1380" w:type="pct"/>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rFonts w:eastAsia="SimSun"/>
                <w:color w:val="auto"/>
              </w:rPr>
            </w:pPr>
            <w:r w:rsidRPr="00315F60">
              <w:rPr>
                <w:rFonts w:eastAsia="SimSun"/>
                <w:color w:val="auto"/>
              </w:rPr>
              <w:t>Incidents</w:t>
            </w:r>
          </w:p>
        </w:tc>
        <w:tc>
          <w:tcPr>
            <w:tcW w:w="1381" w:type="pct"/>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rFonts w:eastAsia="SimSun"/>
                <w:color w:val="auto"/>
              </w:rPr>
            </w:pPr>
            <w:r w:rsidRPr="00315F60">
              <w:rPr>
                <w:rFonts w:eastAsia="SimSun"/>
                <w:color w:val="auto"/>
              </w:rPr>
              <w:t>Services participating</w:t>
            </w:r>
          </w:p>
        </w:tc>
        <w:tc>
          <w:tcPr>
            <w:tcW w:w="1381" w:type="pct"/>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rFonts w:eastAsia="SimSun"/>
                <w:color w:val="auto"/>
              </w:rPr>
            </w:pPr>
            <w:r w:rsidRPr="00315F60">
              <w:rPr>
                <w:rFonts w:eastAsia="SimSun"/>
                <w:color w:val="auto"/>
              </w:rPr>
              <w:t>Average Incidents per service</w:t>
            </w:r>
          </w:p>
        </w:tc>
      </w:tr>
      <w:tr w:rsidR="00315F60" w:rsidRPr="00315F60" w:rsidTr="00D9569C">
        <w:tc>
          <w:tcPr>
            <w:cnfStyle w:val="001000000000" w:firstRow="0" w:lastRow="0" w:firstColumn="1" w:lastColumn="0" w:oddVBand="0" w:evenVBand="0" w:oddHBand="0" w:evenHBand="0" w:firstRowFirstColumn="0" w:firstRowLastColumn="0" w:lastRowFirstColumn="0" w:lastRowLastColumn="0"/>
            <w:tcW w:w="858" w:type="pct"/>
            <w:vAlign w:val="center"/>
          </w:tcPr>
          <w:p w:rsidR="00D9569C" w:rsidRPr="00315F60" w:rsidRDefault="00D9569C" w:rsidP="00EF6B6C">
            <w:pPr>
              <w:pStyle w:val="Tabletext"/>
              <w:rPr>
                <w:rFonts w:eastAsia="SimSun"/>
              </w:rPr>
            </w:pPr>
            <w:r w:rsidRPr="00315F60">
              <w:rPr>
                <w:rFonts w:eastAsia="SimSun"/>
              </w:rPr>
              <w:t>1-20 places</w:t>
            </w:r>
          </w:p>
        </w:tc>
        <w:tc>
          <w:tcPr>
            <w:tcW w:w="1380" w:type="pct"/>
            <w:vAlign w:val="center"/>
          </w:tcPr>
          <w:p w:rsidR="00D9569C" w:rsidRPr="00315F60" w:rsidRDefault="00D9569C" w:rsidP="00EF6B6C">
            <w:pPr>
              <w:pStyle w:val="Tabletext"/>
              <w:tabs>
                <w:tab w:val="decimal" w:pos="100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4</w:t>
            </w:r>
          </w:p>
        </w:tc>
        <w:tc>
          <w:tcPr>
            <w:tcW w:w="1381" w:type="pct"/>
            <w:vAlign w:val="center"/>
          </w:tcPr>
          <w:p w:rsidR="00D9569C" w:rsidRPr="00315F60" w:rsidRDefault="00D9569C" w:rsidP="00EF6B6C">
            <w:pPr>
              <w:pStyle w:val="Tabletext"/>
              <w:tabs>
                <w:tab w:val="decimal" w:pos="1076"/>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5</w:t>
            </w:r>
          </w:p>
        </w:tc>
        <w:tc>
          <w:tcPr>
            <w:tcW w:w="1381" w:type="pct"/>
            <w:vAlign w:val="center"/>
          </w:tcPr>
          <w:p w:rsidR="00D9569C" w:rsidRPr="00315F60" w:rsidRDefault="00D9569C" w:rsidP="00EF6B6C">
            <w:pPr>
              <w:pStyle w:val="Tabletext"/>
              <w:tabs>
                <w:tab w:val="decimal" w:pos="984"/>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0.8</w:t>
            </w:r>
          </w:p>
        </w:tc>
      </w:tr>
      <w:tr w:rsidR="00315F60" w:rsidRPr="00315F60" w:rsidTr="00D9569C">
        <w:tc>
          <w:tcPr>
            <w:cnfStyle w:val="001000000000" w:firstRow="0" w:lastRow="0" w:firstColumn="1" w:lastColumn="0" w:oddVBand="0" w:evenVBand="0" w:oddHBand="0" w:evenHBand="0" w:firstRowFirstColumn="0" w:firstRowLastColumn="0" w:lastRowFirstColumn="0" w:lastRowLastColumn="0"/>
            <w:tcW w:w="858" w:type="pct"/>
            <w:vAlign w:val="center"/>
          </w:tcPr>
          <w:p w:rsidR="00D9569C" w:rsidRPr="00315F60" w:rsidRDefault="00D9569C" w:rsidP="00EF6B6C">
            <w:pPr>
              <w:pStyle w:val="Tabletext"/>
              <w:rPr>
                <w:rFonts w:eastAsia="SimSun"/>
              </w:rPr>
            </w:pPr>
            <w:r w:rsidRPr="00315F60">
              <w:rPr>
                <w:rFonts w:eastAsia="SimSun"/>
              </w:rPr>
              <w:t>21-40 places</w:t>
            </w:r>
          </w:p>
        </w:tc>
        <w:tc>
          <w:tcPr>
            <w:tcW w:w="1380" w:type="pct"/>
            <w:vAlign w:val="center"/>
          </w:tcPr>
          <w:p w:rsidR="00D9569C" w:rsidRPr="00315F60" w:rsidRDefault="00D9569C" w:rsidP="00EF6B6C">
            <w:pPr>
              <w:pStyle w:val="Tabletext"/>
              <w:tabs>
                <w:tab w:val="decimal" w:pos="100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144</w:t>
            </w:r>
          </w:p>
        </w:tc>
        <w:tc>
          <w:tcPr>
            <w:tcW w:w="1381" w:type="pct"/>
            <w:vAlign w:val="center"/>
          </w:tcPr>
          <w:p w:rsidR="00D9569C" w:rsidRPr="00315F60" w:rsidRDefault="00D9569C" w:rsidP="00EF6B6C">
            <w:pPr>
              <w:pStyle w:val="Tabletext"/>
              <w:tabs>
                <w:tab w:val="decimal" w:pos="1076"/>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23</w:t>
            </w:r>
          </w:p>
        </w:tc>
        <w:tc>
          <w:tcPr>
            <w:tcW w:w="1381" w:type="pct"/>
            <w:vAlign w:val="center"/>
          </w:tcPr>
          <w:p w:rsidR="00D9569C" w:rsidRPr="00315F60" w:rsidRDefault="00D9569C" w:rsidP="00EF6B6C">
            <w:pPr>
              <w:pStyle w:val="Tabletext"/>
              <w:tabs>
                <w:tab w:val="decimal" w:pos="984"/>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6.3</w:t>
            </w:r>
          </w:p>
        </w:tc>
      </w:tr>
      <w:tr w:rsidR="00315F60" w:rsidRPr="00315F60" w:rsidTr="00D9569C">
        <w:tc>
          <w:tcPr>
            <w:cnfStyle w:val="001000000000" w:firstRow="0" w:lastRow="0" w:firstColumn="1" w:lastColumn="0" w:oddVBand="0" w:evenVBand="0" w:oddHBand="0" w:evenHBand="0" w:firstRowFirstColumn="0" w:firstRowLastColumn="0" w:lastRowFirstColumn="0" w:lastRowLastColumn="0"/>
            <w:tcW w:w="858" w:type="pct"/>
            <w:vAlign w:val="center"/>
          </w:tcPr>
          <w:p w:rsidR="00D9569C" w:rsidRPr="00315F60" w:rsidRDefault="00D9569C" w:rsidP="00EF6B6C">
            <w:pPr>
              <w:pStyle w:val="Tabletext"/>
              <w:rPr>
                <w:rFonts w:eastAsia="SimSun"/>
              </w:rPr>
            </w:pPr>
            <w:r w:rsidRPr="00315F60">
              <w:rPr>
                <w:rFonts w:eastAsia="SimSun"/>
              </w:rPr>
              <w:t>41-60 places</w:t>
            </w:r>
          </w:p>
        </w:tc>
        <w:tc>
          <w:tcPr>
            <w:tcW w:w="1380" w:type="pct"/>
            <w:vAlign w:val="center"/>
          </w:tcPr>
          <w:p w:rsidR="00D9569C" w:rsidRPr="00315F60" w:rsidRDefault="00D9569C" w:rsidP="00EF6B6C">
            <w:pPr>
              <w:pStyle w:val="Tabletext"/>
              <w:tabs>
                <w:tab w:val="decimal" w:pos="100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158</w:t>
            </w:r>
          </w:p>
        </w:tc>
        <w:tc>
          <w:tcPr>
            <w:tcW w:w="1381" w:type="pct"/>
            <w:vAlign w:val="center"/>
          </w:tcPr>
          <w:p w:rsidR="00D9569C" w:rsidRPr="00315F60" w:rsidRDefault="00D9569C" w:rsidP="00EF6B6C">
            <w:pPr>
              <w:pStyle w:val="Tabletext"/>
              <w:tabs>
                <w:tab w:val="decimal" w:pos="1076"/>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35</w:t>
            </w:r>
          </w:p>
        </w:tc>
        <w:tc>
          <w:tcPr>
            <w:tcW w:w="1381" w:type="pct"/>
            <w:vAlign w:val="center"/>
          </w:tcPr>
          <w:p w:rsidR="00D9569C" w:rsidRPr="00315F60" w:rsidRDefault="00D9569C" w:rsidP="00EF6B6C">
            <w:pPr>
              <w:pStyle w:val="Tabletext"/>
              <w:tabs>
                <w:tab w:val="decimal" w:pos="984"/>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4.5</w:t>
            </w:r>
          </w:p>
        </w:tc>
      </w:tr>
      <w:tr w:rsidR="00315F60" w:rsidRPr="00315F60" w:rsidTr="00D9569C">
        <w:tc>
          <w:tcPr>
            <w:cnfStyle w:val="001000000000" w:firstRow="0" w:lastRow="0" w:firstColumn="1" w:lastColumn="0" w:oddVBand="0" w:evenVBand="0" w:oddHBand="0" w:evenHBand="0" w:firstRowFirstColumn="0" w:firstRowLastColumn="0" w:lastRowFirstColumn="0" w:lastRowLastColumn="0"/>
            <w:tcW w:w="858" w:type="pct"/>
            <w:vAlign w:val="center"/>
          </w:tcPr>
          <w:p w:rsidR="00D9569C" w:rsidRPr="00315F60" w:rsidRDefault="00D9569C" w:rsidP="00EF6B6C">
            <w:pPr>
              <w:pStyle w:val="Tabletext"/>
              <w:rPr>
                <w:rFonts w:eastAsia="SimSun"/>
              </w:rPr>
            </w:pPr>
            <w:r w:rsidRPr="00315F60">
              <w:rPr>
                <w:rFonts w:eastAsia="SimSun"/>
              </w:rPr>
              <w:t>61-80 places</w:t>
            </w:r>
          </w:p>
        </w:tc>
        <w:tc>
          <w:tcPr>
            <w:tcW w:w="1380" w:type="pct"/>
            <w:vAlign w:val="center"/>
          </w:tcPr>
          <w:p w:rsidR="00D9569C" w:rsidRPr="00315F60" w:rsidRDefault="00D9569C" w:rsidP="00EF6B6C">
            <w:pPr>
              <w:pStyle w:val="Tabletext"/>
              <w:tabs>
                <w:tab w:val="decimal" w:pos="100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224</w:t>
            </w:r>
          </w:p>
        </w:tc>
        <w:tc>
          <w:tcPr>
            <w:tcW w:w="1381" w:type="pct"/>
            <w:vAlign w:val="center"/>
          </w:tcPr>
          <w:p w:rsidR="00D9569C" w:rsidRPr="00315F60" w:rsidRDefault="00D9569C" w:rsidP="00EF6B6C">
            <w:pPr>
              <w:pStyle w:val="Tabletext"/>
              <w:tabs>
                <w:tab w:val="decimal" w:pos="1076"/>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37</w:t>
            </w:r>
          </w:p>
        </w:tc>
        <w:tc>
          <w:tcPr>
            <w:tcW w:w="1381" w:type="pct"/>
            <w:vAlign w:val="center"/>
          </w:tcPr>
          <w:p w:rsidR="00D9569C" w:rsidRPr="00315F60" w:rsidRDefault="00D9569C" w:rsidP="00EF6B6C">
            <w:pPr>
              <w:pStyle w:val="Tabletext"/>
              <w:tabs>
                <w:tab w:val="decimal" w:pos="984"/>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6.1</w:t>
            </w:r>
          </w:p>
        </w:tc>
      </w:tr>
      <w:tr w:rsidR="00315F60" w:rsidRPr="00315F60" w:rsidTr="00D9569C">
        <w:tc>
          <w:tcPr>
            <w:cnfStyle w:val="001000000000" w:firstRow="0" w:lastRow="0" w:firstColumn="1" w:lastColumn="0" w:oddVBand="0" w:evenVBand="0" w:oddHBand="0" w:evenHBand="0" w:firstRowFirstColumn="0" w:firstRowLastColumn="0" w:lastRowFirstColumn="0" w:lastRowLastColumn="0"/>
            <w:tcW w:w="858" w:type="pct"/>
            <w:vAlign w:val="center"/>
          </w:tcPr>
          <w:p w:rsidR="00D9569C" w:rsidRPr="00315F60" w:rsidRDefault="00D9569C" w:rsidP="00EF6B6C">
            <w:pPr>
              <w:pStyle w:val="Tabletext"/>
              <w:rPr>
                <w:rFonts w:eastAsia="SimSun"/>
              </w:rPr>
            </w:pPr>
            <w:r w:rsidRPr="00315F60">
              <w:rPr>
                <w:rFonts w:eastAsia="SimSun"/>
              </w:rPr>
              <w:t>81-100 places</w:t>
            </w:r>
          </w:p>
        </w:tc>
        <w:tc>
          <w:tcPr>
            <w:tcW w:w="1380" w:type="pct"/>
            <w:vAlign w:val="center"/>
          </w:tcPr>
          <w:p w:rsidR="00D9569C" w:rsidRPr="00315F60" w:rsidRDefault="00D9569C" w:rsidP="00EF6B6C">
            <w:pPr>
              <w:pStyle w:val="Tabletext"/>
              <w:tabs>
                <w:tab w:val="decimal" w:pos="100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369</w:t>
            </w:r>
          </w:p>
        </w:tc>
        <w:tc>
          <w:tcPr>
            <w:tcW w:w="1381" w:type="pct"/>
            <w:vAlign w:val="center"/>
          </w:tcPr>
          <w:p w:rsidR="00D9569C" w:rsidRPr="00315F60" w:rsidRDefault="00D9569C" w:rsidP="00EF6B6C">
            <w:pPr>
              <w:pStyle w:val="Tabletext"/>
              <w:tabs>
                <w:tab w:val="decimal" w:pos="1076"/>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29</w:t>
            </w:r>
          </w:p>
        </w:tc>
        <w:tc>
          <w:tcPr>
            <w:tcW w:w="1381" w:type="pct"/>
            <w:vAlign w:val="center"/>
          </w:tcPr>
          <w:p w:rsidR="00D9569C" w:rsidRPr="00315F60" w:rsidRDefault="00D9569C" w:rsidP="00EF6B6C">
            <w:pPr>
              <w:pStyle w:val="Tabletext"/>
              <w:tabs>
                <w:tab w:val="decimal" w:pos="984"/>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12.7</w:t>
            </w:r>
          </w:p>
        </w:tc>
      </w:tr>
      <w:tr w:rsidR="00315F60" w:rsidRPr="00315F60" w:rsidTr="00D9569C">
        <w:tc>
          <w:tcPr>
            <w:cnfStyle w:val="001000000000" w:firstRow="0" w:lastRow="0" w:firstColumn="1" w:lastColumn="0" w:oddVBand="0" w:evenVBand="0" w:oddHBand="0" w:evenHBand="0" w:firstRowFirstColumn="0" w:firstRowLastColumn="0" w:lastRowFirstColumn="0" w:lastRowLastColumn="0"/>
            <w:tcW w:w="858" w:type="pct"/>
            <w:vAlign w:val="center"/>
          </w:tcPr>
          <w:p w:rsidR="00D9569C" w:rsidRPr="00315F60" w:rsidRDefault="00D9569C" w:rsidP="00EF6B6C">
            <w:pPr>
              <w:pStyle w:val="Tabletext"/>
              <w:rPr>
                <w:rFonts w:eastAsia="SimSun"/>
              </w:rPr>
            </w:pPr>
            <w:r w:rsidRPr="00315F60">
              <w:rPr>
                <w:rFonts w:eastAsia="SimSun"/>
              </w:rPr>
              <w:t>101+ places</w:t>
            </w:r>
          </w:p>
        </w:tc>
        <w:tc>
          <w:tcPr>
            <w:tcW w:w="1380" w:type="pct"/>
            <w:vAlign w:val="center"/>
          </w:tcPr>
          <w:p w:rsidR="00D9569C" w:rsidRPr="00315F60" w:rsidRDefault="00D9569C" w:rsidP="00EF6B6C">
            <w:pPr>
              <w:pStyle w:val="Tabletext"/>
              <w:tabs>
                <w:tab w:val="decimal" w:pos="100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360</w:t>
            </w:r>
          </w:p>
        </w:tc>
        <w:tc>
          <w:tcPr>
            <w:tcW w:w="1381" w:type="pct"/>
            <w:vAlign w:val="center"/>
          </w:tcPr>
          <w:p w:rsidR="00D9569C" w:rsidRPr="00315F60" w:rsidRDefault="00D9569C" w:rsidP="00EF6B6C">
            <w:pPr>
              <w:pStyle w:val="Tabletext"/>
              <w:tabs>
                <w:tab w:val="decimal" w:pos="1076"/>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49</w:t>
            </w:r>
          </w:p>
        </w:tc>
        <w:tc>
          <w:tcPr>
            <w:tcW w:w="1381" w:type="pct"/>
            <w:vAlign w:val="center"/>
          </w:tcPr>
          <w:p w:rsidR="00D9569C" w:rsidRPr="00315F60" w:rsidRDefault="00D9569C" w:rsidP="00EF6B6C">
            <w:pPr>
              <w:pStyle w:val="Tabletext"/>
              <w:tabs>
                <w:tab w:val="decimal" w:pos="984"/>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7.3</w:t>
            </w:r>
          </w:p>
        </w:tc>
      </w:tr>
      <w:tr w:rsidR="00315F60" w:rsidRPr="00315F60" w:rsidTr="00D9569C">
        <w:tc>
          <w:tcPr>
            <w:cnfStyle w:val="001000000000" w:firstRow="0" w:lastRow="0" w:firstColumn="1" w:lastColumn="0" w:oddVBand="0" w:evenVBand="0" w:oddHBand="0" w:evenHBand="0" w:firstRowFirstColumn="0" w:firstRowLastColumn="0" w:lastRowFirstColumn="0" w:lastRowLastColumn="0"/>
            <w:tcW w:w="858" w:type="pct"/>
            <w:vAlign w:val="center"/>
          </w:tcPr>
          <w:p w:rsidR="00D9569C" w:rsidRPr="00315F60" w:rsidRDefault="00D9569C" w:rsidP="00EF6B6C">
            <w:pPr>
              <w:pStyle w:val="Tabletext"/>
              <w:rPr>
                <w:rFonts w:eastAsia="SimSun"/>
                <w:b/>
              </w:rPr>
            </w:pPr>
            <w:r w:rsidRPr="00315F60">
              <w:rPr>
                <w:rFonts w:eastAsia="SimSun"/>
                <w:b/>
              </w:rPr>
              <w:t>Total</w:t>
            </w:r>
          </w:p>
        </w:tc>
        <w:tc>
          <w:tcPr>
            <w:tcW w:w="1380" w:type="pct"/>
            <w:vAlign w:val="center"/>
          </w:tcPr>
          <w:p w:rsidR="00D9569C" w:rsidRPr="00315F60" w:rsidRDefault="00D9569C" w:rsidP="00EF6B6C">
            <w:pPr>
              <w:pStyle w:val="Tabletext"/>
              <w:tabs>
                <w:tab w:val="decimal" w:pos="1005"/>
              </w:tabs>
              <w:cnfStyle w:val="000000000000" w:firstRow="0" w:lastRow="0" w:firstColumn="0" w:lastColumn="0" w:oddVBand="0" w:evenVBand="0" w:oddHBand="0" w:evenHBand="0" w:firstRowFirstColumn="0" w:firstRowLastColumn="0" w:lastRowFirstColumn="0" w:lastRowLastColumn="0"/>
              <w:rPr>
                <w:rFonts w:eastAsia="SimSun"/>
                <w:b/>
              </w:rPr>
            </w:pPr>
            <w:r w:rsidRPr="00315F60">
              <w:rPr>
                <w:rFonts w:eastAsia="SimSun"/>
                <w:b/>
              </w:rPr>
              <w:t>1,259</w:t>
            </w:r>
          </w:p>
        </w:tc>
        <w:tc>
          <w:tcPr>
            <w:tcW w:w="1381" w:type="pct"/>
            <w:vAlign w:val="center"/>
          </w:tcPr>
          <w:p w:rsidR="00D9569C" w:rsidRPr="00315F60" w:rsidRDefault="00D9569C" w:rsidP="00EF6B6C">
            <w:pPr>
              <w:pStyle w:val="Tabletext"/>
              <w:tabs>
                <w:tab w:val="decimal" w:pos="1076"/>
              </w:tabs>
              <w:cnfStyle w:val="000000000000" w:firstRow="0" w:lastRow="0" w:firstColumn="0" w:lastColumn="0" w:oddVBand="0" w:evenVBand="0" w:oddHBand="0" w:evenHBand="0" w:firstRowFirstColumn="0" w:firstRowLastColumn="0" w:lastRowFirstColumn="0" w:lastRowLastColumn="0"/>
              <w:rPr>
                <w:rFonts w:eastAsia="SimSun"/>
                <w:b/>
              </w:rPr>
            </w:pPr>
            <w:r w:rsidRPr="00315F60">
              <w:rPr>
                <w:rFonts w:eastAsia="SimSun"/>
                <w:b/>
              </w:rPr>
              <w:t>178</w:t>
            </w:r>
          </w:p>
        </w:tc>
        <w:tc>
          <w:tcPr>
            <w:tcW w:w="1381" w:type="pct"/>
            <w:vAlign w:val="center"/>
          </w:tcPr>
          <w:p w:rsidR="00D9569C" w:rsidRPr="00315F60" w:rsidRDefault="00D9569C" w:rsidP="00EF6B6C">
            <w:pPr>
              <w:pStyle w:val="Tabletext"/>
              <w:tabs>
                <w:tab w:val="decimal" w:pos="984"/>
              </w:tabs>
              <w:cnfStyle w:val="000000000000" w:firstRow="0" w:lastRow="0" w:firstColumn="0" w:lastColumn="0" w:oddVBand="0" w:evenVBand="0" w:oddHBand="0" w:evenHBand="0" w:firstRowFirstColumn="0" w:firstRowLastColumn="0" w:lastRowFirstColumn="0" w:lastRowLastColumn="0"/>
              <w:rPr>
                <w:rFonts w:eastAsia="SimSun"/>
                <w:b/>
              </w:rPr>
            </w:pPr>
            <w:r w:rsidRPr="00315F60">
              <w:rPr>
                <w:rFonts w:eastAsia="SimSun"/>
                <w:b/>
              </w:rPr>
              <w:t>7.1</w:t>
            </w:r>
          </w:p>
        </w:tc>
      </w:tr>
    </w:tbl>
    <w:p w:rsidR="00D9569C" w:rsidRPr="00315F60" w:rsidRDefault="00D9569C"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t>Type 1 Incidents involving the same resident</w:t>
      </w:r>
    </w:p>
    <w:p w:rsidR="00B078F7" w:rsidRPr="00315F60" w:rsidRDefault="00D9569C" w:rsidP="00EF6B6C">
      <w:pPr>
        <w:pStyle w:val="BodyText"/>
      </w:pPr>
      <w:r w:rsidRPr="00315F60">
        <w:t xml:space="preserve">There </w:t>
      </w:r>
      <w:r w:rsidR="00960158" w:rsidRPr="00315F60">
        <w:t xml:space="preserve">was a total of </w:t>
      </w:r>
      <w:r w:rsidRPr="00315F60">
        <w:t xml:space="preserve">123 services that reported two or more incidents. These 123 services were also asked whether these incidents involved the same resident. This was asked about </w:t>
      </w:r>
      <w:r w:rsidR="00960158" w:rsidRPr="00315F60">
        <w:t xml:space="preserve">all </w:t>
      </w:r>
      <w:r w:rsidRPr="00315F60">
        <w:t xml:space="preserve">incidents </w:t>
      </w:r>
      <w:r w:rsidR="00960158" w:rsidRPr="00315F60">
        <w:t xml:space="preserve">at an aggregate level </w:t>
      </w:r>
      <w:r w:rsidRPr="00315F60">
        <w:t>and was not captured at an individual incident level. For example</w:t>
      </w:r>
      <w:r w:rsidR="00745901" w:rsidRPr="00315F60">
        <w:t>,</w:t>
      </w:r>
      <w:r w:rsidRPr="00315F60">
        <w:t xml:space="preserve"> if a service reported five incidents</w:t>
      </w:r>
      <w:r w:rsidR="00745901" w:rsidRPr="00315F60">
        <w:t>,</w:t>
      </w:r>
      <w:r w:rsidRPr="00315F60">
        <w:t xml:space="preserve"> the data collected cannot discern whether the same resident was involved in all five incidents or </w:t>
      </w:r>
      <w:r w:rsidR="00745901" w:rsidRPr="00315F60">
        <w:t xml:space="preserve">that </w:t>
      </w:r>
      <w:r w:rsidRPr="00315F60">
        <w:t xml:space="preserve">the same resident was involved in two incidents and the remaining three incidents involved different residents. For those 123 services, the majority (78.9 per cent or 97 of 123) indicated that the same resident(s) </w:t>
      </w:r>
      <w:r w:rsidR="00960158" w:rsidRPr="00315F60">
        <w:t xml:space="preserve">was </w:t>
      </w:r>
      <w:r w:rsidRPr="00315F60">
        <w:t xml:space="preserve">involved. These 97 services also </w:t>
      </w:r>
      <w:r w:rsidR="00960158" w:rsidRPr="00315F60">
        <w:t xml:space="preserve">reported </w:t>
      </w:r>
      <w:r w:rsidRPr="00315F60">
        <w:t xml:space="preserve">1,163 incidents. This distribution is outlined in </w:t>
      </w:r>
      <w:r w:rsidRPr="00315F60">
        <w:fldChar w:fldCharType="begin"/>
      </w:r>
      <w:r w:rsidRPr="00315F60">
        <w:instrText xml:space="preserve"> REF _Ref23405245 \h  \* MERGEFORMAT </w:instrText>
      </w:r>
      <w:r w:rsidRPr="00315F60">
        <w:fldChar w:fldCharType="separate"/>
      </w:r>
      <w:r w:rsidR="004355CA" w:rsidRPr="00315F60">
        <w:t xml:space="preserve">Table </w:t>
      </w:r>
      <w:r w:rsidR="004355CA" w:rsidRPr="00315F60">
        <w:rPr>
          <w:noProof/>
        </w:rPr>
        <w:t>5</w:t>
      </w:r>
      <w:r w:rsidRPr="00315F60">
        <w:fldChar w:fldCharType="end"/>
      </w:r>
      <w:r w:rsidRPr="00315F60">
        <w:t>.</w:t>
      </w:r>
      <w:r w:rsidR="00B078F7" w:rsidRPr="00315F60">
        <w:br w:type="page"/>
      </w:r>
    </w:p>
    <w:p w:rsidR="00D9569C" w:rsidRPr="00315F60" w:rsidRDefault="00D9569C" w:rsidP="00EF6B6C">
      <w:pPr>
        <w:pStyle w:val="Caption"/>
        <w:rPr>
          <w:color w:val="auto"/>
        </w:rPr>
      </w:pPr>
      <w:bookmarkStart w:id="409" w:name="_Ref23405245"/>
      <w:r w:rsidRPr="00315F60">
        <w:rPr>
          <w:color w:val="auto"/>
        </w:rPr>
        <w:lastRenderedPageBreak/>
        <w:t xml:space="preserve">Table </w:t>
      </w:r>
      <w:r w:rsidRPr="00315F60">
        <w:rPr>
          <w:noProof/>
          <w:color w:val="auto"/>
        </w:rPr>
        <w:fldChar w:fldCharType="begin"/>
      </w:r>
      <w:r w:rsidRPr="00315F60">
        <w:rPr>
          <w:noProof/>
          <w:color w:val="auto"/>
        </w:rPr>
        <w:instrText xml:space="preserve"> SEQ Table \* ARABIC </w:instrText>
      </w:r>
      <w:r w:rsidRPr="00315F60">
        <w:rPr>
          <w:noProof/>
          <w:color w:val="auto"/>
        </w:rPr>
        <w:fldChar w:fldCharType="separate"/>
      </w:r>
      <w:r w:rsidR="004355CA" w:rsidRPr="00315F60">
        <w:rPr>
          <w:noProof/>
          <w:color w:val="auto"/>
        </w:rPr>
        <w:t>5</w:t>
      </w:r>
      <w:r w:rsidRPr="00315F60">
        <w:rPr>
          <w:noProof/>
          <w:color w:val="auto"/>
        </w:rPr>
        <w:fldChar w:fldCharType="end"/>
      </w:r>
      <w:bookmarkEnd w:id="409"/>
      <w:r w:rsidRPr="00315F60">
        <w:rPr>
          <w:color w:val="auto"/>
        </w:rPr>
        <w:t>: Count of services and incidents by whether the same resident was involved</w:t>
      </w:r>
    </w:p>
    <w:tbl>
      <w:tblPr>
        <w:tblStyle w:val="TableGridKPMGBlue1"/>
        <w:tblW w:w="5000" w:type="pct"/>
        <w:tblLook w:val="04A0" w:firstRow="1" w:lastRow="0" w:firstColumn="1" w:lastColumn="0" w:noHBand="0" w:noVBand="1"/>
        <w:tblDescription w:val="Table showing the count of services and incidents by whether the same resident was involved. "/>
      </w:tblPr>
      <w:tblGrid>
        <w:gridCol w:w="1361"/>
        <w:gridCol w:w="1942"/>
        <w:gridCol w:w="2084"/>
        <w:gridCol w:w="1973"/>
        <w:gridCol w:w="1700"/>
      </w:tblGrid>
      <w:tr w:rsidR="00315F60" w:rsidRPr="00315F60" w:rsidTr="00506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shd w:val="clear" w:color="auto" w:fill="000000" w:themeFill="text1"/>
            <w:vAlign w:val="center"/>
          </w:tcPr>
          <w:p w:rsidR="00D9569C" w:rsidRPr="00315F60" w:rsidRDefault="00D9569C" w:rsidP="00EF6B6C">
            <w:pPr>
              <w:pStyle w:val="Tableheading"/>
              <w:rPr>
                <w:rFonts w:eastAsia="SimSun"/>
                <w:color w:val="auto"/>
              </w:rPr>
            </w:pPr>
            <w:r w:rsidRPr="00315F60">
              <w:rPr>
                <w:rFonts w:eastAsia="SimSun"/>
                <w:color w:val="auto"/>
              </w:rPr>
              <w:t>Incidents involved the same resident</w:t>
            </w:r>
          </w:p>
        </w:tc>
        <w:tc>
          <w:tcPr>
            <w:tcW w:w="1072" w:type="pct"/>
            <w:shd w:val="clear" w:color="auto" w:fill="000000" w:themeFill="text1"/>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rFonts w:eastAsia="SimSun"/>
                <w:color w:val="auto"/>
              </w:rPr>
            </w:pPr>
            <w:r w:rsidRPr="00315F60">
              <w:rPr>
                <w:rFonts w:eastAsia="SimSun"/>
                <w:color w:val="auto"/>
              </w:rPr>
              <w:t>Count of services</w:t>
            </w:r>
          </w:p>
        </w:tc>
        <w:tc>
          <w:tcPr>
            <w:tcW w:w="1150" w:type="pct"/>
            <w:shd w:val="clear" w:color="auto" w:fill="000000" w:themeFill="text1"/>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rFonts w:eastAsia="SimSun"/>
                <w:color w:val="auto"/>
              </w:rPr>
            </w:pPr>
            <w:r w:rsidRPr="00315F60">
              <w:rPr>
                <w:rFonts w:eastAsia="SimSun"/>
                <w:color w:val="auto"/>
              </w:rPr>
              <w:t>Percentage of services</w:t>
            </w:r>
          </w:p>
        </w:tc>
        <w:tc>
          <w:tcPr>
            <w:tcW w:w="1089" w:type="pct"/>
            <w:shd w:val="clear" w:color="auto" w:fill="000000" w:themeFill="text1"/>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rFonts w:eastAsia="SimSun"/>
                <w:color w:val="auto"/>
              </w:rPr>
            </w:pPr>
            <w:r w:rsidRPr="00315F60">
              <w:rPr>
                <w:rFonts w:eastAsia="SimSun"/>
                <w:color w:val="auto"/>
              </w:rPr>
              <w:t>Sum of incidents</w:t>
            </w:r>
          </w:p>
        </w:tc>
        <w:tc>
          <w:tcPr>
            <w:tcW w:w="939" w:type="pct"/>
            <w:shd w:val="clear" w:color="auto" w:fill="000000" w:themeFill="text1"/>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rFonts w:eastAsia="SimSun"/>
                <w:color w:val="auto"/>
              </w:rPr>
            </w:pPr>
            <w:r w:rsidRPr="00315F60">
              <w:rPr>
                <w:rFonts w:eastAsia="SimSun"/>
                <w:color w:val="auto"/>
              </w:rPr>
              <w:t>Percentage of incidents</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751" w:type="pct"/>
            <w:vAlign w:val="center"/>
          </w:tcPr>
          <w:p w:rsidR="00D9569C" w:rsidRPr="00315F60" w:rsidRDefault="00D9569C" w:rsidP="00EF6B6C">
            <w:pPr>
              <w:pStyle w:val="Tabletext"/>
              <w:rPr>
                <w:rFonts w:eastAsia="SimSun"/>
              </w:rPr>
            </w:pPr>
            <w:r w:rsidRPr="00315F60">
              <w:rPr>
                <w:rFonts w:eastAsia="SimSun"/>
              </w:rPr>
              <w:t>No</w:t>
            </w:r>
          </w:p>
        </w:tc>
        <w:tc>
          <w:tcPr>
            <w:tcW w:w="1072" w:type="pct"/>
            <w:vAlign w:val="bottom"/>
          </w:tcPr>
          <w:p w:rsidR="00D9569C" w:rsidRPr="00315F60" w:rsidRDefault="00D9569C" w:rsidP="00EF6B6C">
            <w:pPr>
              <w:pStyle w:val="Tabletext"/>
              <w:tabs>
                <w:tab w:val="decimal" w:pos="958"/>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26</w:t>
            </w:r>
          </w:p>
        </w:tc>
        <w:tc>
          <w:tcPr>
            <w:tcW w:w="1150" w:type="pct"/>
            <w:vAlign w:val="bottom"/>
          </w:tcPr>
          <w:p w:rsidR="00D9569C" w:rsidRPr="00315F60" w:rsidRDefault="00D9569C" w:rsidP="00EF6B6C">
            <w:pPr>
              <w:pStyle w:val="Tabletext"/>
              <w:tabs>
                <w:tab w:val="decimal" w:pos="940"/>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21.1%</w:t>
            </w:r>
          </w:p>
        </w:tc>
        <w:tc>
          <w:tcPr>
            <w:tcW w:w="1089" w:type="pct"/>
            <w:vAlign w:val="bottom"/>
          </w:tcPr>
          <w:p w:rsidR="00D9569C" w:rsidRPr="00315F60" w:rsidRDefault="00D9569C" w:rsidP="00EF6B6C">
            <w:pPr>
              <w:pStyle w:val="Tabletext"/>
              <w:tabs>
                <w:tab w:val="decimal" w:pos="779"/>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69</w:t>
            </w:r>
          </w:p>
        </w:tc>
        <w:tc>
          <w:tcPr>
            <w:tcW w:w="939" w:type="pct"/>
            <w:vAlign w:val="bottom"/>
          </w:tcPr>
          <w:p w:rsidR="00D9569C" w:rsidRPr="00315F60" w:rsidRDefault="00D9569C" w:rsidP="00EF6B6C">
            <w:pPr>
              <w:pStyle w:val="Tabletext"/>
              <w:tabs>
                <w:tab w:val="decimal" w:pos="84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5.6%</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751" w:type="pct"/>
            <w:vAlign w:val="center"/>
          </w:tcPr>
          <w:p w:rsidR="00D9569C" w:rsidRPr="00315F60" w:rsidRDefault="00D9569C" w:rsidP="00EF6B6C">
            <w:pPr>
              <w:pStyle w:val="Tabletext"/>
              <w:rPr>
                <w:rFonts w:eastAsia="SimSun"/>
              </w:rPr>
            </w:pPr>
            <w:r w:rsidRPr="00315F60">
              <w:rPr>
                <w:rFonts w:eastAsia="SimSun"/>
              </w:rPr>
              <w:t>Yes</w:t>
            </w:r>
          </w:p>
        </w:tc>
        <w:tc>
          <w:tcPr>
            <w:tcW w:w="1072" w:type="pct"/>
            <w:vAlign w:val="bottom"/>
          </w:tcPr>
          <w:p w:rsidR="00D9569C" w:rsidRPr="00315F60" w:rsidRDefault="00D9569C" w:rsidP="00EF6B6C">
            <w:pPr>
              <w:pStyle w:val="Tabletext"/>
              <w:tabs>
                <w:tab w:val="decimal" w:pos="958"/>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97</w:t>
            </w:r>
          </w:p>
        </w:tc>
        <w:tc>
          <w:tcPr>
            <w:tcW w:w="1150" w:type="pct"/>
            <w:vAlign w:val="bottom"/>
          </w:tcPr>
          <w:p w:rsidR="00D9569C" w:rsidRPr="00315F60" w:rsidRDefault="00D9569C" w:rsidP="00EF6B6C">
            <w:pPr>
              <w:pStyle w:val="Tabletext"/>
              <w:tabs>
                <w:tab w:val="decimal" w:pos="940"/>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78.9%</w:t>
            </w:r>
          </w:p>
        </w:tc>
        <w:tc>
          <w:tcPr>
            <w:tcW w:w="1089" w:type="pct"/>
            <w:vAlign w:val="bottom"/>
          </w:tcPr>
          <w:p w:rsidR="00D9569C" w:rsidRPr="00315F60" w:rsidRDefault="00D9569C" w:rsidP="00EF6B6C">
            <w:pPr>
              <w:pStyle w:val="Tabletext"/>
              <w:tabs>
                <w:tab w:val="decimal" w:pos="779"/>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1,163</w:t>
            </w:r>
          </w:p>
        </w:tc>
        <w:tc>
          <w:tcPr>
            <w:tcW w:w="939" w:type="pct"/>
            <w:vAlign w:val="bottom"/>
          </w:tcPr>
          <w:p w:rsidR="00D9569C" w:rsidRPr="00315F60" w:rsidRDefault="00D9569C" w:rsidP="00EF6B6C">
            <w:pPr>
              <w:pStyle w:val="Tabletext"/>
              <w:tabs>
                <w:tab w:val="decimal" w:pos="84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94.4%</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751" w:type="pct"/>
            <w:vAlign w:val="center"/>
          </w:tcPr>
          <w:p w:rsidR="00D9569C" w:rsidRPr="00315F60" w:rsidRDefault="00D9569C" w:rsidP="00EF6B6C">
            <w:pPr>
              <w:pStyle w:val="Tabletext"/>
              <w:rPr>
                <w:rFonts w:eastAsia="SimSun"/>
                <w:b/>
              </w:rPr>
            </w:pPr>
            <w:r w:rsidRPr="00315F60">
              <w:rPr>
                <w:rFonts w:eastAsia="SimSun"/>
                <w:b/>
              </w:rPr>
              <w:t>Total</w:t>
            </w:r>
          </w:p>
        </w:tc>
        <w:tc>
          <w:tcPr>
            <w:tcW w:w="1072" w:type="pct"/>
            <w:vAlign w:val="bottom"/>
          </w:tcPr>
          <w:p w:rsidR="00D9569C" w:rsidRPr="00315F60" w:rsidRDefault="00D9569C" w:rsidP="00EF6B6C">
            <w:pPr>
              <w:pStyle w:val="Tabletext"/>
              <w:tabs>
                <w:tab w:val="decimal" w:pos="958"/>
              </w:tabs>
              <w:cnfStyle w:val="000000000000" w:firstRow="0" w:lastRow="0" w:firstColumn="0" w:lastColumn="0" w:oddVBand="0" w:evenVBand="0" w:oddHBand="0" w:evenHBand="0" w:firstRowFirstColumn="0" w:firstRowLastColumn="0" w:lastRowFirstColumn="0" w:lastRowLastColumn="0"/>
              <w:rPr>
                <w:rFonts w:eastAsia="SimSun"/>
                <w:b/>
              </w:rPr>
            </w:pPr>
            <w:r w:rsidRPr="00315F60">
              <w:rPr>
                <w:rFonts w:eastAsia="SimSun"/>
                <w:b/>
              </w:rPr>
              <w:t>123</w:t>
            </w:r>
          </w:p>
        </w:tc>
        <w:tc>
          <w:tcPr>
            <w:tcW w:w="1150" w:type="pct"/>
            <w:vAlign w:val="bottom"/>
          </w:tcPr>
          <w:p w:rsidR="00D9569C" w:rsidRPr="00315F60" w:rsidRDefault="00D9569C" w:rsidP="00EF6B6C">
            <w:pPr>
              <w:pStyle w:val="Tabletext"/>
              <w:tabs>
                <w:tab w:val="decimal" w:pos="940"/>
              </w:tabs>
              <w:cnfStyle w:val="000000000000" w:firstRow="0" w:lastRow="0" w:firstColumn="0" w:lastColumn="0" w:oddVBand="0" w:evenVBand="0" w:oddHBand="0" w:evenHBand="0" w:firstRowFirstColumn="0" w:firstRowLastColumn="0" w:lastRowFirstColumn="0" w:lastRowLastColumn="0"/>
              <w:rPr>
                <w:rFonts w:eastAsia="SimSun"/>
                <w:b/>
              </w:rPr>
            </w:pPr>
            <w:r w:rsidRPr="00315F60">
              <w:rPr>
                <w:rFonts w:eastAsia="SimSun"/>
                <w:b/>
              </w:rPr>
              <w:t>100.0%</w:t>
            </w:r>
          </w:p>
        </w:tc>
        <w:tc>
          <w:tcPr>
            <w:tcW w:w="1089" w:type="pct"/>
            <w:vAlign w:val="bottom"/>
          </w:tcPr>
          <w:p w:rsidR="00D9569C" w:rsidRPr="00315F60" w:rsidRDefault="00D9569C" w:rsidP="00EF6B6C">
            <w:pPr>
              <w:pStyle w:val="Tabletext"/>
              <w:tabs>
                <w:tab w:val="decimal" w:pos="779"/>
              </w:tabs>
              <w:cnfStyle w:val="000000000000" w:firstRow="0" w:lastRow="0" w:firstColumn="0" w:lastColumn="0" w:oddVBand="0" w:evenVBand="0" w:oddHBand="0" w:evenHBand="0" w:firstRowFirstColumn="0" w:firstRowLastColumn="0" w:lastRowFirstColumn="0" w:lastRowLastColumn="0"/>
              <w:rPr>
                <w:rFonts w:eastAsia="SimSun"/>
                <w:b/>
              </w:rPr>
            </w:pPr>
            <w:r w:rsidRPr="00315F60">
              <w:rPr>
                <w:rFonts w:eastAsia="SimSun"/>
                <w:b/>
              </w:rPr>
              <w:t>1,232</w:t>
            </w:r>
          </w:p>
        </w:tc>
        <w:tc>
          <w:tcPr>
            <w:tcW w:w="939" w:type="pct"/>
            <w:vAlign w:val="bottom"/>
          </w:tcPr>
          <w:p w:rsidR="00D9569C" w:rsidRPr="00315F60" w:rsidRDefault="00D9569C" w:rsidP="00EF6B6C">
            <w:pPr>
              <w:pStyle w:val="Tabletext"/>
              <w:tabs>
                <w:tab w:val="decimal" w:pos="845"/>
              </w:tabs>
              <w:cnfStyle w:val="000000000000" w:firstRow="0" w:lastRow="0" w:firstColumn="0" w:lastColumn="0" w:oddVBand="0" w:evenVBand="0" w:oddHBand="0" w:evenHBand="0" w:firstRowFirstColumn="0" w:firstRowLastColumn="0" w:lastRowFirstColumn="0" w:lastRowLastColumn="0"/>
              <w:rPr>
                <w:rFonts w:eastAsia="SimSun"/>
                <w:b/>
              </w:rPr>
            </w:pPr>
            <w:r w:rsidRPr="00315F60">
              <w:rPr>
                <w:rFonts w:eastAsia="SimSun"/>
                <w:b/>
              </w:rPr>
              <w:t>100.0%</w:t>
            </w:r>
          </w:p>
        </w:tc>
      </w:tr>
    </w:tbl>
    <w:p w:rsidR="00D9569C" w:rsidRPr="00315F60" w:rsidRDefault="00D9569C" w:rsidP="00FA0BA9">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EF6B6C">
      <w:pPr>
        <w:pStyle w:val="BodyText"/>
      </w:pPr>
      <w:r w:rsidRPr="00315F60">
        <w:t xml:space="preserve">There </w:t>
      </w:r>
      <w:r w:rsidR="00960158" w:rsidRPr="00315F60">
        <w:t xml:space="preserve">was a total of </w:t>
      </w:r>
      <w:r w:rsidRPr="00315F60">
        <w:t xml:space="preserve">60 services that reported seven or more Type 1 incidents for the six month window. All 60 services indicated that the same resident(s) </w:t>
      </w:r>
      <w:r w:rsidR="00960158" w:rsidRPr="00315F60">
        <w:t xml:space="preserve">was </w:t>
      </w:r>
      <w:r w:rsidRPr="00315F60">
        <w:t xml:space="preserve">involved. As described above, if there were seven incidents, the data collected does not discern whether the same resident was involved in all seven incidents or if one resident was involved in three incidents and another resident in four incidents. </w:t>
      </w:r>
    </w:p>
    <w:p w:rsidR="00D9569C" w:rsidRPr="00315F60" w:rsidRDefault="00D9569C"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t>Type 1 Incidents by month</w:t>
      </w:r>
    </w:p>
    <w:p w:rsidR="00D9569C" w:rsidRPr="00315F60" w:rsidRDefault="00D9569C" w:rsidP="00EF6B6C">
      <w:pPr>
        <w:pStyle w:val="BodyText"/>
      </w:pPr>
      <w:r w:rsidRPr="00315F60">
        <w:t xml:space="preserve">Services provided data about the date of </w:t>
      </w:r>
      <w:r w:rsidR="00960158" w:rsidRPr="00315F60">
        <w:t xml:space="preserve">the </w:t>
      </w:r>
      <w:r w:rsidRPr="00315F60">
        <w:t>incident (dd/mm/yyyy). The distribution of Type 1 incidents was similar across each month. Notably, there was a slightly higher number of incidents reported in July but</w:t>
      </w:r>
      <w:r w:rsidR="00745901" w:rsidRPr="00315F60">
        <w:t>,</w:t>
      </w:r>
      <w:r w:rsidRPr="00315F60">
        <w:t xml:space="preserve"> generally</w:t>
      </w:r>
      <w:r w:rsidR="00745901" w:rsidRPr="00315F60">
        <w:t>,</w:t>
      </w:r>
      <w:r w:rsidRPr="00315F60">
        <w:t xml:space="preserve"> </w:t>
      </w:r>
      <w:r w:rsidR="00745901" w:rsidRPr="00315F60">
        <w:t xml:space="preserve">there was </w:t>
      </w:r>
      <w:r w:rsidRPr="00315F60">
        <w:t xml:space="preserve">limited variation across </w:t>
      </w:r>
      <w:r w:rsidR="00BE1A9C" w:rsidRPr="00315F60">
        <w:t xml:space="preserve">the </w:t>
      </w:r>
      <w:r w:rsidRPr="00315F60">
        <w:t xml:space="preserve">total </w:t>
      </w:r>
      <w:r w:rsidR="00BE1A9C" w:rsidRPr="00315F60">
        <w:t xml:space="preserve">number of </w:t>
      </w:r>
      <w:r w:rsidRPr="00315F60">
        <w:t xml:space="preserve">incidents reported for each individual month. This distribution is illustrated in </w:t>
      </w:r>
      <w:r w:rsidRPr="00315F60">
        <w:fldChar w:fldCharType="begin"/>
      </w:r>
      <w:r w:rsidRPr="00315F60">
        <w:instrText xml:space="preserve"> REF _Ref23405310 \h  \* MERGEFORMAT </w:instrText>
      </w:r>
      <w:r w:rsidRPr="00315F60">
        <w:fldChar w:fldCharType="separate"/>
      </w:r>
      <w:r w:rsidR="004355CA" w:rsidRPr="00315F60">
        <w:t>Figure 9</w:t>
      </w:r>
      <w:r w:rsidRPr="00315F60">
        <w:fldChar w:fldCharType="end"/>
      </w:r>
      <w:r w:rsidRPr="00315F60">
        <w:t xml:space="preserve">. On average, 1.2 Type 1 incidents </w:t>
      </w:r>
      <w:r w:rsidR="00BE1A9C" w:rsidRPr="00315F60">
        <w:t xml:space="preserve">were reported </w:t>
      </w:r>
      <w:r w:rsidRPr="00315F60">
        <w:t>per month per service</w:t>
      </w:r>
      <w:r w:rsidR="00745901" w:rsidRPr="00315F60">
        <w:t>,</w:t>
      </w:r>
      <w:r w:rsidRPr="00315F60">
        <w:t xml:space="preserve"> i.e. 1,259 incidents divided by 178 services = 7.1 incidents per service. 7.1 incidents per service divided by six months = 1.2 Type 1 incidents per month</w:t>
      </w:r>
      <w:r w:rsidR="001952BF" w:rsidRPr="00315F60">
        <w:t xml:space="preserve">. </w:t>
      </w:r>
    </w:p>
    <w:p w:rsidR="00D9569C" w:rsidRPr="00315F60" w:rsidRDefault="00D9569C" w:rsidP="00EF6B6C">
      <w:pPr>
        <w:pStyle w:val="Caption"/>
        <w:rPr>
          <w:color w:val="auto"/>
        </w:rPr>
      </w:pPr>
      <w:bookmarkStart w:id="410" w:name="_Ref23405153"/>
      <w:r w:rsidRPr="00315F60">
        <w:rPr>
          <w:color w:val="auto"/>
        </w:rPr>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8</w:t>
      </w:r>
      <w:r w:rsidR="0088210D" w:rsidRPr="00315F60">
        <w:rPr>
          <w:noProof/>
          <w:color w:val="auto"/>
        </w:rPr>
        <w:fldChar w:fldCharType="end"/>
      </w:r>
      <w:bookmarkEnd w:id="410"/>
      <w:r w:rsidRPr="00315F60">
        <w:rPr>
          <w:color w:val="auto"/>
        </w:rPr>
        <w:t xml:space="preserve">: Count of total incidents reported by month from participating services, Type 1 incidents </w:t>
      </w:r>
    </w:p>
    <w:p w:rsidR="00D9569C" w:rsidRPr="00315F60" w:rsidRDefault="00D9569C" w:rsidP="002E7D8E">
      <w:pPr>
        <w:pStyle w:val="BodyTextFigure"/>
      </w:pPr>
      <w:r w:rsidRPr="00315F60">
        <w:drawing>
          <wp:inline distT="0" distB="0" distL="0" distR="0" wp14:anchorId="1FDA9FA5" wp14:editId="212B50CA">
            <wp:extent cx="4679950" cy="2520000"/>
            <wp:effectExtent l="0" t="0" r="6350" b="13970"/>
            <wp:docPr id="14604" name="Chart 14604" descr="Line graph showing count of total incidents reported by month  from participating services of Type 1 incidents between February and July.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9569C" w:rsidRPr="00315F60" w:rsidRDefault="00D9569C"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D9569C">
      <w:pPr>
        <w:keepNext/>
        <w:keepLines/>
        <w:numPr>
          <w:ilvl w:val="2"/>
          <w:numId w:val="9"/>
        </w:numPr>
        <w:spacing w:before="240"/>
        <w:outlineLvl w:val="2"/>
        <w:rPr>
          <w:rFonts w:eastAsiaTheme="majorEastAsia" w:cstheme="majorBidi"/>
          <w:sz w:val="24"/>
          <w:szCs w:val="24"/>
        </w:rPr>
      </w:pPr>
      <w:bookmarkStart w:id="411" w:name="_Ref23367632"/>
      <w:r w:rsidRPr="00315F60">
        <w:rPr>
          <w:rFonts w:eastAsiaTheme="majorEastAsia" w:cstheme="majorBidi"/>
          <w:sz w:val="24"/>
          <w:szCs w:val="24"/>
        </w:rPr>
        <w:t>Type 1 Incidents by reportable assault type</w:t>
      </w:r>
      <w:bookmarkEnd w:id="411"/>
    </w:p>
    <w:p w:rsidR="00D9569C" w:rsidRPr="00315F60" w:rsidRDefault="00D9569C" w:rsidP="00EF6B6C">
      <w:pPr>
        <w:pStyle w:val="BodyText"/>
      </w:pPr>
      <w:r w:rsidRPr="00315F60">
        <w:t>For each Type 1 incident, the service was asked to select all reportable a</w:t>
      </w:r>
      <w:r w:rsidR="00745901" w:rsidRPr="00315F60">
        <w:t>ssault types that applied (i.e. U</w:t>
      </w:r>
      <w:r w:rsidRPr="00315F60">
        <w:t xml:space="preserve">nreasonable use of force, </w:t>
      </w:r>
      <w:r w:rsidR="00745901" w:rsidRPr="00315F60">
        <w:t>U</w:t>
      </w:r>
      <w:r w:rsidRPr="00315F60">
        <w:t xml:space="preserve">nlawful sexual contact, or </w:t>
      </w:r>
      <w:r w:rsidR="00745901" w:rsidRPr="00315F60">
        <w:t>U</w:t>
      </w:r>
      <w:r w:rsidRPr="00315F60">
        <w:t>nable to determine). All respondents selected one reportable assault type for each incident, except for one incident that involved both unlawful sexual contact and unreasonable use of force. The reportable assault type was unable to be determined in only seven of 1</w:t>
      </w:r>
      <w:r w:rsidR="00745901" w:rsidRPr="00315F60">
        <w:t>,</w:t>
      </w:r>
      <w:r w:rsidRPr="00315F60">
        <w:t xml:space="preserve">259 (0.6 per cent) incidents. Notably, unreasonable use of force was reported in the majority of incidents (95.0 per cent) and unlawful sexual contact in a minority of incidents (4.4 per cent). This distribution is illustrated in </w:t>
      </w:r>
      <w:r w:rsidRPr="00315F60">
        <w:fldChar w:fldCharType="begin"/>
      </w:r>
      <w:r w:rsidRPr="00315F60">
        <w:instrText xml:space="preserve"> REF _Ref23405310 \h  \* MERGEFORMAT </w:instrText>
      </w:r>
      <w:r w:rsidRPr="00315F60">
        <w:fldChar w:fldCharType="separate"/>
      </w:r>
      <w:r w:rsidR="004355CA" w:rsidRPr="00315F60">
        <w:t xml:space="preserve">Figure </w:t>
      </w:r>
      <w:r w:rsidR="004355CA" w:rsidRPr="00315F60">
        <w:rPr>
          <w:noProof/>
        </w:rPr>
        <w:t>9</w:t>
      </w:r>
      <w:r w:rsidRPr="00315F60">
        <w:fldChar w:fldCharType="end"/>
      </w:r>
      <w:r w:rsidRPr="00315F60">
        <w:t>.</w:t>
      </w:r>
    </w:p>
    <w:p w:rsidR="00D9569C" w:rsidRPr="00315F60" w:rsidRDefault="00D9569C" w:rsidP="00EF6B6C">
      <w:pPr>
        <w:pStyle w:val="Caption"/>
        <w:rPr>
          <w:color w:val="auto"/>
        </w:rPr>
      </w:pPr>
      <w:bookmarkStart w:id="412" w:name="_Ref23405310"/>
      <w:bookmarkStart w:id="413" w:name="_Ref23405305"/>
      <w:r w:rsidRPr="00315F60">
        <w:rPr>
          <w:color w:val="auto"/>
        </w:rPr>
        <w:lastRenderedPageBreak/>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9</w:t>
      </w:r>
      <w:r w:rsidR="0088210D" w:rsidRPr="00315F60">
        <w:rPr>
          <w:noProof/>
          <w:color w:val="auto"/>
        </w:rPr>
        <w:fldChar w:fldCharType="end"/>
      </w:r>
      <w:bookmarkEnd w:id="412"/>
      <w:r w:rsidRPr="00315F60">
        <w:rPr>
          <w:noProof/>
          <w:color w:val="auto"/>
        </w:rPr>
        <w:t>:</w:t>
      </w:r>
      <w:r w:rsidRPr="00315F60">
        <w:rPr>
          <w:color w:val="auto"/>
        </w:rPr>
        <w:t xml:space="preserve"> Count of reportable assault types, Type 1 incidents</w:t>
      </w:r>
      <w:bookmarkEnd w:id="413"/>
      <w:r w:rsidRPr="00315F60">
        <w:rPr>
          <w:color w:val="auto"/>
        </w:rPr>
        <w:t xml:space="preserve"> </w:t>
      </w:r>
    </w:p>
    <w:p w:rsidR="00D9569C" w:rsidRPr="00315F60" w:rsidRDefault="00D9569C" w:rsidP="002E7D8E">
      <w:pPr>
        <w:pStyle w:val="BodyTextFigure"/>
      </w:pPr>
      <w:r w:rsidRPr="00315F60">
        <w:drawing>
          <wp:inline distT="0" distB="0" distL="0" distR="0" wp14:anchorId="15C712AD" wp14:editId="112440A8">
            <wp:extent cx="5759450" cy="2383155"/>
            <wp:effectExtent l="0" t="0" r="12700" b="17145"/>
            <wp:docPr id="14556" name="Chart 14556" descr="Bar graph showing count of reportable assault types of Type 1 incidents, including unreasonable use of force and unlawful sexual contact.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84F52" w:rsidRPr="00315F60">
        <w:rPr>
          <w:rStyle w:val="FootnoteReference"/>
        </w:rPr>
        <w:footnoteReference w:id="24"/>
      </w:r>
    </w:p>
    <w:p w:rsidR="00D9569C" w:rsidRPr="00315F60" w:rsidRDefault="00D9569C"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t>Type 1 Incidents by perpetrator behaviours</w:t>
      </w:r>
    </w:p>
    <w:p w:rsidR="00D9569C" w:rsidRPr="00315F60" w:rsidRDefault="00D9569C" w:rsidP="00EF6B6C">
      <w:pPr>
        <w:pStyle w:val="BodyText"/>
      </w:pPr>
      <w:r w:rsidRPr="00315F60">
        <w:t>For each Type 1 incident, the respondent was also asked to select all behaviours that were displayed by the alleged perpetrator. One behaviour type wa</w:t>
      </w:r>
      <w:r w:rsidR="0006033D" w:rsidRPr="00315F60">
        <w:t>s selected in 1,206 of the 1,259</w:t>
      </w:r>
      <w:r w:rsidRPr="00315F60">
        <w:t xml:space="preserve"> (95.</w:t>
      </w:r>
      <w:r w:rsidR="00A617E7" w:rsidRPr="00315F60">
        <w:t>8</w:t>
      </w:r>
      <w:r w:rsidRPr="00315F60">
        <w:t xml:space="preserve"> per cent) Type</w:t>
      </w:r>
      <w:r w:rsidR="00735619" w:rsidRPr="00315F60">
        <w:t> </w:t>
      </w:r>
      <w:r w:rsidRPr="00315F60">
        <w:t xml:space="preserve">1 incidents and two behaviour types or more were selected in 55 incidents (4.4 per cent). Pushing or shoving, kicking, hitting, punching, slapping, biting and/or burning behaviour was the most common behaviour type, being reported in 1,038 (82.3 per cent) of Type 1 incidents. This distribution is illustrated in </w:t>
      </w:r>
      <w:r w:rsidRPr="00315F60">
        <w:fldChar w:fldCharType="begin"/>
      </w:r>
      <w:r w:rsidRPr="00315F60">
        <w:instrText xml:space="preserve"> REF _Ref23405365 \h  \* MERGEFORMAT </w:instrText>
      </w:r>
      <w:r w:rsidRPr="00315F60">
        <w:fldChar w:fldCharType="separate"/>
      </w:r>
      <w:r w:rsidR="004355CA" w:rsidRPr="00315F60">
        <w:t>Figure 10</w:t>
      </w:r>
      <w:r w:rsidRPr="00315F60">
        <w:fldChar w:fldCharType="end"/>
      </w:r>
      <w:r w:rsidRPr="00315F60">
        <w:t xml:space="preserve">. </w:t>
      </w:r>
    </w:p>
    <w:p w:rsidR="00D9569C" w:rsidRPr="00315F60" w:rsidRDefault="00D9569C" w:rsidP="00EF6B6C">
      <w:pPr>
        <w:pStyle w:val="Caption"/>
        <w:rPr>
          <w:color w:val="auto"/>
        </w:rPr>
      </w:pPr>
      <w:bookmarkStart w:id="414" w:name="_Ref23405365"/>
      <w:r w:rsidRPr="00315F60">
        <w:rPr>
          <w:color w:val="auto"/>
        </w:rPr>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10</w:t>
      </w:r>
      <w:r w:rsidR="0088210D" w:rsidRPr="00315F60">
        <w:rPr>
          <w:noProof/>
          <w:color w:val="auto"/>
        </w:rPr>
        <w:fldChar w:fldCharType="end"/>
      </w:r>
      <w:bookmarkEnd w:id="414"/>
      <w:r w:rsidRPr="00315F60">
        <w:rPr>
          <w:color w:val="auto"/>
        </w:rPr>
        <w:t>: Count of alleged perpetrator behaviours, Type 1 incidents</w:t>
      </w:r>
    </w:p>
    <w:p w:rsidR="00D9569C" w:rsidRPr="00315F60" w:rsidRDefault="00D9569C" w:rsidP="00B078F7">
      <w:pPr>
        <w:pStyle w:val="Source"/>
        <w:jc w:val="center"/>
      </w:pPr>
      <w:r w:rsidRPr="00315F60">
        <w:rPr>
          <w:noProof/>
          <w:lang w:eastAsia="en-AU"/>
        </w:rPr>
        <w:drawing>
          <wp:inline distT="0" distB="0" distL="0" distR="0">
            <wp:extent cx="5684400" cy="2520000"/>
            <wp:effectExtent l="0" t="0" r="12065" b="13970"/>
            <wp:docPr id="193" name="Chart 193" descr="Bar graph showing count of alleged perpetrator behaviours of Type 1 inciden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A87B95" w:rsidRPr="00315F60" w:rsidRDefault="00A87B95" w:rsidP="00D9569C">
      <w:pPr>
        <w:rPr>
          <w:rFonts w:eastAsia="SimSun" w:cs="Times New Roman"/>
          <w:sz w:val="16"/>
          <w:szCs w:val="20"/>
        </w:rPr>
      </w:pPr>
    </w:p>
    <w:p w:rsidR="00D9569C" w:rsidRPr="00315F60" w:rsidRDefault="00D9569C"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lastRenderedPageBreak/>
        <w:t>Type 1 Incidents by victim impact</w:t>
      </w:r>
    </w:p>
    <w:p w:rsidR="00D9569C" w:rsidRPr="00315F60" w:rsidRDefault="00D9569C" w:rsidP="00EF6B6C">
      <w:pPr>
        <w:pStyle w:val="BodyText"/>
      </w:pPr>
      <w:r w:rsidRPr="00315F60">
        <w:t>For each Type 1 incident, the respondent was asked to select the impact of the reportable assault that most closely align</w:t>
      </w:r>
      <w:r w:rsidR="008366DF" w:rsidRPr="00315F60">
        <w:t>ed</w:t>
      </w:r>
      <w:r w:rsidRPr="00315F60">
        <w:t xml:space="preserve"> with the impact on the resident.</w:t>
      </w:r>
      <w:r w:rsidR="00A84F52" w:rsidRPr="00315F60">
        <w:rPr>
          <w:rStyle w:val="FootnoteReference"/>
        </w:rPr>
        <w:footnoteReference w:id="25"/>
      </w:r>
      <w:r w:rsidRPr="00315F60">
        <w:t xml:space="preserve"> The most common impact was that the incident had no impact on the victim, which was reported in 740 incidents (58.8 per cent). Notably, physical or psychological injury or illness requiring a hospital admission (but not</w:t>
      </w:r>
      <w:r w:rsidR="00745901" w:rsidRPr="00315F60">
        <w:t xml:space="preserve"> permanent) occurred in only 12 </w:t>
      </w:r>
      <w:r w:rsidRPr="00315F60">
        <w:t xml:space="preserve">incidents (1.0 per cent) and physical or psychological injury or illness requiring onsite medical or psychological treatment occurred in only 38 (3.0 per cent) of incidents. This distribution is illustrated in </w:t>
      </w:r>
      <w:r w:rsidRPr="00315F60">
        <w:fldChar w:fldCharType="begin"/>
      </w:r>
      <w:r w:rsidRPr="00315F60">
        <w:instrText xml:space="preserve"> REF _Ref23405389 \h  \* MERGEFORMAT </w:instrText>
      </w:r>
      <w:r w:rsidRPr="00315F60">
        <w:fldChar w:fldCharType="separate"/>
      </w:r>
      <w:r w:rsidR="004355CA" w:rsidRPr="00315F60">
        <w:t xml:space="preserve">Figure </w:t>
      </w:r>
      <w:r w:rsidR="004355CA" w:rsidRPr="00315F60">
        <w:rPr>
          <w:noProof/>
        </w:rPr>
        <w:t>11</w:t>
      </w:r>
      <w:r w:rsidRPr="00315F60">
        <w:fldChar w:fldCharType="end"/>
      </w:r>
      <w:r w:rsidRPr="00315F60">
        <w:t>.</w:t>
      </w:r>
    </w:p>
    <w:p w:rsidR="00D9569C" w:rsidRPr="00315F60" w:rsidRDefault="00D9569C" w:rsidP="00EF6B6C">
      <w:pPr>
        <w:pStyle w:val="Caption"/>
        <w:rPr>
          <w:color w:val="auto"/>
        </w:rPr>
      </w:pPr>
      <w:bookmarkStart w:id="415" w:name="_Ref23405389"/>
      <w:r w:rsidRPr="00315F60">
        <w:rPr>
          <w:color w:val="auto"/>
        </w:rPr>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11</w:t>
      </w:r>
      <w:r w:rsidR="0088210D" w:rsidRPr="00315F60">
        <w:rPr>
          <w:noProof/>
          <w:color w:val="auto"/>
        </w:rPr>
        <w:fldChar w:fldCharType="end"/>
      </w:r>
      <w:bookmarkEnd w:id="415"/>
      <w:r w:rsidRPr="00315F60">
        <w:rPr>
          <w:color w:val="auto"/>
        </w:rPr>
        <w:t>: Count of impact of the reportable assault on the victim, Type 1 incidents</w:t>
      </w:r>
    </w:p>
    <w:p w:rsidR="00D9569C" w:rsidRPr="00315F60" w:rsidRDefault="00D9569C" w:rsidP="002E7D8E">
      <w:pPr>
        <w:pStyle w:val="BodyTextFigure"/>
      </w:pPr>
      <w:r w:rsidRPr="00315F60">
        <w:drawing>
          <wp:inline distT="0" distB="0" distL="0" distR="0" wp14:anchorId="0A3143A6" wp14:editId="1EFCF56C">
            <wp:extent cx="5759450" cy="2851785"/>
            <wp:effectExtent l="0" t="0" r="12700" b="5715"/>
            <wp:docPr id="192" name="Chart 192" descr="Bar graph showing count of impact of the reportable assault on the victim of Type 1 inciden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9569C" w:rsidRPr="00315F60" w:rsidRDefault="00D9569C"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EF6B6C">
      <w:pPr>
        <w:pStyle w:val="BodyTextkeepwithnext"/>
      </w:pPr>
      <w:r w:rsidRPr="00315F60">
        <w:t xml:space="preserve">This distribution is important as there is an order to these impact options. This order ranges from no impact to fatality or severe permanent physical or psychological impairment and is outlined below: </w:t>
      </w:r>
    </w:p>
    <w:p w:rsidR="00D9569C" w:rsidRPr="00315F60" w:rsidRDefault="00D9569C" w:rsidP="007F13A4">
      <w:pPr>
        <w:pStyle w:val="Bullet1stlevel"/>
      </w:pPr>
      <w:r w:rsidRPr="00315F60">
        <w:t xml:space="preserve">No impact (or least harm) </w:t>
      </w:r>
    </w:p>
    <w:p w:rsidR="00D9569C" w:rsidRPr="00315F60" w:rsidRDefault="00D9569C" w:rsidP="007F13A4">
      <w:pPr>
        <w:pStyle w:val="Bullet1stlevel"/>
      </w:pPr>
      <w:r w:rsidRPr="00315F60">
        <w:t>Minor physical or psychological injury or discomfort which were resolved without formal medical or psychological interventions</w:t>
      </w:r>
    </w:p>
    <w:p w:rsidR="00D9569C" w:rsidRPr="00315F60" w:rsidRDefault="00D9569C" w:rsidP="007F13A4">
      <w:pPr>
        <w:pStyle w:val="Bullet1stlevel"/>
      </w:pPr>
      <w:r w:rsidRPr="00315F60">
        <w:t>Physical or psychological injury or illness requiring onsite medical or psychological treatment</w:t>
      </w:r>
    </w:p>
    <w:p w:rsidR="00D9569C" w:rsidRPr="00315F60" w:rsidRDefault="00D9569C" w:rsidP="007F13A4">
      <w:pPr>
        <w:pStyle w:val="Bullet1stlevel"/>
      </w:pPr>
      <w:r w:rsidRPr="00315F60">
        <w:t>Physical or psychological injury or illness requiring a hospital admission (but not permanent)</w:t>
      </w:r>
    </w:p>
    <w:p w:rsidR="00D9569C" w:rsidRPr="00315F60" w:rsidRDefault="00D9569C" w:rsidP="007F13A4">
      <w:pPr>
        <w:pStyle w:val="Bullet1stlevel"/>
      </w:pPr>
      <w:r w:rsidRPr="00315F60">
        <w:t>Permanent physical or psychological impairment</w:t>
      </w:r>
    </w:p>
    <w:p w:rsidR="00D9569C" w:rsidRPr="00315F60" w:rsidRDefault="00D9569C" w:rsidP="007F13A4">
      <w:pPr>
        <w:pStyle w:val="Bullet1stlevel"/>
      </w:pPr>
      <w:r w:rsidRPr="00315F60">
        <w:t>Fatality or severe permanent physical or psychological impairment (or most harm).</w:t>
      </w:r>
    </w:p>
    <w:p w:rsidR="00D9569C" w:rsidRPr="00315F60" w:rsidRDefault="00D9569C" w:rsidP="00EF6B6C">
      <w:pPr>
        <w:pStyle w:val="BodyText"/>
      </w:pPr>
      <w:r w:rsidRPr="00315F60">
        <w:t>No incidents were reported against the last two options (most harmful options). The “mid-level” impact options of physical or psychological injury or illness requiring onsite medical or psychological treatment (38 incidents) and physical or psychological injury or illness requiring a hospital admission (but not permanent) (12 incidents) were selected in a total of 50 Type 1 incidents (4.0 per cent)</w:t>
      </w:r>
      <w:r w:rsidR="001952BF" w:rsidRPr="00315F60">
        <w:t xml:space="preserve">. </w:t>
      </w:r>
    </w:p>
    <w:p w:rsidR="00D9569C" w:rsidRPr="00315F60" w:rsidRDefault="00D9569C"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lastRenderedPageBreak/>
        <w:t>Type 1 Incidents by service response</w:t>
      </w:r>
    </w:p>
    <w:p w:rsidR="00A87B95" w:rsidRPr="00315F60" w:rsidRDefault="00D9569C" w:rsidP="00EF6B6C">
      <w:pPr>
        <w:pStyle w:val="BodyText"/>
      </w:pPr>
      <w:r w:rsidRPr="00315F60">
        <w:t>For each Type 1 incident</w:t>
      </w:r>
      <w:r w:rsidR="00745901" w:rsidRPr="00315F60">
        <w:t>,</w:t>
      </w:r>
      <w:r w:rsidRPr="00315F60">
        <w:t xml:space="preserve"> the </w:t>
      </w:r>
      <w:r w:rsidR="00D56E48" w:rsidRPr="00315F60">
        <w:t xml:space="preserve">service </w:t>
      </w:r>
      <w:r w:rsidRPr="00315F60">
        <w:t xml:space="preserve">was asked to select all actions </w:t>
      </w:r>
      <w:r w:rsidR="008366DF" w:rsidRPr="00315F60">
        <w:t xml:space="preserve">that were </w:t>
      </w:r>
      <w:r w:rsidRPr="00315F60">
        <w:t>taken in response to the incident.</w:t>
      </w:r>
      <w:r w:rsidR="00A84F52" w:rsidRPr="00315F60">
        <w:rPr>
          <w:rStyle w:val="FootnoteReference"/>
        </w:rPr>
        <w:footnoteReference w:id="26"/>
      </w:r>
      <w:r w:rsidRPr="00315F60">
        <w:t xml:space="preserve"> The most common response by a respondent was to take two actions in response to a Type</w:t>
      </w:r>
      <w:r w:rsidR="008366DF" w:rsidRPr="00315F60">
        <w:t> </w:t>
      </w:r>
      <w:r w:rsidRPr="00315F60">
        <w:t>1 incident, wh</w:t>
      </w:r>
      <w:r w:rsidR="0006033D" w:rsidRPr="00315F60">
        <w:t>ich occurred in 512 of the 1,259</w:t>
      </w:r>
      <w:r w:rsidR="00A617E7" w:rsidRPr="00315F60">
        <w:t xml:space="preserve"> reported Type 1 incidents (40.7</w:t>
      </w:r>
      <w:r w:rsidRPr="00315F60">
        <w:t xml:space="preserve"> per cent). The top three actions</w:t>
      </w:r>
      <w:r w:rsidR="008366DF" w:rsidRPr="00315F60">
        <w:t xml:space="preserve"> </w:t>
      </w:r>
      <w:r w:rsidRPr="00315F60">
        <w:t>were update to the perpetrator</w:t>
      </w:r>
      <w:r w:rsidR="00D56E48" w:rsidRPr="00315F60">
        <w:t>’</w:t>
      </w:r>
      <w:r w:rsidRPr="00315F60">
        <w:t xml:space="preserve">s care plan, referral to GP and update to victim’s care plan. This is outlined in </w:t>
      </w:r>
      <w:r w:rsidRPr="00315F60">
        <w:fldChar w:fldCharType="begin"/>
      </w:r>
      <w:r w:rsidRPr="00315F60">
        <w:instrText xml:space="preserve"> REF _Ref23405434 \h  \* MERGEFORMAT </w:instrText>
      </w:r>
      <w:r w:rsidRPr="00315F60">
        <w:fldChar w:fldCharType="separate"/>
      </w:r>
      <w:r w:rsidR="004355CA" w:rsidRPr="00315F60">
        <w:t xml:space="preserve">Table </w:t>
      </w:r>
      <w:r w:rsidR="004355CA" w:rsidRPr="00315F60">
        <w:rPr>
          <w:noProof/>
        </w:rPr>
        <w:t>6</w:t>
      </w:r>
      <w:r w:rsidRPr="00315F60">
        <w:fldChar w:fldCharType="end"/>
      </w:r>
      <w:r w:rsidRPr="00315F60">
        <w:t xml:space="preserve"> and illustrated in </w:t>
      </w:r>
      <w:r w:rsidRPr="00315F60">
        <w:fldChar w:fldCharType="begin"/>
      </w:r>
      <w:r w:rsidRPr="00315F60">
        <w:instrText xml:space="preserve"> REF _Ref23405463 \h  \* MERGEFORMAT </w:instrText>
      </w:r>
      <w:r w:rsidRPr="00315F60">
        <w:fldChar w:fldCharType="separate"/>
      </w:r>
      <w:r w:rsidR="004355CA" w:rsidRPr="00315F60">
        <w:t xml:space="preserve">Figure </w:t>
      </w:r>
      <w:r w:rsidR="004355CA" w:rsidRPr="00315F60">
        <w:rPr>
          <w:noProof/>
        </w:rPr>
        <w:t>12</w:t>
      </w:r>
      <w:r w:rsidRPr="00315F60">
        <w:fldChar w:fldCharType="end"/>
      </w:r>
      <w:r w:rsidRPr="00315F60">
        <w:t xml:space="preserve">. </w:t>
      </w:r>
    </w:p>
    <w:p w:rsidR="00D9569C" w:rsidRPr="00315F60" w:rsidRDefault="00D9569C" w:rsidP="00EF6B6C">
      <w:pPr>
        <w:pStyle w:val="Caption"/>
        <w:rPr>
          <w:color w:val="auto"/>
        </w:rPr>
      </w:pPr>
      <w:bookmarkStart w:id="416" w:name="_Ref23405463"/>
      <w:r w:rsidRPr="00315F60">
        <w:rPr>
          <w:color w:val="auto"/>
        </w:rPr>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12</w:t>
      </w:r>
      <w:r w:rsidR="0088210D" w:rsidRPr="00315F60">
        <w:rPr>
          <w:noProof/>
          <w:color w:val="auto"/>
        </w:rPr>
        <w:fldChar w:fldCharType="end"/>
      </w:r>
      <w:bookmarkEnd w:id="416"/>
      <w:r w:rsidRPr="00315F60">
        <w:rPr>
          <w:color w:val="auto"/>
        </w:rPr>
        <w:t>: Count of provider actions taken for Type 1 incidents</w:t>
      </w:r>
    </w:p>
    <w:p w:rsidR="00D9569C" w:rsidRPr="00315F60" w:rsidRDefault="00D9569C" w:rsidP="002E7D8E">
      <w:pPr>
        <w:pStyle w:val="BodyTextFigure"/>
      </w:pPr>
      <w:r w:rsidRPr="00315F60">
        <w:drawing>
          <wp:inline distT="0" distB="0" distL="0" distR="0" wp14:anchorId="695FF9F6" wp14:editId="22054862">
            <wp:extent cx="5507990" cy="3352800"/>
            <wp:effectExtent l="0" t="0" r="16510" b="0"/>
            <wp:docPr id="195" name="Chart 195" descr="Bar graph showing count of provider actions taken for Type 1 inciden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9569C" w:rsidRPr="00315F60" w:rsidRDefault="00D9569C"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D9569C">
      <w:pPr>
        <w:keepNext/>
        <w:rPr>
          <w:iCs/>
          <w:sz w:val="18"/>
          <w:szCs w:val="18"/>
        </w:rPr>
      </w:pPr>
      <w:bookmarkStart w:id="417" w:name="_Ref23405434"/>
      <w:r w:rsidRPr="00315F60">
        <w:rPr>
          <w:i/>
          <w:iCs/>
          <w:sz w:val="18"/>
          <w:szCs w:val="18"/>
        </w:rPr>
        <w:t xml:space="preserve">Table </w:t>
      </w:r>
      <w:r w:rsidRPr="00315F60">
        <w:rPr>
          <w:i/>
          <w:iCs/>
          <w:noProof/>
          <w:sz w:val="18"/>
          <w:szCs w:val="18"/>
        </w:rPr>
        <w:fldChar w:fldCharType="begin"/>
      </w:r>
      <w:r w:rsidRPr="00315F60">
        <w:rPr>
          <w:i/>
          <w:iCs/>
          <w:noProof/>
          <w:sz w:val="18"/>
          <w:szCs w:val="18"/>
        </w:rPr>
        <w:instrText xml:space="preserve"> SEQ Table \* ARABIC </w:instrText>
      </w:r>
      <w:r w:rsidRPr="00315F60">
        <w:rPr>
          <w:i/>
          <w:iCs/>
          <w:noProof/>
          <w:sz w:val="18"/>
          <w:szCs w:val="18"/>
        </w:rPr>
        <w:fldChar w:fldCharType="separate"/>
      </w:r>
      <w:r w:rsidR="004355CA" w:rsidRPr="00315F60">
        <w:rPr>
          <w:i/>
          <w:iCs/>
          <w:noProof/>
          <w:sz w:val="18"/>
          <w:szCs w:val="18"/>
        </w:rPr>
        <w:t>6</w:t>
      </w:r>
      <w:r w:rsidRPr="00315F60">
        <w:rPr>
          <w:i/>
          <w:iCs/>
          <w:noProof/>
          <w:sz w:val="18"/>
          <w:szCs w:val="18"/>
        </w:rPr>
        <w:fldChar w:fldCharType="end"/>
      </w:r>
      <w:bookmarkEnd w:id="417"/>
      <w:r w:rsidRPr="00315F60">
        <w:rPr>
          <w:i/>
          <w:iCs/>
          <w:sz w:val="18"/>
          <w:szCs w:val="18"/>
        </w:rPr>
        <w:t>: Count of provider actions taken by provider in response, Type 1 incidents</w:t>
      </w:r>
      <w:r w:rsidRPr="00315F60" w:rsidDel="00A813AC">
        <w:rPr>
          <w:i/>
          <w:iCs/>
          <w:sz w:val="18"/>
          <w:szCs w:val="18"/>
        </w:rPr>
        <w:t xml:space="preserve"> </w:t>
      </w:r>
    </w:p>
    <w:tbl>
      <w:tblPr>
        <w:tblStyle w:val="TableGridKPMGBlue1"/>
        <w:tblW w:w="9151" w:type="dxa"/>
        <w:tblLook w:val="04A0" w:firstRow="1" w:lastRow="0" w:firstColumn="1" w:lastColumn="0" w:noHBand="0" w:noVBand="1"/>
        <w:tblDescription w:val="Table showing the count of provider actions taken by providers in response to Type 1 incidents."/>
      </w:tblPr>
      <w:tblGrid>
        <w:gridCol w:w="2547"/>
        <w:gridCol w:w="3130"/>
        <w:gridCol w:w="3474"/>
      </w:tblGrid>
      <w:tr w:rsidR="00315F60" w:rsidRPr="00315F60" w:rsidTr="00506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000000" w:themeFill="text1"/>
            <w:vAlign w:val="center"/>
          </w:tcPr>
          <w:p w:rsidR="00D9569C" w:rsidRPr="00315F60" w:rsidRDefault="00D9569C" w:rsidP="00EF6B6C">
            <w:pPr>
              <w:pStyle w:val="Tableheading"/>
              <w:rPr>
                <w:rFonts w:eastAsia="SimSun"/>
                <w:color w:val="auto"/>
              </w:rPr>
            </w:pPr>
            <w:r w:rsidRPr="00315F60">
              <w:rPr>
                <w:rFonts w:eastAsia="SimSun"/>
                <w:color w:val="auto"/>
              </w:rPr>
              <w:t>Service size</w:t>
            </w:r>
          </w:p>
        </w:tc>
        <w:tc>
          <w:tcPr>
            <w:tcW w:w="3130" w:type="dxa"/>
            <w:shd w:val="clear" w:color="auto" w:fill="000000" w:themeFill="text1"/>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rFonts w:eastAsia="SimSun"/>
                <w:color w:val="auto"/>
              </w:rPr>
            </w:pPr>
            <w:r w:rsidRPr="00315F60">
              <w:rPr>
                <w:rFonts w:eastAsia="SimSun"/>
                <w:color w:val="auto"/>
              </w:rPr>
              <w:t>Incidents</w:t>
            </w:r>
          </w:p>
        </w:tc>
        <w:tc>
          <w:tcPr>
            <w:tcW w:w="3474" w:type="dxa"/>
            <w:shd w:val="clear" w:color="auto" w:fill="000000" w:themeFill="text1"/>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rFonts w:eastAsia="SimSun"/>
                <w:color w:val="auto"/>
              </w:rPr>
            </w:pPr>
            <w:r w:rsidRPr="00315F60">
              <w:rPr>
                <w:rFonts w:eastAsia="SimSun"/>
                <w:color w:val="auto"/>
              </w:rPr>
              <w:t>Percentage</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547" w:type="dxa"/>
            <w:vAlign w:val="center"/>
          </w:tcPr>
          <w:p w:rsidR="00D9569C" w:rsidRPr="00315F60" w:rsidRDefault="00D9569C" w:rsidP="00EF6B6C">
            <w:pPr>
              <w:pStyle w:val="Tabletext"/>
              <w:rPr>
                <w:rFonts w:eastAsia="SimSun"/>
              </w:rPr>
            </w:pPr>
            <w:r w:rsidRPr="00315F60">
              <w:rPr>
                <w:rFonts w:eastAsia="SimSun"/>
              </w:rPr>
              <w:t>One action</w:t>
            </w:r>
          </w:p>
        </w:tc>
        <w:tc>
          <w:tcPr>
            <w:tcW w:w="3130" w:type="dxa"/>
            <w:vAlign w:val="center"/>
          </w:tcPr>
          <w:p w:rsidR="00D9569C" w:rsidRPr="00315F60" w:rsidRDefault="00D9569C" w:rsidP="00EF6B6C">
            <w:pPr>
              <w:pStyle w:val="Tabletext"/>
              <w:tabs>
                <w:tab w:val="decimal" w:pos="86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283</w:t>
            </w:r>
          </w:p>
        </w:tc>
        <w:tc>
          <w:tcPr>
            <w:tcW w:w="3474" w:type="dxa"/>
            <w:vAlign w:val="center"/>
          </w:tcPr>
          <w:p w:rsidR="00D9569C" w:rsidRPr="00315F60" w:rsidRDefault="00D9569C" w:rsidP="00EF6B6C">
            <w:pPr>
              <w:pStyle w:val="Tabletext"/>
              <w:tabs>
                <w:tab w:val="decimal" w:pos="589"/>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22.5%</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547" w:type="dxa"/>
            <w:vAlign w:val="center"/>
          </w:tcPr>
          <w:p w:rsidR="00D9569C" w:rsidRPr="00315F60" w:rsidRDefault="00D9569C" w:rsidP="00EF6B6C">
            <w:pPr>
              <w:pStyle w:val="Tabletext"/>
              <w:rPr>
                <w:rFonts w:eastAsia="SimSun"/>
              </w:rPr>
            </w:pPr>
            <w:r w:rsidRPr="00315F60">
              <w:rPr>
                <w:rFonts w:eastAsia="SimSun"/>
              </w:rPr>
              <w:t>Two actions</w:t>
            </w:r>
          </w:p>
        </w:tc>
        <w:tc>
          <w:tcPr>
            <w:tcW w:w="3130" w:type="dxa"/>
            <w:vAlign w:val="center"/>
          </w:tcPr>
          <w:p w:rsidR="00D9569C" w:rsidRPr="00315F60" w:rsidRDefault="00D9569C" w:rsidP="00EF6B6C">
            <w:pPr>
              <w:pStyle w:val="Tabletext"/>
              <w:tabs>
                <w:tab w:val="decimal" w:pos="86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511</w:t>
            </w:r>
          </w:p>
        </w:tc>
        <w:tc>
          <w:tcPr>
            <w:tcW w:w="3474" w:type="dxa"/>
            <w:vAlign w:val="center"/>
          </w:tcPr>
          <w:p w:rsidR="00D9569C" w:rsidRPr="00315F60" w:rsidRDefault="00D9569C" w:rsidP="00EF6B6C">
            <w:pPr>
              <w:pStyle w:val="Tabletext"/>
              <w:tabs>
                <w:tab w:val="decimal" w:pos="589"/>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40.6%</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547" w:type="dxa"/>
            <w:vAlign w:val="center"/>
          </w:tcPr>
          <w:p w:rsidR="00D9569C" w:rsidRPr="00315F60" w:rsidRDefault="00D9569C" w:rsidP="00EF6B6C">
            <w:pPr>
              <w:pStyle w:val="Tabletext"/>
              <w:rPr>
                <w:rFonts w:eastAsia="SimSun"/>
              </w:rPr>
            </w:pPr>
            <w:r w:rsidRPr="00315F60">
              <w:rPr>
                <w:rFonts w:eastAsia="SimSun"/>
              </w:rPr>
              <w:t>Three actions</w:t>
            </w:r>
          </w:p>
        </w:tc>
        <w:tc>
          <w:tcPr>
            <w:tcW w:w="3130" w:type="dxa"/>
            <w:vAlign w:val="center"/>
          </w:tcPr>
          <w:p w:rsidR="00D9569C" w:rsidRPr="00315F60" w:rsidRDefault="00D9569C" w:rsidP="00EF6B6C">
            <w:pPr>
              <w:pStyle w:val="Tabletext"/>
              <w:tabs>
                <w:tab w:val="decimal" w:pos="86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247</w:t>
            </w:r>
          </w:p>
        </w:tc>
        <w:tc>
          <w:tcPr>
            <w:tcW w:w="3474" w:type="dxa"/>
            <w:vAlign w:val="center"/>
          </w:tcPr>
          <w:p w:rsidR="00D9569C" w:rsidRPr="00315F60" w:rsidRDefault="00D9569C" w:rsidP="00EF6B6C">
            <w:pPr>
              <w:pStyle w:val="Tabletext"/>
              <w:tabs>
                <w:tab w:val="decimal" w:pos="589"/>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19.6%</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547" w:type="dxa"/>
            <w:vAlign w:val="center"/>
          </w:tcPr>
          <w:p w:rsidR="00D9569C" w:rsidRPr="00315F60" w:rsidRDefault="00D9569C" w:rsidP="00EF6B6C">
            <w:pPr>
              <w:pStyle w:val="Tabletext"/>
              <w:rPr>
                <w:rFonts w:eastAsia="SimSun"/>
              </w:rPr>
            </w:pPr>
            <w:r w:rsidRPr="00315F60">
              <w:rPr>
                <w:rFonts w:eastAsia="SimSun"/>
              </w:rPr>
              <w:t>Four actions</w:t>
            </w:r>
          </w:p>
        </w:tc>
        <w:tc>
          <w:tcPr>
            <w:tcW w:w="3130" w:type="dxa"/>
            <w:vAlign w:val="center"/>
          </w:tcPr>
          <w:p w:rsidR="00D9569C" w:rsidRPr="00315F60" w:rsidRDefault="00D9569C" w:rsidP="00EF6B6C">
            <w:pPr>
              <w:pStyle w:val="Tabletext"/>
              <w:tabs>
                <w:tab w:val="decimal" w:pos="86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173</w:t>
            </w:r>
          </w:p>
        </w:tc>
        <w:tc>
          <w:tcPr>
            <w:tcW w:w="3474" w:type="dxa"/>
            <w:vAlign w:val="center"/>
          </w:tcPr>
          <w:p w:rsidR="00D9569C" w:rsidRPr="00315F60" w:rsidRDefault="00D9569C" w:rsidP="00EF6B6C">
            <w:pPr>
              <w:pStyle w:val="Tabletext"/>
              <w:tabs>
                <w:tab w:val="decimal" w:pos="589"/>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13.7%</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547" w:type="dxa"/>
            <w:vAlign w:val="center"/>
          </w:tcPr>
          <w:p w:rsidR="00D9569C" w:rsidRPr="00315F60" w:rsidRDefault="00D9569C" w:rsidP="00EF6B6C">
            <w:pPr>
              <w:pStyle w:val="Tabletext"/>
              <w:rPr>
                <w:rFonts w:eastAsia="SimSun"/>
              </w:rPr>
            </w:pPr>
            <w:r w:rsidRPr="00315F60">
              <w:rPr>
                <w:rFonts w:eastAsia="SimSun"/>
              </w:rPr>
              <w:t>Five or more actions</w:t>
            </w:r>
          </w:p>
        </w:tc>
        <w:tc>
          <w:tcPr>
            <w:tcW w:w="3130" w:type="dxa"/>
            <w:vAlign w:val="center"/>
          </w:tcPr>
          <w:p w:rsidR="00D9569C" w:rsidRPr="00315F60" w:rsidRDefault="00D9569C" w:rsidP="00EF6B6C">
            <w:pPr>
              <w:pStyle w:val="Tabletext"/>
              <w:tabs>
                <w:tab w:val="decimal" w:pos="865"/>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45</w:t>
            </w:r>
          </w:p>
        </w:tc>
        <w:tc>
          <w:tcPr>
            <w:tcW w:w="3474" w:type="dxa"/>
            <w:vAlign w:val="center"/>
          </w:tcPr>
          <w:p w:rsidR="00D9569C" w:rsidRPr="00315F60" w:rsidRDefault="00D9569C" w:rsidP="00EF6B6C">
            <w:pPr>
              <w:pStyle w:val="Tabletext"/>
              <w:tabs>
                <w:tab w:val="decimal" w:pos="589"/>
              </w:tabs>
              <w:cnfStyle w:val="000000000000" w:firstRow="0" w:lastRow="0" w:firstColumn="0" w:lastColumn="0" w:oddVBand="0" w:evenVBand="0" w:oddHBand="0" w:evenHBand="0" w:firstRowFirstColumn="0" w:firstRowLastColumn="0" w:lastRowFirstColumn="0" w:lastRowLastColumn="0"/>
              <w:rPr>
                <w:rFonts w:eastAsia="SimSun"/>
              </w:rPr>
            </w:pPr>
            <w:r w:rsidRPr="00315F60">
              <w:rPr>
                <w:rFonts w:eastAsia="SimSun"/>
              </w:rPr>
              <w:t>3.6%</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547" w:type="dxa"/>
            <w:vAlign w:val="center"/>
          </w:tcPr>
          <w:p w:rsidR="00D9569C" w:rsidRPr="00315F60" w:rsidRDefault="00D9569C" w:rsidP="00EF6B6C">
            <w:pPr>
              <w:pStyle w:val="Tabletext"/>
              <w:rPr>
                <w:rFonts w:eastAsia="SimSun"/>
                <w:b/>
              </w:rPr>
            </w:pPr>
            <w:r w:rsidRPr="00315F60">
              <w:rPr>
                <w:rFonts w:eastAsia="SimSun"/>
                <w:b/>
              </w:rPr>
              <w:t>Total</w:t>
            </w:r>
          </w:p>
        </w:tc>
        <w:tc>
          <w:tcPr>
            <w:tcW w:w="3130" w:type="dxa"/>
            <w:vAlign w:val="center"/>
          </w:tcPr>
          <w:p w:rsidR="00D9569C" w:rsidRPr="00315F60" w:rsidRDefault="00D9569C" w:rsidP="00EF6B6C">
            <w:pPr>
              <w:pStyle w:val="Tabletext"/>
              <w:tabs>
                <w:tab w:val="decimal" w:pos="865"/>
              </w:tabs>
              <w:cnfStyle w:val="000000000000" w:firstRow="0" w:lastRow="0" w:firstColumn="0" w:lastColumn="0" w:oddVBand="0" w:evenVBand="0" w:oddHBand="0" w:evenHBand="0" w:firstRowFirstColumn="0" w:firstRowLastColumn="0" w:lastRowFirstColumn="0" w:lastRowLastColumn="0"/>
              <w:rPr>
                <w:rFonts w:eastAsia="SimSun"/>
                <w:b/>
              </w:rPr>
            </w:pPr>
            <w:r w:rsidRPr="00315F60">
              <w:rPr>
                <w:rFonts w:eastAsia="SimSun"/>
                <w:b/>
              </w:rPr>
              <w:t>1,259</w:t>
            </w:r>
          </w:p>
        </w:tc>
        <w:tc>
          <w:tcPr>
            <w:tcW w:w="3474" w:type="dxa"/>
            <w:vAlign w:val="center"/>
          </w:tcPr>
          <w:p w:rsidR="00D9569C" w:rsidRPr="00315F60" w:rsidRDefault="00D9569C" w:rsidP="00EF6B6C">
            <w:pPr>
              <w:pStyle w:val="Tabletext"/>
              <w:tabs>
                <w:tab w:val="decimal" w:pos="589"/>
              </w:tabs>
              <w:cnfStyle w:val="000000000000" w:firstRow="0" w:lastRow="0" w:firstColumn="0" w:lastColumn="0" w:oddVBand="0" w:evenVBand="0" w:oddHBand="0" w:evenHBand="0" w:firstRowFirstColumn="0" w:firstRowLastColumn="0" w:lastRowFirstColumn="0" w:lastRowLastColumn="0"/>
              <w:rPr>
                <w:rFonts w:eastAsia="SimSun"/>
                <w:b/>
              </w:rPr>
            </w:pPr>
            <w:r w:rsidRPr="00315F60">
              <w:rPr>
                <w:rFonts w:eastAsia="SimSun"/>
                <w:b/>
              </w:rPr>
              <w:t>100%</w:t>
            </w:r>
          </w:p>
        </w:tc>
      </w:tr>
    </w:tbl>
    <w:p w:rsidR="00A87B95" w:rsidRPr="00315F60" w:rsidRDefault="00D9569C"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t>Type 1 Incident Type by perpetrator behaviour and victim impact</w:t>
      </w:r>
    </w:p>
    <w:p w:rsidR="00D9569C" w:rsidRPr="00315F60" w:rsidRDefault="00D9569C" w:rsidP="00EF6B6C">
      <w:pPr>
        <w:pStyle w:val="BodyText"/>
      </w:pPr>
      <w:r w:rsidRPr="00315F60">
        <w:t>The next step in the analysis</w:t>
      </w:r>
      <w:r w:rsidR="008366DF" w:rsidRPr="00315F60">
        <w:t xml:space="preserve"> of data submitted</w:t>
      </w:r>
      <w:r w:rsidRPr="00315F60">
        <w:t xml:space="preserve"> involved breaking down the Type 1 incident type by perpetrator behaviours and victim impact. A total of 1,196 Type 1 incidents were classified as </w:t>
      </w:r>
      <w:r w:rsidRPr="00315F60">
        <w:lastRenderedPageBreak/>
        <w:t xml:space="preserve">unreasonable use of force. </w:t>
      </w:r>
      <w:r w:rsidR="009E10AA" w:rsidRPr="00315F60">
        <w:t xml:space="preserve">The majority of </w:t>
      </w:r>
      <w:r w:rsidR="005E0D36" w:rsidRPr="00315F60">
        <w:t>the</w:t>
      </w:r>
      <w:r w:rsidR="009E10AA" w:rsidRPr="00315F60">
        <w:t xml:space="preserve"> incidents that were reported as unreasonable use of force displayed </w:t>
      </w:r>
      <w:r w:rsidRPr="00315F60">
        <w:t xml:space="preserve">perpetrator behaviours </w:t>
      </w:r>
      <w:r w:rsidR="009E10AA" w:rsidRPr="00315F60">
        <w:t>of pushing or shoving, kicking, hitting, punching, slapping, biting and/or burning</w:t>
      </w:r>
      <w:r w:rsidRPr="00315F60">
        <w:t xml:space="preserve"> and resulted in no impact on the victim. The distribution of perpetrator behaviours</w:t>
      </w:r>
      <w:r w:rsidR="008366DF" w:rsidRPr="00315F60">
        <w:t xml:space="preserve"> reported for incidents involving unreasonable use of force</w:t>
      </w:r>
      <w:r w:rsidRPr="00315F60">
        <w:t xml:space="preserve"> is illustrated in </w:t>
      </w:r>
      <w:r w:rsidRPr="00315F60">
        <w:fldChar w:fldCharType="begin"/>
      </w:r>
      <w:r w:rsidRPr="00315F60">
        <w:instrText xml:space="preserve"> REF _Ref23405626 \h  \* MERGEFORMAT </w:instrText>
      </w:r>
      <w:r w:rsidRPr="00315F60">
        <w:fldChar w:fldCharType="separate"/>
      </w:r>
      <w:r w:rsidR="004355CA" w:rsidRPr="00315F60">
        <w:t xml:space="preserve">Figure </w:t>
      </w:r>
      <w:r w:rsidR="004355CA" w:rsidRPr="00315F60">
        <w:rPr>
          <w:noProof/>
        </w:rPr>
        <w:t>13</w:t>
      </w:r>
      <w:r w:rsidRPr="00315F60">
        <w:fldChar w:fldCharType="end"/>
      </w:r>
      <w:r w:rsidRPr="00315F60">
        <w:t xml:space="preserve">, while the distribution of victim impact is illustrated in </w:t>
      </w:r>
      <w:r w:rsidRPr="00315F60">
        <w:fldChar w:fldCharType="begin"/>
      </w:r>
      <w:r w:rsidRPr="00315F60">
        <w:instrText xml:space="preserve"> REF _Ref23405731 \h  \* MERGEFORMAT </w:instrText>
      </w:r>
      <w:r w:rsidRPr="00315F60">
        <w:fldChar w:fldCharType="separate"/>
      </w:r>
      <w:r w:rsidR="004355CA" w:rsidRPr="00315F60">
        <w:t xml:space="preserve">Figure </w:t>
      </w:r>
      <w:r w:rsidR="004355CA" w:rsidRPr="00315F60">
        <w:rPr>
          <w:noProof/>
        </w:rPr>
        <w:t>14</w:t>
      </w:r>
      <w:r w:rsidRPr="00315F60">
        <w:fldChar w:fldCharType="end"/>
      </w:r>
      <w:r w:rsidRPr="00315F60">
        <w:t>.</w:t>
      </w:r>
    </w:p>
    <w:p w:rsidR="00B078F7" w:rsidRPr="00315F60" w:rsidRDefault="00B078F7" w:rsidP="00B078F7">
      <w:pPr>
        <w:pStyle w:val="Caption"/>
        <w:rPr>
          <w:color w:val="auto"/>
        </w:rPr>
      </w:pPr>
      <w:r w:rsidRPr="00315F60">
        <w:rPr>
          <w:color w:val="auto"/>
        </w:rPr>
        <w:t xml:space="preserve">Figure </w:t>
      </w:r>
      <w:r w:rsidRPr="00315F60">
        <w:rPr>
          <w:color w:val="auto"/>
        </w:rPr>
        <w:fldChar w:fldCharType="begin"/>
      </w:r>
      <w:r w:rsidRPr="00315F60">
        <w:rPr>
          <w:color w:val="auto"/>
        </w:rPr>
        <w:instrText xml:space="preserve"> SEQ Figure \* ARABIC </w:instrText>
      </w:r>
      <w:r w:rsidRPr="00315F60">
        <w:rPr>
          <w:color w:val="auto"/>
        </w:rPr>
        <w:fldChar w:fldCharType="separate"/>
      </w:r>
      <w:r w:rsidRPr="00315F60">
        <w:rPr>
          <w:color w:val="auto"/>
        </w:rPr>
        <w:t>13</w:t>
      </w:r>
      <w:r w:rsidRPr="00315F60">
        <w:rPr>
          <w:color w:val="auto"/>
        </w:rPr>
        <w:fldChar w:fldCharType="end"/>
      </w:r>
      <w:r w:rsidRPr="00315F60">
        <w:rPr>
          <w:color w:val="auto"/>
        </w:rPr>
        <w:t>: Perpetrator behaviours in unreasonable use of force assaults, Type 1 incidents</w:t>
      </w:r>
    </w:p>
    <w:p w:rsidR="00D9569C" w:rsidRPr="00315F60" w:rsidRDefault="00D9569C" w:rsidP="00B078F7">
      <w:pPr>
        <w:pStyle w:val="Caption"/>
        <w:jc w:val="center"/>
        <w:rPr>
          <w:color w:val="auto"/>
        </w:rPr>
      </w:pPr>
      <w:bookmarkStart w:id="418" w:name="_Ref23405626"/>
      <w:r w:rsidRPr="00315F60">
        <w:rPr>
          <w:noProof/>
          <w:color w:val="auto"/>
          <w:lang w:eastAsia="en-AU"/>
        </w:rPr>
        <w:drawing>
          <wp:inline distT="0" distB="0" distL="0" distR="0">
            <wp:extent cx="5612130" cy="3318934"/>
            <wp:effectExtent l="0" t="0" r="7620" b="15240"/>
            <wp:docPr id="14607" name="Chart 14607" descr="Stacked bar graph shows the number of Type 1 incidents reported for unreasonable use of force assaults by perpetrator behaviou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418"/>
    </w:p>
    <w:p w:rsidR="00D9569C" w:rsidRPr="00315F60" w:rsidRDefault="00D9569C"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EF6B6C">
      <w:pPr>
        <w:pStyle w:val="Caption"/>
        <w:rPr>
          <w:color w:val="auto"/>
        </w:rPr>
      </w:pPr>
      <w:bookmarkStart w:id="419" w:name="_Ref23405731"/>
      <w:r w:rsidRPr="00315F60">
        <w:rPr>
          <w:color w:val="auto"/>
        </w:rPr>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14</w:t>
      </w:r>
      <w:r w:rsidR="0088210D" w:rsidRPr="00315F60">
        <w:rPr>
          <w:noProof/>
          <w:color w:val="auto"/>
        </w:rPr>
        <w:fldChar w:fldCharType="end"/>
      </w:r>
      <w:bookmarkEnd w:id="419"/>
      <w:r w:rsidRPr="00315F60">
        <w:rPr>
          <w:color w:val="auto"/>
        </w:rPr>
        <w:t>: Victim impact in unreasonable use of force assaults, Type 1 incidents</w:t>
      </w:r>
    </w:p>
    <w:p w:rsidR="00B078F7" w:rsidRPr="00315F60" w:rsidRDefault="00B078F7" w:rsidP="00B078F7">
      <w:pPr>
        <w:jc w:val="center"/>
      </w:pPr>
      <w:r w:rsidRPr="00315F60">
        <w:rPr>
          <w:noProof/>
          <w:lang w:eastAsia="en-AU"/>
        </w:rPr>
        <w:drawing>
          <wp:inline distT="0" distB="0" distL="0" distR="0" wp14:anchorId="102EA893" wp14:editId="6905C20D">
            <wp:extent cx="5612130" cy="3268133"/>
            <wp:effectExtent l="0" t="0" r="7620" b="8890"/>
            <wp:docPr id="196" name="Chart 196" descr="Stacked bar graph shows the number of Type 1 incidents reported for unreasonable use of force assaults by victim behaviou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569C" w:rsidRPr="00315F60" w:rsidRDefault="00D9569C"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AC4406" w:rsidRPr="00315F60" w:rsidRDefault="00AC4406" w:rsidP="00EF6B6C">
      <w:pPr>
        <w:pStyle w:val="BodyText"/>
      </w:pPr>
      <w:r w:rsidRPr="00315F60">
        <w:lastRenderedPageBreak/>
        <w:t>Further analysis was undertaken on the 991 incidents</w:t>
      </w:r>
      <w:r w:rsidR="009E10AA" w:rsidRPr="00315F60">
        <w:t xml:space="preserve"> that were categorised as</w:t>
      </w:r>
      <w:r w:rsidRPr="00315F60">
        <w:t xml:space="preserve"> </w:t>
      </w:r>
      <w:r w:rsidR="009E10AA" w:rsidRPr="00315F60">
        <w:t>displaying</w:t>
      </w:r>
      <w:r w:rsidRPr="00315F60">
        <w:t xml:space="preserve"> perpetrator behaviours </w:t>
      </w:r>
      <w:r w:rsidR="009E10AA" w:rsidRPr="00315F60">
        <w:t>of</w:t>
      </w:r>
      <w:r w:rsidRPr="00315F60">
        <w:t xml:space="preserve"> pushing or shoving, kicking, hitting, punching, slapping, biting and/or burning. This further analysis looked at the victim impact for these incidents. The majority of these incidents (60.5 per cent) resulted in “no impact” on the victim. The distribution is outlined in </w:t>
      </w:r>
      <w:r w:rsidR="007A636F" w:rsidRPr="00315F60">
        <w:fldChar w:fldCharType="begin"/>
      </w:r>
      <w:r w:rsidR="007A636F" w:rsidRPr="00315F60">
        <w:instrText xml:space="preserve"> REF _Ref24033020 \h </w:instrText>
      </w:r>
      <w:r w:rsidR="007A636F" w:rsidRPr="00315F60">
        <w:fldChar w:fldCharType="separate"/>
      </w:r>
      <w:r w:rsidR="004355CA" w:rsidRPr="00315F60">
        <w:t xml:space="preserve">Figure </w:t>
      </w:r>
      <w:r w:rsidR="004355CA" w:rsidRPr="00315F60">
        <w:rPr>
          <w:noProof/>
        </w:rPr>
        <w:t>15</w:t>
      </w:r>
      <w:r w:rsidR="007A636F" w:rsidRPr="00315F60">
        <w:fldChar w:fldCharType="end"/>
      </w:r>
      <w:r w:rsidR="007A636F" w:rsidRPr="00315F60">
        <w:t>.</w:t>
      </w:r>
    </w:p>
    <w:p w:rsidR="007A636F" w:rsidRPr="00315F60" w:rsidRDefault="007A636F" w:rsidP="009C7B36">
      <w:pPr>
        <w:pStyle w:val="Caption"/>
        <w:jc w:val="both"/>
        <w:rPr>
          <w:color w:val="auto"/>
        </w:rPr>
      </w:pPr>
      <w:bookmarkStart w:id="420" w:name="_Ref24033020"/>
      <w:r w:rsidRPr="00315F60">
        <w:rPr>
          <w:color w:val="auto"/>
        </w:rPr>
        <w:t xml:space="preserve">Figure </w:t>
      </w:r>
      <w:r w:rsidR="006C47FA" w:rsidRPr="00315F60">
        <w:rPr>
          <w:noProof/>
          <w:color w:val="auto"/>
        </w:rPr>
        <w:fldChar w:fldCharType="begin"/>
      </w:r>
      <w:r w:rsidR="006C47FA" w:rsidRPr="00315F60">
        <w:rPr>
          <w:noProof/>
          <w:color w:val="auto"/>
        </w:rPr>
        <w:instrText xml:space="preserve"> SEQ Figure \* ARABIC </w:instrText>
      </w:r>
      <w:r w:rsidR="006C47FA" w:rsidRPr="00315F60">
        <w:rPr>
          <w:noProof/>
          <w:color w:val="auto"/>
        </w:rPr>
        <w:fldChar w:fldCharType="separate"/>
      </w:r>
      <w:r w:rsidR="004355CA" w:rsidRPr="00315F60">
        <w:rPr>
          <w:noProof/>
          <w:color w:val="auto"/>
        </w:rPr>
        <w:t>15</w:t>
      </w:r>
      <w:r w:rsidR="006C47FA" w:rsidRPr="00315F60">
        <w:rPr>
          <w:noProof/>
          <w:color w:val="auto"/>
        </w:rPr>
        <w:fldChar w:fldCharType="end"/>
      </w:r>
      <w:bookmarkEnd w:id="420"/>
      <w:r w:rsidR="005E0D36" w:rsidRPr="00315F60">
        <w:rPr>
          <w:color w:val="auto"/>
        </w:rPr>
        <w:t>:</w:t>
      </w:r>
      <w:r w:rsidRPr="00315F60">
        <w:rPr>
          <w:color w:val="auto"/>
        </w:rPr>
        <w:t xml:space="preserve"> Victim impact for incidents involving pushing or shoving, kicking, hitting, punching, slapping, biting and/or burning</w:t>
      </w:r>
    </w:p>
    <w:p w:rsidR="00AC4406" w:rsidRPr="00315F60" w:rsidRDefault="00AC4406" w:rsidP="002E7D8E">
      <w:pPr>
        <w:pStyle w:val="BodyTextFigure"/>
      </w:pPr>
      <w:r w:rsidRPr="00315F60">
        <w:drawing>
          <wp:inline distT="0" distB="0" distL="0" distR="0" wp14:anchorId="7FD512E4" wp14:editId="2C42A380">
            <wp:extent cx="5759450" cy="4394200"/>
            <wp:effectExtent l="0" t="0" r="12700" b="6350"/>
            <wp:docPr id="7" name="Chart 7" descr="Stacked bar graph shows the victim impact of incidents involving pushing or shoving, kicking, hitting, punching, slapping, biting and/or burning. "/>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A636F" w:rsidRPr="00315F60" w:rsidRDefault="007A636F"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EF6B6C">
      <w:pPr>
        <w:pStyle w:val="BodyText"/>
      </w:pPr>
      <w:r w:rsidRPr="00315F60">
        <w:t>A total of 5</w:t>
      </w:r>
      <w:r w:rsidR="002D4F13" w:rsidRPr="00315F60">
        <w:t>6</w:t>
      </w:r>
      <w:r w:rsidRPr="00315F60">
        <w:t xml:space="preserve"> Type 1 incidents were classified as unlawful sexual contact. </w:t>
      </w:r>
      <w:r w:rsidR="005E0D36" w:rsidRPr="00315F60">
        <w:t>The majority of the incidents that were reported as unlawful sexual contact</w:t>
      </w:r>
      <w:r w:rsidRPr="00315F60">
        <w:t xml:space="preserve"> displayed perpetrator behaviours of rape, sexual assault, including touching the resident’s genital area without consent (54.4 per cent).</w:t>
      </w:r>
      <w:r w:rsidRPr="00315F60">
        <w:rPr>
          <w:i/>
        </w:rPr>
        <w:t xml:space="preserve"> </w:t>
      </w:r>
      <w:r w:rsidRPr="00315F60">
        <w:t>The distribution of perpetrator behaviours</w:t>
      </w:r>
      <w:r w:rsidR="008366DF" w:rsidRPr="00315F60">
        <w:t xml:space="preserve"> for incidents that were reported as unlawful sexual contact</w:t>
      </w:r>
      <w:r w:rsidRPr="00315F60">
        <w:t xml:space="preserve"> is illustrated in </w:t>
      </w:r>
      <w:r w:rsidRPr="00315F60">
        <w:fldChar w:fldCharType="begin"/>
      </w:r>
      <w:r w:rsidRPr="00315F60">
        <w:instrText xml:space="preserve"> REF _Ref23405720 \h  \* MERGEFORMAT </w:instrText>
      </w:r>
      <w:r w:rsidRPr="00315F60">
        <w:fldChar w:fldCharType="separate"/>
      </w:r>
      <w:r w:rsidR="004355CA" w:rsidRPr="00315F60">
        <w:t xml:space="preserve">Figure </w:t>
      </w:r>
      <w:r w:rsidR="004355CA" w:rsidRPr="00315F60">
        <w:rPr>
          <w:noProof/>
        </w:rPr>
        <w:t>16</w:t>
      </w:r>
      <w:r w:rsidRPr="00315F60">
        <w:fldChar w:fldCharType="end"/>
      </w:r>
      <w:r w:rsidRPr="00315F60">
        <w:t xml:space="preserve">, while the distribution of victim impact is illustrated in </w:t>
      </w:r>
      <w:r w:rsidRPr="00315F60">
        <w:fldChar w:fldCharType="begin"/>
      </w:r>
      <w:r w:rsidRPr="00315F60">
        <w:instrText xml:space="preserve"> REF _Ref23406073 \h  \* MERGEFORMAT </w:instrText>
      </w:r>
      <w:r w:rsidRPr="00315F60">
        <w:fldChar w:fldCharType="separate"/>
      </w:r>
      <w:r w:rsidR="004355CA" w:rsidRPr="00315F60">
        <w:t xml:space="preserve">Figure </w:t>
      </w:r>
      <w:r w:rsidR="004355CA" w:rsidRPr="00315F60">
        <w:rPr>
          <w:noProof/>
        </w:rPr>
        <w:t>17</w:t>
      </w:r>
      <w:r w:rsidRPr="00315F60">
        <w:fldChar w:fldCharType="end"/>
      </w:r>
      <w:r w:rsidRPr="00315F60">
        <w:t>.</w:t>
      </w:r>
    </w:p>
    <w:p w:rsidR="00D9569C" w:rsidRPr="00315F60" w:rsidRDefault="00D9569C" w:rsidP="00EF6B6C">
      <w:pPr>
        <w:pStyle w:val="Caption"/>
        <w:rPr>
          <w:color w:val="auto"/>
        </w:rPr>
      </w:pPr>
      <w:bookmarkStart w:id="421" w:name="_Ref24032985"/>
      <w:bookmarkStart w:id="422" w:name="_Ref23405720"/>
      <w:r w:rsidRPr="00315F60">
        <w:rPr>
          <w:color w:val="auto"/>
        </w:rPr>
        <w:lastRenderedPageBreak/>
        <w:t xml:space="preserve">Figure </w:t>
      </w:r>
      <w:r w:rsidR="0088210D" w:rsidRPr="00315F60">
        <w:rPr>
          <w:noProof/>
          <w:color w:val="auto"/>
        </w:rPr>
        <w:fldChar w:fldCharType="begin"/>
      </w:r>
      <w:r w:rsidR="0088210D" w:rsidRPr="00315F60">
        <w:rPr>
          <w:noProof/>
          <w:color w:val="auto"/>
        </w:rPr>
        <w:instrText xml:space="preserve"> SEQ Figure \* ARABIC </w:instrText>
      </w:r>
      <w:r w:rsidR="0088210D" w:rsidRPr="00315F60">
        <w:rPr>
          <w:noProof/>
          <w:color w:val="auto"/>
        </w:rPr>
        <w:fldChar w:fldCharType="separate"/>
      </w:r>
      <w:r w:rsidR="004355CA" w:rsidRPr="00315F60">
        <w:rPr>
          <w:noProof/>
          <w:color w:val="auto"/>
        </w:rPr>
        <w:t>16</w:t>
      </w:r>
      <w:r w:rsidR="0088210D" w:rsidRPr="00315F60">
        <w:rPr>
          <w:noProof/>
          <w:color w:val="auto"/>
        </w:rPr>
        <w:fldChar w:fldCharType="end"/>
      </w:r>
      <w:bookmarkEnd w:id="421"/>
      <w:bookmarkEnd w:id="422"/>
      <w:r w:rsidRPr="00315F60">
        <w:rPr>
          <w:color w:val="auto"/>
        </w:rPr>
        <w:t>: Perpetrator behaviours in unlawful sexual contact assaults, Type 1 incidents</w:t>
      </w:r>
    </w:p>
    <w:p w:rsidR="005D15C2" w:rsidRPr="00315F60" w:rsidRDefault="005D15C2" w:rsidP="00FA0BA9">
      <w:pPr>
        <w:pStyle w:val="Source"/>
      </w:pPr>
      <w:r w:rsidRPr="00315F60">
        <w:rPr>
          <w:noProof/>
          <w:lang w:eastAsia="en-AU"/>
        </w:rPr>
        <w:drawing>
          <wp:inline distT="0" distB="0" distL="0" distR="0" wp14:anchorId="138723EB" wp14:editId="4279AD9C">
            <wp:extent cx="5616000" cy="2520000"/>
            <wp:effectExtent l="0" t="0" r="3810" b="13970"/>
            <wp:docPr id="16" name="Chart 16" descr="Stacked bar graph shows the perpetrator behaviours in unlawful sexual contact assaults of Type 1 inci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569C" w:rsidRPr="00315F60" w:rsidRDefault="00D9569C" w:rsidP="00FA0BA9">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B078F7" w:rsidRPr="00315F60" w:rsidRDefault="00D9569C" w:rsidP="00D9569C">
      <w:pPr>
        <w:keepNext/>
        <w:rPr>
          <w:i/>
          <w:iCs/>
          <w:sz w:val="18"/>
          <w:szCs w:val="18"/>
        </w:rPr>
      </w:pPr>
      <w:bookmarkStart w:id="423" w:name="_Ref23406073"/>
      <w:r w:rsidRPr="00315F60">
        <w:rPr>
          <w:i/>
          <w:iCs/>
          <w:sz w:val="18"/>
          <w:szCs w:val="18"/>
        </w:rPr>
        <w:t xml:space="preserve">Figure </w:t>
      </w:r>
      <w:r w:rsidR="007A636F" w:rsidRPr="00315F60">
        <w:rPr>
          <w:i/>
          <w:iCs/>
          <w:sz w:val="18"/>
          <w:szCs w:val="18"/>
        </w:rPr>
        <w:fldChar w:fldCharType="begin"/>
      </w:r>
      <w:r w:rsidR="007A636F" w:rsidRPr="00315F60">
        <w:rPr>
          <w:i/>
          <w:iCs/>
          <w:sz w:val="18"/>
          <w:szCs w:val="18"/>
        </w:rPr>
        <w:instrText xml:space="preserve"> SEQ Figure \* ARABIC </w:instrText>
      </w:r>
      <w:r w:rsidR="007A636F" w:rsidRPr="00315F60">
        <w:rPr>
          <w:i/>
          <w:iCs/>
          <w:sz w:val="18"/>
          <w:szCs w:val="18"/>
        </w:rPr>
        <w:fldChar w:fldCharType="separate"/>
      </w:r>
      <w:r w:rsidR="004355CA" w:rsidRPr="00315F60">
        <w:rPr>
          <w:i/>
          <w:iCs/>
          <w:sz w:val="18"/>
          <w:szCs w:val="18"/>
        </w:rPr>
        <w:t>17</w:t>
      </w:r>
      <w:r w:rsidR="007A636F" w:rsidRPr="00315F60">
        <w:rPr>
          <w:i/>
          <w:iCs/>
          <w:sz w:val="18"/>
          <w:szCs w:val="18"/>
        </w:rPr>
        <w:fldChar w:fldCharType="end"/>
      </w:r>
      <w:bookmarkEnd w:id="423"/>
      <w:r w:rsidRPr="00315F60">
        <w:rPr>
          <w:i/>
          <w:iCs/>
          <w:sz w:val="18"/>
          <w:szCs w:val="18"/>
        </w:rPr>
        <w:t>: Victim impact in unlawful sexual contact assaults, Type 1 incidents</w:t>
      </w:r>
    </w:p>
    <w:p w:rsidR="00506A16" w:rsidRDefault="00D9569C" w:rsidP="00506A16">
      <w:pPr>
        <w:pStyle w:val="Source"/>
        <w:jc w:val="center"/>
      </w:pPr>
      <w:r w:rsidRPr="00315F60">
        <w:rPr>
          <w:noProof/>
          <w:lang w:eastAsia="en-AU"/>
        </w:rPr>
        <w:drawing>
          <wp:inline distT="0" distB="0" distL="0" distR="0">
            <wp:extent cx="5683885" cy="3048000"/>
            <wp:effectExtent l="0" t="0" r="12065" b="0"/>
            <wp:docPr id="198" name="Chart 198" descr="Stacked bar graph shows the victim impact  in unlawful sexual contact assaults of Type 1 inci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569C" w:rsidRPr="00315F60" w:rsidRDefault="00D9569C" w:rsidP="00506A16">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842C7" w:rsidRPr="00315F60" w:rsidRDefault="007A636F" w:rsidP="00EF6B6C">
      <w:pPr>
        <w:pStyle w:val="BodyText"/>
      </w:pPr>
      <w:r w:rsidRPr="00315F60">
        <w:t xml:space="preserve">Further analysis was undertaken on the 31 incidents </w:t>
      </w:r>
      <w:r w:rsidR="005E0D36" w:rsidRPr="00315F60">
        <w:t>that were categorised as displaying</w:t>
      </w:r>
      <w:r w:rsidRPr="00315F60">
        <w:t xml:space="preserve"> perpetrator behaviours </w:t>
      </w:r>
      <w:r w:rsidR="005E0D36" w:rsidRPr="00315F60">
        <w:t>of</w:t>
      </w:r>
      <w:r w:rsidRPr="00315F60">
        <w:t xml:space="preserve"> rape, sexual assault, including touching the resident’s genital area without consent. This further analysis looked at the victim impact for these incidents. The majority of these incidents (</w:t>
      </w:r>
      <w:r w:rsidR="001B1DFE" w:rsidRPr="00315F60">
        <w:t>58.1</w:t>
      </w:r>
      <w:r w:rsidRPr="00315F60">
        <w:t xml:space="preserve"> per cent) resulted in “no impact” on the victim.</w:t>
      </w:r>
      <w:r w:rsidR="00D842C7" w:rsidRPr="00315F60">
        <w:t xml:space="preserve"> </w:t>
      </w:r>
    </w:p>
    <w:p w:rsidR="007A636F" w:rsidRPr="00315F60" w:rsidRDefault="00D842C7" w:rsidP="00EF6B6C">
      <w:pPr>
        <w:pStyle w:val="BodyText"/>
      </w:pPr>
      <w:r w:rsidRPr="00315F60">
        <w:t xml:space="preserve">This result does appear somewhat anomalous. </w:t>
      </w:r>
      <w:r w:rsidR="00BF4B1D" w:rsidRPr="00315F60">
        <w:t xml:space="preserve">It might be </w:t>
      </w:r>
      <w:r w:rsidRPr="00315F60">
        <w:t>expect</w:t>
      </w:r>
      <w:r w:rsidR="00BF4B1D" w:rsidRPr="00315F60">
        <w:t>ed</w:t>
      </w:r>
      <w:r w:rsidRPr="00315F60">
        <w:t xml:space="preserve"> that the perpetrator behaviour categorisation of “Rape, sexual assault etc</w:t>
      </w:r>
      <w:r w:rsidR="007F13A4" w:rsidRPr="00315F60">
        <w:t>.</w:t>
      </w:r>
      <w:r w:rsidRPr="00315F60">
        <w:t>” may result</w:t>
      </w:r>
      <w:r w:rsidR="00BF4B1D" w:rsidRPr="00315F60">
        <w:t xml:space="preserve"> a</w:t>
      </w:r>
      <w:r w:rsidRPr="00315F60">
        <w:t xml:space="preserve"> more “substantial” impact on the victim. Without further information on these particular incidents (e.g. </w:t>
      </w:r>
      <w:r w:rsidR="00BF4B1D" w:rsidRPr="00315F60">
        <w:t xml:space="preserve">through </w:t>
      </w:r>
      <w:r w:rsidRPr="00315F60">
        <w:t xml:space="preserve">case notes) it is difficult to understand why these incidents were classified in this manner. </w:t>
      </w:r>
      <w:r w:rsidR="007A636F" w:rsidRPr="00315F60">
        <w:t>The distribution is outlined in</w:t>
      </w:r>
      <w:r w:rsidR="001B1DFE" w:rsidRPr="00315F60">
        <w:t xml:space="preserve"> </w:t>
      </w:r>
      <w:r w:rsidR="001B1DFE" w:rsidRPr="00315F60">
        <w:fldChar w:fldCharType="begin"/>
      </w:r>
      <w:r w:rsidR="001B1DFE" w:rsidRPr="00315F60">
        <w:instrText xml:space="preserve"> REF _Ref24033774 \h </w:instrText>
      </w:r>
      <w:r w:rsidR="00EF6B6C" w:rsidRPr="00315F60">
        <w:instrText xml:space="preserve"> \* MERGEFORMAT </w:instrText>
      </w:r>
      <w:r w:rsidR="001B1DFE" w:rsidRPr="00315F60">
        <w:fldChar w:fldCharType="separate"/>
      </w:r>
      <w:r w:rsidR="004355CA" w:rsidRPr="00315F60">
        <w:t xml:space="preserve">Figure </w:t>
      </w:r>
      <w:r w:rsidR="004355CA" w:rsidRPr="00315F60">
        <w:rPr>
          <w:noProof/>
        </w:rPr>
        <w:t>18</w:t>
      </w:r>
      <w:r w:rsidR="001B1DFE" w:rsidRPr="00315F60">
        <w:fldChar w:fldCharType="end"/>
      </w:r>
      <w:r w:rsidR="007A636F" w:rsidRPr="00315F60">
        <w:t>.</w:t>
      </w:r>
    </w:p>
    <w:p w:rsidR="001B1DFE" w:rsidRPr="00315F60" w:rsidRDefault="001B1DFE">
      <w:pPr>
        <w:pStyle w:val="Caption"/>
        <w:rPr>
          <w:color w:val="auto"/>
        </w:rPr>
      </w:pPr>
      <w:bookmarkStart w:id="424" w:name="_Ref24033774"/>
      <w:r w:rsidRPr="00315F60">
        <w:rPr>
          <w:color w:val="auto"/>
        </w:rPr>
        <w:lastRenderedPageBreak/>
        <w:t xml:space="preserve">Figure </w:t>
      </w:r>
      <w:r w:rsidR="006C47FA" w:rsidRPr="00315F60">
        <w:rPr>
          <w:noProof/>
          <w:color w:val="auto"/>
        </w:rPr>
        <w:fldChar w:fldCharType="begin"/>
      </w:r>
      <w:r w:rsidR="006C47FA" w:rsidRPr="00315F60">
        <w:rPr>
          <w:noProof/>
          <w:color w:val="auto"/>
        </w:rPr>
        <w:instrText xml:space="preserve"> SEQ Figure \* ARABIC </w:instrText>
      </w:r>
      <w:r w:rsidR="006C47FA" w:rsidRPr="00315F60">
        <w:rPr>
          <w:noProof/>
          <w:color w:val="auto"/>
        </w:rPr>
        <w:fldChar w:fldCharType="separate"/>
      </w:r>
      <w:r w:rsidR="004355CA" w:rsidRPr="00315F60">
        <w:rPr>
          <w:noProof/>
          <w:color w:val="auto"/>
        </w:rPr>
        <w:t>18</w:t>
      </w:r>
      <w:r w:rsidR="006C47FA" w:rsidRPr="00315F60">
        <w:rPr>
          <w:noProof/>
          <w:color w:val="auto"/>
        </w:rPr>
        <w:fldChar w:fldCharType="end"/>
      </w:r>
      <w:bookmarkEnd w:id="424"/>
      <w:r w:rsidR="005E0D36" w:rsidRPr="00315F60">
        <w:rPr>
          <w:color w:val="auto"/>
        </w:rPr>
        <w:t>:</w:t>
      </w:r>
      <w:r w:rsidRPr="00315F60">
        <w:rPr>
          <w:color w:val="auto"/>
        </w:rPr>
        <w:t xml:space="preserve"> Victim impact for incidents involving rape, sexual assault, including touching the resident’s genital area without consent</w:t>
      </w:r>
    </w:p>
    <w:p w:rsidR="00C04C08" w:rsidRPr="00315F60" w:rsidRDefault="00C04C08" w:rsidP="002E7D8E">
      <w:pPr>
        <w:pStyle w:val="BodyTextFigure"/>
      </w:pPr>
      <w:r w:rsidRPr="00315F60">
        <w:drawing>
          <wp:inline distT="0" distB="0" distL="0" distR="0" wp14:anchorId="40A71CAC" wp14:editId="6603D4DD">
            <wp:extent cx="5559425" cy="3268133"/>
            <wp:effectExtent l="0" t="0" r="3175" b="8890"/>
            <wp:docPr id="8" name="Chart 8" descr="Stacked bar graph showing the victim impact for incidents involving rape, sexual assault, including touching the resident's genital area without cons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B1DFE" w:rsidRPr="00315F60" w:rsidRDefault="001B1DFE"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D9569C">
      <w:pPr>
        <w:keepNext/>
        <w:keepLines/>
        <w:numPr>
          <w:ilvl w:val="2"/>
          <w:numId w:val="9"/>
        </w:numPr>
        <w:spacing w:before="240"/>
        <w:outlineLvl w:val="2"/>
        <w:rPr>
          <w:rFonts w:eastAsiaTheme="majorEastAsia" w:cstheme="majorBidi"/>
          <w:sz w:val="24"/>
          <w:szCs w:val="24"/>
        </w:rPr>
      </w:pPr>
      <w:r w:rsidRPr="00315F60">
        <w:rPr>
          <w:rFonts w:eastAsiaTheme="majorEastAsia" w:cstheme="majorBidi"/>
          <w:sz w:val="24"/>
          <w:szCs w:val="24"/>
        </w:rPr>
        <w:t>Type 2 Incidents</w:t>
      </w:r>
    </w:p>
    <w:p w:rsidR="00D9569C" w:rsidRPr="00315F60" w:rsidRDefault="00D9569C" w:rsidP="00EF6B6C">
      <w:pPr>
        <w:pStyle w:val="BodyText"/>
      </w:pPr>
      <w:r w:rsidRPr="00315F60">
        <w:t xml:space="preserve">KPMG analysed the frequency of type </w:t>
      </w:r>
      <w:r w:rsidR="005E0D36" w:rsidRPr="00315F60">
        <w:t xml:space="preserve">2 </w:t>
      </w:r>
      <w:r w:rsidRPr="00315F60">
        <w:t>incidents</w:t>
      </w:r>
      <w:r w:rsidR="005E0D36" w:rsidRPr="00315F60">
        <w:t>. Only the quantum of type 2 incidents that occurred during the data collection period was captured.</w:t>
      </w:r>
      <w:r w:rsidRPr="00315F60">
        <w:t xml:space="preserve"> Detailed incident level analysis was not undertaken</w:t>
      </w:r>
      <w:r w:rsidR="00E27302" w:rsidRPr="00315F60">
        <w:t>,</w:t>
      </w:r>
      <w:r w:rsidRPr="00315F60">
        <w:t xml:space="preserve"> i.e. looking at reportable assault types by perpetrator behaviours, victim impact and service response, as this was not collected for Type 2 incidents.</w:t>
      </w:r>
    </w:p>
    <w:p w:rsidR="00D9569C" w:rsidRPr="00315F60" w:rsidRDefault="00D9569C" w:rsidP="00EF6B6C">
      <w:pPr>
        <w:pStyle w:val="BodyText"/>
      </w:pPr>
      <w:r w:rsidRPr="00315F60">
        <w:t xml:space="preserve">A total of 455 Type 2 incidents were reported by the 178 services that provided </w:t>
      </w:r>
      <w:r w:rsidR="00E27302" w:rsidRPr="00315F60">
        <w:t>T</w:t>
      </w:r>
      <w:r w:rsidRPr="00315F60">
        <w:t xml:space="preserve">ype 2 incident data for the six month </w:t>
      </w:r>
      <w:r w:rsidR="005E0D36" w:rsidRPr="00315F60">
        <w:t>period</w:t>
      </w:r>
      <w:r w:rsidRPr="00315F60">
        <w:t xml:space="preserve">. Notably, 81 services reported zero Type 2 incidents and 80 per cent of services reported three or fewer Type 2 incidents. This distribution is illustrated in </w:t>
      </w:r>
      <w:r w:rsidRPr="00315F60">
        <w:fldChar w:fldCharType="begin"/>
      </w:r>
      <w:r w:rsidRPr="00315F60">
        <w:instrText xml:space="preserve"> REF _Ref23406163 \h  \* MERGEFORMAT </w:instrText>
      </w:r>
      <w:r w:rsidRPr="00315F60">
        <w:fldChar w:fldCharType="separate"/>
      </w:r>
      <w:r w:rsidR="004355CA" w:rsidRPr="00315F60">
        <w:t xml:space="preserve">Figure </w:t>
      </w:r>
      <w:r w:rsidR="004355CA" w:rsidRPr="00315F60">
        <w:rPr>
          <w:noProof/>
        </w:rPr>
        <w:t>19</w:t>
      </w:r>
      <w:r w:rsidRPr="00315F60">
        <w:fldChar w:fldCharType="end"/>
      </w:r>
      <w:r w:rsidR="00C81753" w:rsidRPr="00315F60">
        <w:t>.</w:t>
      </w:r>
    </w:p>
    <w:p w:rsidR="00D9569C" w:rsidRPr="00315F60" w:rsidRDefault="00D9569C" w:rsidP="00D9569C">
      <w:pPr>
        <w:jc w:val="both"/>
      </w:pPr>
      <w:r w:rsidRPr="00315F60">
        <w:t>This distribution</w:t>
      </w:r>
      <w:r w:rsidR="00E27302" w:rsidRPr="00315F60">
        <w:t>,</w:t>
      </w:r>
      <w:r w:rsidRPr="00315F60">
        <w:t xml:space="preserve"> i.e. services reporting zero</w:t>
      </w:r>
      <w:r w:rsidR="00E27302" w:rsidRPr="00315F60">
        <w:t>,</w:t>
      </w:r>
      <w:r w:rsidRPr="00315F60">
        <w:t xml:space="preserve"> is important to keep in mind </w:t>
      </w:r>
      <w:r w:rsidR="00E27302" w:rsidRPr="00315F60">
        <w:t xml:space="preserve">when reading </w:t>
      </w:r>
      <w:r w:rsidRPr="00315F60">
        <w:t xml:space="preserve">section </w:t>
      </w:r>
      <w:r w:rsidRPr="00315F60">
        <w:fldChar w:fldCharType="begin"/>
      </w:r>
      <w:r w:rsidRPr="00315F60">
        <w:instrText xml:space="preserve"> REF _Ref23367520 \r \h  \* MERGEFORMAT </w:instrText>
      </w:r>
      <w:r w:rsidRPr="00315F60">
        <w:fldChar w:fldCharType="separate"/>
      </w:r>
      <w:r w:rsidR="004355CA" w:rsidRPr="00315F60">
        <w:t>3.3</w:t>
      </w:r>
      <w:r w:rsidRPr="00315F60">
        <w:fldChar w:fldCharType="end"/>
      </w:r>
      <w:r w:rsidRPr="00315F60">
        <w:t>. The main reason is that this sample data is used to infer estimates of incidents for all 2,717 services for a 12 month window. The sample has 81 services reporting zero Type 2 incidents for a six month window. If, for example,</w:t>
      </w:r>
      <w:r w:rsidRPr="00315F60">
        <w:rPr>
          <w:noProof/>
          <w:lang w:eastAsia="en-AU"/>
        </w:rPr>
        <w:t xml:space="preserve"> </w:t>
      </w:r>
      <w:r w:rsidRPr="00315F60">
        <w:t>the study had by chance only collected data from the 81 services that reported zero Type 2 incidents then the estimate of total incidents at a national level for a 12 month window would also be zero.</w:t>
      </w:r>
    </w:p>
    <w:p w:rsidR="00D9569C" w:rsidRPr="00315F60" w:rsidRDefault="00D9569C" w:rsidP="00D9569C">
      <w:pPr>
        <w:keepNext/>
        <w:rPr>
          <w:i/>
          <w:iCs/>
          <w:szCs w:val="18"/>
        </w:rPr>
      </w:pPr>
      <w:bookmarkStart w:id="425" w:name="_Ref23406163"/>
      <w:r w:rsidRPr="00315F60">
        <w:rPr>
          <w:i/>
          <w:iCs/>
          <w:szCs w:val="18"/>
        </w:rPr>
        <w:lastRenderedPageBreak/>
        <w:t xml:space="preserve">Figure </w:t>
      </w:r>
      <w:r w:rsidR="007A636F" w:rsidRPr="00315F60">
        <w:rPr>
          <w:i/>
          <w:iCs/>
          <w:szCs w:val="18"/>
        </w:rPr>
        <w:fldChar w:fldCharType="begin"/>
      </w:r>
      <w:r w:rsidR="007A636F" w:rsidRPr="00315F60">
        <w:rPr>
          <w:i/>
          <w:iCs/>
          <w:szCs w:val="18"/>
        </w:rPr>
        <w:instrText xml:space="preserve"> SEQ Figure \* ARABIC </w:instrText>
      </w:r>
      <w:r w:rsidR="007A636F" w:rsidRPr="00315F60">
        <w:rPr>
          <w:i/>
          <w:iCs/>
          <w:szCs w:val="18"/>
        </w:rPr>
        <w:fldChar w:fldCharType="separate"/>
      </w:r>
      <w:r w:rsidR="004355CA" w:rsidRPr="00315F60">
        <w:rPr>
          <w:i/>
          <w:iCs/>
          <w:noProof/>
          <w:szCs w:val="18"/>
        </w:rPr>
        <w:t>19</w:t>
      </w:r>
      <w:r w:rsidR="007A636F" w:rsidRPr="00315F60">
        <w:rPr>
          <w:i/>
          <w:iCs/>
          <w:szCs w:val="18"/>
        </w:rPr>
        <w:fldChar w:fldCharType="end"/>
      </w:r>
      <w:bookmarkEnd w:id="425"/>
      <w:r w:rsidRPr="00315F60">
        <w:rPr>
          <w:i/>
          <w:iCs/>
          <w:szCs w:val="18"/>
        </w:rPr>
        <w:t>: Count of services by total incidents reported, Type 2 incidents</w:t>
      </w:r>
    </w:p>
    <w:p w:rsidR="00D9569C" w:rsidRPr="00315F60" w:rsidRDefault="00EF6B6C" w:rsidP="00B078F7">
      <w:pPr>
        <w:pStyle w:val="BodyText"/>
        <w:jc w:val="center"/>
      </w:pPr>
      <w:r w:rsidRPr="00315F60">
        <w:rPr>
          <w:noProof/>
          <w:lang w:eastAsia="en-AU"/>
        </w:rPr>
        <w:drawing>
          <wp:inline distT="0" distB="0" distL="0" distR="0">
            <wp:extent cx="4578985" cy="2435860"/>
            <wp:effectExtent l="0" t="0" r="12065" b="2540"/>
            <wp:docPr id="199" name="Chart 199" descr="Bar graph showing the count of services by total Type 2 incidents report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9569C" w:rsidRPr="00315F60" w:rsidRDefault="00D9569C" w:rsidP="00EF6B6C">
      <w:pPr>
        <w:pStyle w:val="Source"/>
      </w:pPr>
      <w:r w:rsidRPr="00315F60">
        <w:t>Source: KPMG analysis of resident</w:t>
      </w:r>
      <w:r w:rsidR="00A75F38" w:rsidRPr="00315F60">
        <w:t xml:space="preserve"> </w:t>
      </w:r>
      <w:r w:rsidRPr="00315F60">
        <w:t>on</w:t>
      </w:r>
      <w:r w:rsidR="00A75F38" w:rsidRPr="00315F60">
        <w:t xml:space="preserve"> </w:t>
      </w:r>
      <w:r w:rsidRPr="00315F60">
        <w:t>resident incident study data</w:t>
      </w:r>
    </w:p>
    <w:p w:rsidR="00D9569C" w:rsidRPr="00315F60" w:rsidRDefault="00D9569C" w:rsidP="002E7D8E">
      <w:pPr>
        <w:pStyle w:val="Heading2"/>
        <w:rPr>
          <w:color w:val="auto"/>
        </w:rPr>
      </w:pPr>
      <w:bookmarkStart w:id="426" w:name="_Toc26165359"/>
      <w:bookmarkStart w:id="427" w:name="_Toc26165360"/>
      <w:bookmarkStart w:id="428" w:name="_Toc26165361"/>
      <w:bookmarkStart w:id="429" w:name="_Toc26165362"/>
      <w:bookmarkStart w:id="430" w:name="_Toc26165363"/>
      <w:bookmarkStart w:id="431" w:name="_Toc26165364"/>
      <w:bookmarkStart w:id="432" w:name="_Ref23367520"/>
      <w:bookmarkStart w:id="433" w:name="_Toc23404184"/>
      <w:bookmarkStart w:id="434" w:name="_Toc26979138"/>
      <w:bookmarkEnd w:id="426"/>
      <w:bookmarkEnd w:id="427"/>
      <w:bookmarkEnd w:id="428"/>
      <w:bookmarkEnd w:id="429"/>
      <w:bookmarkEnd w:id="430"/>
      <w:bookmarkEnd w:id="431"/>
      <w:r w:rsidRPr="00315F60">
        <w:rPr>
          <w:color w:val="auto"/>
        </w:rPr>
        <w:t>National estimates of incidents</w:t>
      </w:r>
      <w:bookmarkEnd w:id="432"/>
      <w:bookmarkEnd w:id="433"/>
      <w:bookmarkEnd w:id="434"/>
    </w:p>
    <w:p w:rsidR="00D9569C" w:rsidRPr="00315F60" w:rsidRDefault="00D9569C" w:rsidP="00E27302">
      <w:pPr>
        <w:pStyle w:val="BodyText"/>
        <w:keepLines/>
      </w:pPr>
      <w:r w:rsidRPr="00315F60">
        <w:t>Data was received from a sample of services. One of the main objectives of the study was to estimate the total number and type of Type 1 and Type 2 incidents that take place in residential aged care from this sample. To estimate (or model) the prevalence of Type 1 and Type 2 incidents at a national level required “weighting” the sample estimates to a national level</w:t>
      </w:r>
      <w:r w:rsidR="00E27302" w:rsidRPr="00315F60">
        <w:t>,</w:t>
      </w:r>
      <w:r w:rsidRPr="00315F60">
        <w:t xml:space="preserve"> i.e. to use the incident data from 178</w:t>
      </w:r>
      <w:r w:rsidR="00E27302" w:rsidRPr="00315F60">
        <w:t> </w:t>
      </w:r>
      <w:r w:rsidRPr="00315F60">
        <w:t xml:space="preserve">services to estimate how many incidents occur in all 2,717 services. </w:t>
      </w:r>
    </w:p>
    <w:p w:rsidR="00D9569C" w:rsidRPr="00315F60" w:rsidRDefault="00D9569C" w:rsidP="00EF6B6C">
      <w:pPr>
        <w:pStyle w:val="BodyText"/>
      </w:pPr>
      <w:r w:rsidRPr="00315F60">
        <w:t>Five methods were used to weight the data and calculate national level estimates. All five were based on the linear</w:t>
      </w:r>
      <w:r w:rsidR="00E27302" w:rsidRPr="00315F60">
        <w:t>,</w:t>
      </w:r>
      <w:r w:rsidRPr="00315F60">
        <w:t xml:space="preserve"> unbiased estimator described in </w:t>
      </w:r>
      <w:r w:rsidR="00433FBB" w:rsidRPr="00315F60">
        <w:fldChar w:fldCharType="begin"/>
      </w:r>
      <w:r w:rsidR="00433FBB" w:rsidRPr="00315F60">
        <w:instrText xml:space="preserve"> REF _Ref25417861 \w \h </w:instrText>
      </w:r>
      <w:r w:rsidR="00433FBB" w:rsidRPr="00315F60">
        <w:fldChar w:fldCharType="separate"/>
      </w:r>
      <w:r w:rsidR="004355CA" w:rsidRPr="00315F60">
        <w:t>Appendix E</w:t>
      </w:r>
      <w:r w:rsidR="00433FBB" w:rsidRPr="00315F60">
        <w:fldChar w:fldCharType="end"/>
      </w:r>
      <w:r w:rsidRPr="00315F60">
        <w:t>. The five methods are briefly described below</w:t>
      </w:r>
      <w:r w:rsidR="00E6482E" w:rsidRPr="00315F60">
        <w:t xml:space="preserve"> followed by the benefits and limitations of each method. Method Three is the same as Method Two except that the incident data provided by </w:t>
      </w:r>
      <w:r w:rsidR="00BF4B1D" w:rsidRPr="00315F60">
        <w:t>one</w:t>
      </w:r>
      <w:r w:rsidR="00E6482E" w:rsidRPr="00315F60">
        <w:t xml:space="preserve"> provider’s services has been excluded. This is included to highlight the effect of sampling error i.e. if this provider and their services had not submitted data the national estimate of total incidents would have been in the order of 10,000 incidents less.</w:t>
      </w:r>
    </w:p>
    <w:p w:rsidR="00D9569C" w:rsidRPr="00315F60" w:rsidRDefault="00D9569C" w:rsidP="007F13A4">
      <w:pPr>
        <w:pStyle w:val="Bullet1stlevel"/>
      </w:pPr>
      <w:r w:rsidRPr="00315F60">
        <w:t>Method One simply assumes that all participating services have equal weight</w:t>
      </w:r>
      <w:r w:rsidR="00E27302" w:rsidRPr="00315F60">
        <w:t>,</w:t>
      </w:r>
      <w:r w:rsidRPr="00315F60">
        <w:t xml:space="preserve"> i.e. no adjustments are made for any characteristic of the service.</w:t>
      </w:r>
      <w:r w:rsidR="00EF7B13" w:rsidRPr="00315F60">
        <w:t xml:space="preserve"> In this method all participating services have equal weight. The weight is calculated by dividing the population of services by the participating services (2,717 services in the population / 178 in the sample = 15.3). </w:t>
      </w:r>
      <w:r w:rsidR="00BF4B1D" w:rsidRPr="00315F60">
        <w:t>This means</w:t>
      </w:r>
      <w:r w:rsidR="00EF7B13" w:rsidRPr="00315F60">
        <w:t xml:space="preserve"> each service from the sample represents 15.3 services in the population.</w:t>
      </w:r>
      <w:r w:rsidRPr="00315F60">
        <w:t xml:space="preserve"> </w:t>
      </w:r>
    </w:p>
    <w:p w:rsidR="00D9569C" w:rsidRPr="00315F60" w:rsidRDefault="00D9569C" w:rsidP="007F13A4">
      <w:pPr>
        <w:pStyle w:val="Bullet1stlevel"/>
      </w:pPr>
      <w:r w:rsidRPr="00315F60">
        <w:t>Method Two weights the services by size ranges. For example</w:t>
      </w:r>
      <w:r w:rsidR="00E27302" w:rsidRPr="00315F60">
        <w:t>,</w:t>
      </w:r>
      <w:r w:rsidRPr="00315F60">
        <w:t xml:space="preserve"> services with 1 to 20 places have </w:t>
      </w:r>
      <w:r w:rsidR="00313864" w:rsidRPr="00315F60">
        <w:t xml:space="preserve">a </w:t>
      </w:r>
      <w:r w:rsidRPr="00315F60">
        <w:t xml:space="preserve">weight of 25.8 </w:t>
      </w:r>
      <w:r w:rsidR="00EF7B13" w:rsidRPr="00315F60">
        <w:t xml:space="preserve">(129 services in the population / 5 in the sample) </w:t>
      </w:r>
      <w:r w:rsidRPr="00315F60">
        <w:t xml:space="preserve">and services of 61 to 80 places have </w:t>
      </w:r>
      <w:r w:rsidR="00313864" w:rsidRPr="00315F60">
        <w:t xml:space="preserve">a </w:t>
      </w:r>
      <w:r w:rsidRPr="00315F60">
        <w:t>weight of 12.8</w:t>
      </w:r>
      <w:r w:rsidR="00EF7B13" w:rsidRPr="00315F60">
        <w:t xml:space="preserve"> (475 services in the population / 37 in the sample)</w:t>
      </w:r>
      <w:r w:rsidRPr="00315F60">
        <w:t xml:space="preserve">. </w:t>
      </w:r>
      <w:r w:rsidR="00EF7B13" w:rsidRPr="00315F60">
        <w:t>This translates to services of different sizes having weights that reflect their size strata. As the example shows due to the fact that only five services of size 1 to 20 places participated they have a larger weight than the services of 61 to 80 places which had more services participate in the prevalence study.</w:t>
      </w:r>
    </w:p>
    <w:p w:rsidR="00D9569C" w:rsidRPr="00315F60" w:rsidRDefault="00D9569C" w:rsidP="007F13A4">
      <w:pPr>
        <w:pStyle w:val="Bullet1stlevel"/>
      </w:pPr>
      <w:r w:rsidRPr="00315F60">
        <w:t xml:space="preserve">Method Three repeats Method Two but excludes </w:t>
      </w:r>
      <w:r w:rsidR="00BF4B1D" w:rsidRPr="00315F60">
        <w:t>one</w:t>
      </w:r>
      <w:r w:rsidRPr="00315F60">
        <w:t xml:space="preserve"> approved provider that reported a large number of incidents. The reason for doing this was to demonstrate how influential this approved provider and their services were on the national estimate. There were 16 services from this particular approved provider that reported a total of 446 incidents for the six month </w:t>
      </w:r>
      <w:r w:rsidR="00B77380" w:rsidRPr="00315F60">
        <w:t>period</w:t>
      </w:r>
      <w:r w:rsidRPr="00315F60">
        <w:t>. This made up 35.4 per cent of the 1,259 incidents reported.</w:t>
      </w:r>
    </w:p>
    <w:p w:rsidR="00D9569C" w:rsidRPr="00315F60" w:rsidRDefault="00D9569C" w:rsidP="007F13A4">
      <w:pPr>
        <w:pStyle w:val="Bullet1stlevel"/>
      </w:pPr>
      <w:r w:rsidRPr="00315F60">
        <w:lastRenderedPageBreak/>
        <w:t xml:space="preserve">Methods Four </w:t>
      </w:r>
      <w:r w:rsidR="00E27302" w:rsidRPr="00315F60">
        <w:t>and</w:t>
      </w:r>
      <w:r w:rsidRPr="00315F60">
        <w:t xml:space="preserve"> Five repeat methods Two and Three respectively. However, weights are calculated by occupancy instead of size. The reason for post-stratifying the data in this way was that for an incident to occur between residents, it requires there to be residents in a service. </w:t>
      </w:r>
    </w:p>
    <w:p w:rsidR="00D9569C" w:rsidRPr="00315F60" w:rsidRDefault="00D9569C" w:rsidP="00EF6B6C">
      <w:pPr>
        <w:pStyle w:val="BodyText"/>
      </w:pPr>
      <w:r w:rsidRPr="00315F60">
        <w:t xml:space="preserve">The benefits and limitations of each of these five methods is briefly described below. </w:t>
      </w:r>
    </w:p>
    <w:p w:rsidR="00D9569C" w:rsidRPr="00315F60" w:rsidRDefault="00D9569C" w:rsidP="00EF6B6C">
      <w:pPr>
        <w:pStyle w:val="Caption"/>
        <w:rPr>
          <w:color w:val="auto"/>
        </w:rPr>
      </w:pPr>
      <w:r w:rsidRPr="00315F60">
        <w:rPr>
          <w:color w:val="auto"/>
        </w:rPr>
        <w:t xml:space="preserve">Table </w:t>
      </w:r>
      <w:r w:rsidRPr="00315F60">
        <w:rPr>
          <w:noProof/>
          <w:color w:val="auto"/>
        </w:rPr>
        <w:fldChar w:fldCharType="begin"/>
      </w:r>
      <w:r w:rsidRPr="00315F60">
        <w:rPr>
          <w:noProof/>
          <w:color w:val="auto"/>
        </w:rPr>
        <w:instrText xml:space="preserve"> SEQ Table \* ARABIC </w:instrText>
      </w:r>
      <w:r w:rsidRPr="00315F60">
        <w:rPr>
          <w:noProof/>
          <w:color w:val="auto"/>
        </w:rPr>
        <w:fldChar w:fldCharType="separate"/>
      </w:r>
      <w:r w:rsidR="004355CA" w:rsidRPr="00315F60">
        <w:rPr>
          <w:noProof/>
          <w:color w:val="auto"/>
        </w:rPr>
        <w:t>7</w:t>
      </w:r>
      <w:r w:rsidRPr="00315F60">
        <w:rPr>
          <w:noProof/>
          <w:color w:val="auto"/>
        </w:rPr>
        <w:fldChar w:fldCharType="end"/>
      </w:r>
      <w:r w:rsidRPr="00315F60">
        <w:rPr>
          <w:color w:val="auto"/>
        </w:rPr>
        <w:t>: Estimation methods and benefits and limitations of each approach</w:t>
      </w:r>
    </w:p>
    <w:tbl>
      <w:tblPr>
        <w:tblStyle w:val="TableGridKPMGBlue1"/>
        <w:tblW w:w="5000" w:type="pct"/>
        <w:tblLook w:val="04A0" w:firstRow="1" w:lastRow="0" w:firstColumn="1" w:lastColumn="0" w:noHBand="0" w:noVBand="1"/>
        <w:tblDescription w:val="Table showing estimation methods and benefits and limitations of each approach."/>
      </w:tblPr>
      <w:tblGrid>
        <w:gridCol w:w="2124"/>
        <w:gridCol w:w="3468"/>
        <w:gridCol w:w="3468"/>
      </w:tblGrid>
      <w:tr w:rsidR="00315F60" w:rsidRPr="00315F60" w:rsidTr="00506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pct"/>
            <w:shd w:val="clear" w:color="auto" w:fill="000000" w:themeFill="text1"/>
            <w:vAlign w:val="center"/>
          </w:tcPr>
          <w:p w:rsidR="00D9569C" w:rsidRPr="00315F60" w:rsidRDefault="00D9569C" w:rsidP="00EF6B6C">
            <w:pPr>
              <w:pStyle w:val="Tableheading"/>
              <w:rPr>
                <w:color w:val="auto"/>
              </w:rPr>
            </w:pPr>
            <w:r w:rsidRPr="00315F60">
              <w:rPr>
                <w:color w:val="auto"/>
              </w:rPr>
              <w:t>Method</w:t>
            </w:r>
          </w:p>
        </w:tc>
        <w:tc>
          <w:tcPr>
            <w:tcW w:w="1914" w:type="pct"/>
            <w:shd w:val="clear" w:color="auto" w:fill="000000" w:themeFill="text1"/>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Benefits</w:t>
            </w:r>
          </w:p>
        </w:tc>
        <w:tc>
          <w:tcPr>
            <w:tcW w:w="1914" w:type="pct"/>
            <w:shd w:val="clear" w:color="auto" w:fill="000000" w:themeFill="text1"/>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Limitations</w:t>
            </w:r>
          </w:p>
        </w:tc>
      </w:tr>
      <w:tr w:rsidR="00315F60" w:rsidRPr="00315F60" w:rsidTr="009F1F87">
        <w:tc>
          <w:tcPr>
            <w:cnfStyle w:val="001000000000" w:firstRow="0" w:lastRow="0" w:firstColumn="1" w:lastColumn="0" w:oddVBand="0" w:evenVBand="0" w:oddHBand="0" w:evenHBand="0" w:firstRowFirstColumn="0" w:firstRowLastColumn="0" w:lastRowFirstColumn="0" w:lastRowLastColumn="0"/>
            <w:tcW w:w="1172" w:type="pct"/>
            <w:vAlign w:val="center"/>
          </w:tcPr>
          <w:p w:rsidR="00D9569C" w:rsidRPr="00315F60" w:rsidRDefault="00E27302" w:rsidP="002F256B">
            <w:pPr>
              <w:pStyle w:val="Tabletext"/>
            </w:pPr>
            <w:r w:rsidRPr="00315F60">
              <w:t>1.</w:t>
            </w:r>
            <w:r w:rsidR="002F256B" w:rsidRPr="00315F60">
              <w:t xml:space="preserve"> </w:t>
            </w:r>
            <w:r w:rsidR="00D9569C" w:rsidRPr="00315F60">
              <w:t xml:space="preserve">Assume all services in </w:t>
            </w:r>
            <w:r w:rsidRPr="00315F60">
              <w:t xml:space="preserve">the </w:t>
            </w:r>
            <w:r w:rsidR="00D9569C" w:rsidRPr="00315F60">
              <w:t>sample have equal weight</w:t>
            </w:r>
          </w:p>
        </w:tc>
        <w:tc>
          <w:tcPr>
            <w:tcW w:w="1914" w:type="pct"/>
            <w:vAlign w:val="center"/>
          </w:tcPr>
          <w:p w:rsidR="00D9569C" w:rsidRPr="00315F60" w:rsidRDefault="00D9569C" w:rsidP="00EF6B6C">
            <w:pPr>
              <w:pStyle w:val="Tabletext"/>
              <w:cnfStyle w:val="000000000000" w:firstRow="0" w:lastRow="0" w:firstColumn="0" w:lastColumn="0" w:oddVBand="0" w:evenVBand="0" w:oddHBand="0" w:evenHBand="0" w:firstRowFirstColumn="0" w:firstRowLastColumn="0" w:lastRowFirstColumn="0" w:lastRowLastColumn="0"/>
            </w:pPr>
            <w:r w:rsidRPr="00315F60">
              <w:t>Simple method</w:t>
            </w:r>
            <w:r w:rsidR="009E59A1" w:rsidRPr="00315F60">
              <w:t xml:space="preserve"> to implement.</w:t>
            </w:r>
            <w:r w:rsidR="00E55C90" w:rsidRPr="00315F60">
              <w:t xml:space="preserve"> Does not assume that there is a relationship between size and occupancy and the number of incidents.</w:t>
            </w:r>
          </w:p>
        </w:tc>
        <w:tc>
          <w:tcPr>
            <w:tcW w:w="1914" w:type="pct"/>
            <w:vAlign w:val="center"/>
          </w:tcPr>
          <w:p w:rsidR="00D9569C" w:rsidRPr="00315F60" w:rsidRDefault="00D9569C" w:rsidP="00EF6B6C">
            <w:pPr>
              <w:pStyle w:val="Tabletext"/>
              <w:cnfStyle w:val="000000000000" w:firstRow="0" w:lastRow="0" w:firstColumn="0" w:lastColumn="0" w:oddVBand="0" w:evenVBand="0" w:oddHBand="0" w:evenHBand="0" w:firstRowFirstColumn="0" w:firstRowLastColumn="0" w:lastRowFirstColumn="0" w:lastRowLastColumn="0"/>
            </w:pPr>
            <w:r w:rsidRPr="00315F60">
              <w:t xml:space="preserve">Does not take </w:t>
            </w:r>
            <w:r w:rsidR="00E27302" w:rsidRPr="00315F60">
              <w:t xml:space="preserve">into </w:t>
            </w:r>
            <w:r w:rsidRPr="00315F60">
              <w:t>account size or occupancy of services</w:t>
            </w:r>
            <w:r w:rsidR="00B77380" w:rsidRPr="00315F60">
              <w:t>.</w:t>
            </w:r>
          </w:p>
        </w:tc>
      </w:tr>
      <w:tr w:rsidR="00315F60" w:rsidRPr="00315F60" w:rsidTr="009F1F87">
        <w:tc>
          <w:tcPr>
            <w:cnfStyle w:val="001000000000" w:firstRow="0" w:lastRow="0" w:firstColumn="1" w:lastColumn="0" w:oddVBand="0" w:evenVBand="0" w:oddHBand="0" w:evenHBand="0" w:firstRowFirstColumn="0" w:firstRowLastColumn="0" w:lastRowFirstColumn="0" w:lastRowLastColumn="0"/>
            <w:tcW w:w="1172" w:type="pct"/>
            <w:vAlign w:val="center"/>
          </w:tcPr>
          <w:p w:rsidR="00D9569C" w:rsidRPr="00315F60" w:rsidRDefault="00E27302" w:rsidP="002F256B">
            <w:pPr>
              <w:pStyle w:val="Tabletext"/>
            </w:pPr>
            <w:r w:rsidRPr="00315F60">
              <w:t>2.</w:t>
            </w:r>
            <w:r w:rsidR="002F256B" w:rsidRPr="00315F60">
              <w:t xml:space="preserve"> </w:t>
            </w:r>
            <w:r w:rsidR="00D9569C" w:rsidRPr="00315F60">
              <w:t>Stratify services by size</w:t>
            </w:r>
          </w:p>
        </w:tc>
        <w:tc>
          <w:tcPr>
            <w:tcW w:w="1914" w:type="pct"/>
            <w:vAlign w:val="center"/>
          </w:tcPr>
          <w:p w:rsidR="00D9569C" w:rsidRPr="00315F60" w:rsidRDefault="00D9569C" w:rsidP="00EF6B6C">
            <w:pPr>
              <w:pStyle w:val="Tabletext"/>
              <w:cnfStyle w:val="000000000000" w:firstRow="0" w:lastRow="0" w:firstColumn="0" w:lastColumn="0" w:oddVBand="0" w:evenVBand="0" w:oddHBand="0" w:evenHBand="0" w:firstRowFirstColumn="0" w:firstRowLastColumn="0" w:lastRowFirstColumn="0" w:lastRowLastColumn="0"/>
            </w:pPr>
            <w:r w:rsidRPr="00315F60">
              <w:t>Takes into account the service size when weighting estimates</w:t>
            </w:r>
            <w:r w:rsidR="00E55C90" w:rsidRPr="00315F60">
              <w:t>. Assumes, for example, that large services in the sample are likely to have a similar number of incidents as large services in the population. A specific example being that a service with between 81 to 100 places in the sample can represent services with 81 to 100 places in the population.</w:t>
            </w:r>
          </w:p>
        </w:tc>
        <w:tc>
          <w:tcPr>
            <w:tcW w:w="1914" w:type="pct"/>
            <w:vAlign w:val="center"/>
          </w:tcPr>
          <w:p w:rsidR="00D9569C" w:rsidRPr="00315F60" w:rsidRDefault="00D9569C" w:rsidP="00EF6B6C">
            <w:pPr>
              <w:pStyle w:val="Tabletext"/>
              <w:cnfStyle w:val="000000000000" w:firstRow="0" w:lastRow="0" w:firstColumn="0" w:lastColumn="0" w:oddVBand="0" w:evenVBand="0" w:oddHBand="0" w:evenHBand="0" w:firstRowFirstColumn="0" w:firstRowLastColumn="0" w:lastRowFirstColumn="0" w:lastRowLastColumn="0"/>
            </w:pPr>
            <w:r w:rsidRPr="00315F60">
              <w:t>Services can have low</w:t>
            </w:r>
            <w:r w:rsidR="00E55C90" w:rsidRPr="00315F60">
              <w:t xml:space="preserve"> or high</w:t>
            </w:r>
            <w:r w:rsidRPr="00315F60">
              <w:t xml:space="preserve"> occupancy</w:t>
            </w:r>
            <w:r w:rsidR="00E55C90" w:rsidRPr="00315F60">
              <w:t xml:space="preserve"> (e.g. 100 place service with 50</w:t>
            </w:r>
            <w:r w:rsidR="00E27302" w:rsidRPr="00315F60">
              <w:t xml:space="preserve"> per cent</w:t>
            </w:r>
            <w:r w:rsidR="00E55C90" w:rsidRPr="00315F60">
              <w:t xml:space="preserve"> occupancy in a month may only have 50 residents per day on average)</w:t>
            </w:r>
            <w:r w:rsidR="00B77380" w:rsidRPr="00315F60">
              <w:t>.</w:t>
            </w:r>
          </w:p>
          <w:p w:rsidR="00D9569C" w:rsidRPr="00315F60" w:rsidRDefault="00D9569C" w:rsidP="00EF6B6C">
            <w:pPr>
              <w:pStyle w:val="Tabletext"/>
              <w:cnfStyle w:val="000000000000" w:firstRow="0" w:lastRow="0" w:firstColumn="0" w:lastColumn="0" w:oddVBand="0" w:evenVBand="0" w:oddHBand="0" w:evenHBand="0" w:firstRowFirstColumn="0" w:firstRowLastColumn="0" w:lastRowFirstColumn="0" w:lastRowLastColumn="0"/>
            </w:pPr>
            <w:r w:rsidRPr="00315F60">
              <w:t>Sample was under-representative in terms of smaller services</w:t>
            </w:r>
            <w:r w:rsidR="00B77380" w:rsidRPr="00315F60">
              <w:t>.</w:t>
            </w:r>
            <w:r w:rsidRPr="00315F60">
              <w:t xml:space="preserve"> </w:t>
            </w:r>
          </w:p>
        </w:tc>
      </w:tr>
      <w:tr w:rsidR="00315F60" w:rsidRPr="00315F60" w:rsidTr="009F1F87">
        <w:tc>
          <w:tcPr>
            <w:cnfStyle w:val="001000000000" w:firstRow="0" w:lastRow="0" w:firstColumn="1" w:lastColumn="0" w:oddVBand="0" w:evenVBand="0" w:oddHBand="0" w:evenHBand="0" w:firstRowFirstColumn="0" w:firstRowLastColumn="0" w:lastRowFirstColumn="0" w:lastRowLastColumn="0"/>
            <w:tcW w:w="1172" w:type="pct"/>
            <w:vAlign w:val="center"/>
          </w:tcPr>
          <w:p w:rsidR="00D9569C" w:rsidRPr="00315F60" w:rsidRDefault="00E27302" w:rsidP="00B77380">
            <w:pPr>
              <w:pStyle w:val="Tabletext"/>
            </w:pPr>
            <w:r w:rsidRPr="00315F60">
              <w:t>3.</w:t>
            </w:r>
            <w:r w:rsidR="002F256B" w:rsidRPr="00315F60">
              <w:t xml:space="preserve"> </w:t>
            </w:r>
            <w:r w:rsidR="00D9569C" w:rsidRPr="00315F60">
              <w:t>Stratify services by size and exclude an approved provider</w:t>
            </w:r>
          </w:p>
        </w:tc>
        <w:tc>
          <w:tcPr>
            <w:tcW w:w="1914" w:type="pct"/>
            <w:vAlign w:val="center"/>
          </w:tcPr>
          <w:p w:rsidR="00D9569C" w:rsidRPr="00315F60" w:rsidRDefault="00D9569C" w:rsidP="00EF6B6C">
            <w:pPr>
              <w:pStyle w:val="Tabletext"/>
              <w:cnfStyle w:val="000000000000" w:firstRow="0" w:lastRow="0" w:firstColumn="0" w:lastColumn="0" w:oddVBand="0" w:evenVBand="0" w:oddHBand="0" w:evenHBand="0" w:firstRowFirstColumn="0" w:firstRowLastColumn="0" w:lastRowFirstColumn="0" w:lastRowLastColumn="0"/>
            </w:pPr>
            <w:r w:rsidRPr="00315F60">
              <w:t>Excludes a provider that</w:t>
            </w:r>
            <w:r w:rsidR="00385229" w:rsidRPr="00315F60">
              <w:t xml:space="preserve"> had 16 services report</w:t>
            </w:r>
            <w:r w:rsidRPr="00315F60">
              <w:t xml:space="preserve"> a large number of incidents</w:t>
            </w:r>
            <w:r w:rsidR="00385229" w:rsidRPr="00315F60">
              <w:t>. A large number of incidents being 446 for the six month period, which equated to 35 per cent of all incidents reported.</w:t>
            </w:r>
          </w:p>
        </w:tc>
        <w:tc>
          <w:tcPr>
            <w:tcW w:w="1914" w:type="pct"/>
            <w:vAlign w:val="center"/>
          </w:tcPr>
          <w:p w:rsidR="00D9569C" w:rsidRPr="00315F60" w:rsidRDefault="00D9569C" w:rsidP="00385229">
            <w:pPr>
              <w:pStyle w:val="Tabletext"/>
              <w:cnfStyle w:val="000000000000" w:firstRow="0" w:lastRow="0" w:firstColumn="0" w:lastColumn="0" w:oddVBand="0" w:evenVBand="0" w:oddHBand="0" w:evenHBand="0" w:firstRowFirstColumn="0" w:firstRowLastColumn="0" w:lastRowFirstColumn="0" w:lastRowLastColumn="0"/>
            </w:pPr>
            <w:r w:rsidRPr="00315F60">
              <w:t xml:space="preserve">Excludes </w:t>
            </w:r>
            <w:r w:rsidR="00385229" w:rsidRPr="00315F60">
              <w:t>the</w:t>
            </w:r>
            <w:r w:rsidRPr="00315F60">
              <w:t xml:space="preserve"> provider</w:t>
            </w:r>
            <w:r w:rsidR="00385229" w:rsidRPr="00315F60">
              <w:t xml:space="preserve"> described in the adjacent cell </w:t>
            </w:r>
            <w:r w:rsidRPr="00315F60">
              <w:t xml:space="preserve">that reported a large number of incidents. </w:t>
            </w:r>
          </w:p>
        </w:tc>
      </w:tr>
      <w:tr w:rsidR="00315F60" w:rsidRPr="00315F60" w:rsidTr="009F1F87">
        <w:tc>
          <w:tcPr>
            <w:cnfStyle w:val="001000000000" w:firstRow="0" w:lastRow="0" w:firstColumn="1" w:lastColumn="0" w:oddVBand="0" w:evenVBand="0" w:oddHBand="0" w:evenHBand="0" w:firstRowFirstColumn="0" w:firstRowLastColumn="0" w:lastRowFirstColumn="0" w:lastRowLastColumn="0"/>
            <w:tcW w:w="1172" w:type="pct"/>
            <w:vAlign w:val="center"/>
          </w:tcPr>
          <w:p w:rsidR="00D9569C" w:rsidRPr="00315F60" w:rsidRDefault="002F256B" w:rsidP="002F256B">
            <w:pPr>
              <w:pStyle w:val="Tabletext"/>
            </w:pPr>
            <w:r w:rsidRPr="00315F60">
              <w:t xml:space="preserve">4. </w:t>
            </w:r>
            <w:r w:rsidR="00D9569C" w:rsidRPr="00315F60">
              <w:t>Stratify services by occupancy</w:t>
            </w:r>
          </w:p>
        </w:tc>
        <w:tc>
          <w:tcPr>
            <w:tcW w:w="1914" w:type="pct"/>
            <w:vAlign w:val="center"/>
          </w:tcPr>
          <w:p w:rsidR="00D9569C" w:rsidRPr="00315F60" w:rsidRDefault="00D9569C" w:rsidP="005E66DF">
            <w:pPr>
              <w:pStyle w:val="Tabletext"/>
              <w:cnfStyle w:val="000000000000" w:firstRow="0" w:lastRow="0" w:firstColumn="0" w:lastColumn="0" w:oddVBand="0" w:evenVBand="0" w:oddHBand="0" w:evenHBand="0" w:firstRowFirstColumn="0" w:firstRowLastColumn="0" w:lastRowFirstColumn="0" w:lastRowLastColumn="0"/>
            </w:pPr>
            <w:r w:rsidRPr="00315F60">
              <w:t>Takes into account the service occupancy when weighting estimates</w:t>
            </w:r>
            <w:r w:rsidR="00E55C90" w:rsidRPr="00315F60">
              <w:t xml:space="preserve">. Assumes, for example, that services with similar residents per day over the period in the sample are likely to have a similar number of incidents as other services with the same </w:t>
            </w:r>
            <w:r w:rsidR="002F256B" w:rsidRPr="00315F60">
              <w:t xml:space="preserve">number of </w:t>
            </w:r>
            <w:r w:rsidR="00E55C90" w:rsidRPr="00315F60">
              <w:t>residents per day in the population.</w:t>
            </w:r>
            <w:r w:rsidR="005E66DF" w:rsidRPr="00315F60">
              <w:t xml:space="preserve"> For example</w:t>
            </w:r>
            <w:r w:rsidR="00E55C90" w:rsidRPr="00315F60">
              <w:t xml:space="preserve"> </w:t>
            </w:r>
            <w:r w:rsidR="00385229" w:rsidRPr="00315F60">
              <w:t xml:space="preserve">a service that had 50 residents per day on average in </w:t>
            </w:r>
            <w:r w:rsidR="00E55C90" w:rsidRPr="00315F60">
              <w:t>the sample represent</w:t>
            </w:r>
            <w:r w:rsidR="00385229" w:rsidRPr="00315F60">
              <w:t>s the</w:t>
            </w:r>
            <w:r w:rsidR="00E55C90" w:rsidRPr="00315F60">
              <w:t xml:space="preserve"> services with 41 to 60 residents per day in the population.</w:t>
            </w:r>
          </w:p>
        </w:tc>
        <w:tc>
          <w:tcPr>
            <w:tcW w:w="1914" w:type="pct"/>
            <w:vAlign w:val="center"/>
          </w:tcPr>
          <w:p w:rsidR="00D9569C" w:rsidRPr="00315F60" w:rsidRDefault="00D9569C" w:rsidP="00EF6B6C">
            <w:pPr>
              <w:pStyle w:val="Tabletext"/>
              <w:cnfStyle w:val="000000000000" w:firstRow="0" w:lastRow="0" w:firstColumn="0" w:lastColumn="0" w:oddVBand="0" w:evenVBand="0" w:oddHBand="0" w:evenHBand="0" w:firstRowFirstColumn="0" w:firstRowLastColumn="0" w:lastRowFirstColumn="0" w:lastRowLastColumn="0"/>
            </w:pPr>
            <w:r w:rsidRPr="00315F60">
              <w:t>Sample was slightly under-representative in terms of smaller, less occupied services</w:t>
            </w:r>
            <w:r w:rsidR="00B77380" w:rsidRPr="00315F60">
              <w:t>.</w:t>
            </w:r>
            <w:r w:rsidRPr="00315F60">
              <w:t xml:space="preserve"> </w:t>
            </w:r>
          </w:p>
        </w:tc>
      </w:tr>
      <w:tr w:rsidR="00315F60" w:rsidRPr="00315F60" w:rsidTr="009F1F87">
        <w:tc>
          <w:tcPr>
            <w:cnfStyle w:val="001000000000" w:firstRow="0" w:lastRow="0" w:firstColumn="1" w:lastColumn="0" w:oddVBand="0" w:evenVBand="0" w:oddHBand="0" w:evenHBand="0" w:firstRowFirstColumn="0" w:firstRowLastColumn="0" w:lastRowFirstColumn="0" w:lastRowLastColumn="0"/>
            <w:tcW w:w="1172" w:type="pct"/>
            <w:vAlign w:val="center"/>
          </w:tcPr>
          <w:p w:rsidR="00385229" w:rsidRPr="00315F60" w:rsidRDefault="00385229" w:rsidP="00385229">
            <w:pPr>
              <w:pStyle w:val="Tabletext"/>
            </w:pPr>
            <w:r w:rsidRPr="00315F60">
              <w:t>5. Stratify services by occupancy and exclude an approved provider</w:t>
            </w:r>
          </w:p>
        </w:tc>
        <w:tc>
          <w:tcPr>
            <w:tcW w:w="1914" w:type="pct"/>
            <w:vAlign w:val="center"/>
          </w:tcPr>
          <w:p w:rsidR="00385229" w:rsidRPr="00315F60" w:rsidRDefault="00385229" w:rsidP="00BF4B1D">
            <w:pPr>
              <w:pStyle w:val="Tabletext"/>
              <w:cnfStyle w:val="000000000000" w:firstRow="0" w:lastRow="0" w:firstColumn="0" w:lastColumn="0" w:oddVBand="0" w:evenVBand="0" w:oddHBand="0" w:evenHBand="0" w:firstRowFirstColumn="0" w:firstRowLastColumn="0" w:lastRowFirstColumn="0" w:lastRowLastColumn="0"/>
            </w:pPr>
            <w:r w:rsidRPr="00315F60">
              <w:t xml:space="preserve">Excludes a provider that had 16 services </w:t>
            </w:r>
            <w:r w:rsidR="00BF4B1D" w:rsidRPr="00315F60">
              <w:t xml:space="preserve">who </w:t>
            </w:r>
            <w:r w:rsidRPr="00315F60">
              <w:t>report</w:t>
            </w:r>
            <w:r w:rsidR="00BF4B1D" w:rsidRPr="00315F60">
              <w:t>ed</w:t>
            </w:r>
            <w:r w:rsidRPr="00315F60">
              <w:t xml:space="preserve"> a large number of incidents</w:t>
            </w:r>
            <w:r w:rsidR="00BF4B1D" w:rsidRPr="00315F60">
              <w:t xml:space="preserve">, being </w:t>
            </w:r>
            <w:r w:rsidRPr="00315F60">
              <w:t>446 for the six month period, which equated to 35 per cent of all incidents reported.</w:t>
            </w:r>
          </w:p>
        </w:tc>
        <w:tc>
          <w:tcPr>
            <w:tcW w:w="1914" w:type="pct"/>
            <w:vAlign w:val="center"/>
          </w:tcPr>
          <w:p w:rsidR="00385229" w:rsidRPr="00315F60" w:rsidRDefault="00385229" w:rsidP="00385229">
            <w:pPr>
              <w:pStyle w:val="Tabletext"/>
              <w:cnfStyle w:val="000000000000" w:firstRow="0" w:lastRow="0" w:firstColumn="0" w:lastColumn="0" w:oddVBand="0" w:evenVBand="0" w:oddHBand="0" w:evenHBand="0" w:firstRowFirstColumn="0" w:firstRowLastColumn="0" w:lastRowFirstColumn="0" w:lastRowLastColumn="0"/>
            </w:pPr>
            <w:r w:rsidRPr="00315F60">
              <w:t>Excludes the provider described in the adjacent cell that reported a large number of incidents.</w:t>
            </w:r>
          </w:p>
        </w:tc>
      </w:tr>
    </w:tbl>
    <w:p w:rsidR="00D9569C" w:rsidRPr="00315F60" w:rsidRDefault="00D9569C" w:rsidP="00EF6B6C">
      <w:pPr>
        <w:pStyle w:val="Source"/>
      </w:pPr>
      <w:r w:rsidRPr="00315F60">
        <w:t>Source: KPMG</w:t>
      </w:r>
    </w:p>
    <w:p w:rsidR="00EF20B8" w:rsidRPr="00315F60" w:rsidRDefault="00D9569C" w:rsidP="00EF6B6C">
      <w:pPr>
        <w:pStyle w:val="BodyText"/>
      </w:pPr>
      <w:r w:rsidRPr="00315F60">
        <w:t xml:space="preserve">The total number of Type 1 and Type 2 incidents at a national level (i.e. all 2,717 services) for a 12 month </w:t>
      </w:r>
      <w:r w:rsidR="00B77380" w:rsidRPr="00315F60">
        <w:t xml:space="preserve">period </w:t>
      </w:r>
      <w:r w:rsidRPr="00315F60">
        <w:t xml:space="preserve">are outlined in </w:t>
      </w:r>
      <w:r w:rsidRPr="00315F60">
        <w:fldChar w:fldCharType="begin"/>
      </w:r>
      <w:r w:rsidRPr="00315F60">
        <w:instrText xml:space="preserve"> REF _Ref23406252 \h  \* MERGEFORMAT </w:instrText>
      </w:r>
      <w:r w:rsidRPr="00315F60">
        <w:fldChar w:fldCharType="separate"/>
      </w:r>
      <w:r w:rsidR="004355CA" w:rsidRPr="00315F60">
        <w:t xml:space="preserve">Table </w:t>
      </w:r>
      <w:r w:rsidR="004355CA" w:rsidRPr="00315F60">
        <w:rPr>
          <w:noProof/>
        </w:rPr>
        <w:t>8</w:t>
      </w:r>
      <w:r w:rsidRPr="00315F60">
        <w:fldChar w:fldCharType="end"/>
      </w:r>
      <w:r w:rsidRPr="00315F60">
        <w:t xml:space="preserve">. </w:t>
      </w:r>
      <w:r w:rsidR="000F5A36" w:rsidRPr="00315F60">
        <w:t>The</w:t>
      </w:r>
      <w:r w:rsidRPr="00315F60">
        <w:t xml:space="preserve"> estimates from Method Four have been used in the options for reporting thresholds</w:t>
      </w:r>
      <w:r w:rsidR="00B77380" w:rsidRPr="00315F60">
        <w:t xml:space="preserve"> (outlined in section 4)</w:t>
      </w:r>
      <w:r w:rsidRPr="00315F60">
        <w:t xml:space="preserve">. This is not because </w:t>
      </w:r>
      <w:r w:rsidR="000F5A36" w:rsidRPr="00315F60">
        <w:t xml:space="preserve">the national estimates from </w:t>
      </w:r>
      <w:r w:rsidRPr="00315F60">
        <w:t>Method Four are “superior”</w:t>
      </w:r>
      <w:r w:rsidR="000F5A36" w:rsidRPr="00315F60">
        <w:t xml:space="preserve"> in a statistical sense. As outlined in </w:t>
      </w:r>
      <w:r w:rsidR="000F5A36" w:rsidRPr="00315F60">
        <w:fldChar w:fldCharType="begin"/>
      </w:r>
      <w:r w:rsidR="000F5A36" w:rsidRPr="00315F60">
        <w:instrText xml:space="preserve"> REF _Ref23406252 \h </w:instrText>
      </w:r>
      <w:r w:rsidR="000F5A36" w:rsidRPr="00315F60">
        <w:fldChar w:fldCharType="separate"/>
      </w:r>
      <w:r w:rsidR="004355CA" w:rsidRPr="00315F60">
        <w:t xml:space="preserve">Table </w:t>
      </w:r>
      <w:r w:rsidR="004355CA" w:rsidRPr="00315F60">
        <w:rPr>
          <w:noProof/>
        </w:rPr>
        <w:t>8</w:t>
      </w:r>
      <w:r w:rsidR="000F5A36" w:rsidRPr="00315F60">
        <w:fldChar w:fldCharType="end"/>
      </w:r>
      <w:r w:rsidR="000F5A36" w:rsidRPr="00315F60">
        <w:t xml:space="preserve"> the national estimates from Methods One, Two and Four are quite similar. </w:t>
      </w:r>
      <w:r w:rsidR="00EF20B8" w:rsidRPr="00315F60">
        <w:t>The results from Method Four have been</w:t>
      </w:r>
      <w:r w:rsidRPr="00315F60">
        <w:t xml:space="preserve"> selected as</w:t>
      </w:r>
      <w:r w:rsidR="00EF20B8" w:rsidRPr="00315F60">
        <w:t>:</w:t>
      </w:r>
      <w:r w:rsidRPr="00315F60">
        <w:t xml:space="preserve"> </w:t>
      </w:r>
    </w:p>
    <w:p w:rsidR="00EF20B8" w:rsidRPr="00315F60" w:rsidRDefault="00D9569C" w:rsidP="007F13A4">
      <w:pPr>
        <w:pStyle w:val="Bullet1stlevel"/>
      </w:pPr>
      <w:r w:rsidRPr="00315F60">
        <w:t>it uses the data from the entire sample of services</w:t>
      </w:r>
      <w:r w:rsidR="000F5A36" w:rsidRPr="00315F60">
        <w:t xml:space="preserve">, i.e. the data from the provider that reported a large number of incidents is not excluded as there may well be other providers and services that could report </w:t>
      </w:r>
      <w:r w:rsidR="00B77380" w:rsidRPr="00315F60">
        <w:t xml:space="preserve">a </w:t>
      </w:r>
      <w:r w:rsidR="000F5A36" w:rsidRPr="00315F60">
        <w:t>similar numbers of incidents</w:t>
      </w:r>
      <w:r w:rsidR="00EF20B8" w:rsidRPr="00315F60">
        <w:t>;</w:t>
      </w:r>
      <w:r w:rsidRPr="00315F60">
        <w:t xml:space="preserve"> and </w:t>
      </w:r>
    </w:p>
    <w:p w:rsidR="00D9569C" w:rsidRPr="00315F60" w:rsidRDefault="00D9569C" w:rsidP="007F13A4">
      <w:pPr>
        <w:pStyle w:val="Bullet1stlevel"/>
      </w:pPr>
      <w:r w:rsidRPr="00315F60">
        <w:lastRenderedPageBreak/>
        <w:t xml:space="preserve">stratifying by occupancy </w:t>
      </w:r>
      <w:r w:rsidR="002F256B" w:rsidRPr="00315F60">
        <w:t>has</w:t>
      </w:r>
      <w:r w:rsidRPr="00315F60">
        <w:t xml:space="preserve"> some </w:t>
      </w:r>
      <w:r w:rsidR="00385229" w:rsidRPr="00315F60">
        <w:t xml:space="preserve">basic </w:t>
      </w:r>
      <w:r w:rsidRPr="00315F60">
        <w:t>logic</w:t>
      </w:r>
      <w:r w:rsidR="002F256B" w:rsidRPr="00315F60">
        <w:t xml:space="preserve">, </w:t>
      </w:r>
      <w:r w:rsidRPr="00315F60">
        <w:t xml:space="preserve">i.e. </w:t>
      </w:r>
      <w:r w:rsidR="002F256B" w:rsidRPr="00315F60">
        <w:t xml:space="preserve">there </w:t>
      </w:r>
      <w:r w:rsidRPr="00315F60">
        <w:t>need</w:t>
      </w:r>
      <w:r w:rsidR="002F256B" w:rsidRPr="00315F60">
        <w:t>s</w:t>
      </w:r>
      <w:r w:rsidRPr="00315F60">
        <w:t xml:space="preserve"> to </w:t>
      </w:r>
      <w:r w:rsidR="002F256B" w:rsidRPr="00315F60">
        <w:t>be</w:t>
      </w:r>
      <w:r w:rsidRPr="00315F60">
        <w:t xml:space="preserve"> residents in a service </w:t>
      </w:r>
      <w:r w:rsidR="002F256B" w:rsidRPr="00315F60">
        <w:t xml:space="preserve">in order </w:t>
      </w:r>
      <w:r w:rsidRPr="00315F60">
        <w:t>to have incidents between residents.</w:t>
      </w:r>
    </w:p>
    <w:p w:rsidR="00D9569C" w:rsidRPr="00315F60" w:rsidRDefault="00D9569C" w:rsidP="00EF6B6C">
      <w:pPr>
        <w:pStyle w:val="Caption"/>
        <w:rPr>
          <w:color w:val="auto"/>
        </w:rPr>
      </w:pPr>
      <w:bookmarkStart w:id="435" w:name="_Ref23406252"/>
      <w:r w:rsidRPr="00315F60">
        <w:rPr>
          <w:color w:val="auto"/>
        </w:rPr>
        <w:t xml:space="preserve">Table </w:t>
      </w:r>
      <w:r w:rsidRPr="00315F60">
        <w:rPr>
          <w:noProof/>
          <w:color w:val="auto"/>
        </w:rPr>
        <w:fldChar w:fldCharType="begin"/>
      </w:r>
      <w:r w:rsidRPr="00315F60">
        <w:rPr>
          <w:noProof/>
          <w:color w:val="auto"/>
        </w:rPr>
        <w:instrText xml:space="preserve"> SEQ Table \* ARABIC </w:instrText>
      </w:r>
      <w:r w:rsidRPr="00315F60">
        <w:rPr>
          <w:noProof/>
          <w:color w:val="auto"/>
        </w:rPr>
        <w:fldChar w:fldCharType="separate"/>
      </w:r>
      <w:r w:rsidR="004355CA" w:rsidRPr="00315F60">
        <w:rPr>
          <w:noProof/>
          <w:color w:val="auto"/>
        </w:rPr>
        <w:t>8</w:t>
      </w:r>
      <w:r w:rsidRPr="00315F60">
        <w:rPr>
          <w:noProof/>
          <w:color w:val="auto"/>
        </w:rPr>
        <w:fldChar w:fldCharType="end"/>
      </w:r>
      <w:bookmarkEnd w:id="435"/>
      <w:r w:rsidRPr="00315F60">
        <w:rPr>
          <w:color w:val="auto"/>
        </w:rPr>
        <w:t>: National estimates of Type 1 and Type 2 incidents</w:t>
      </w:r>
    </w:p>
    <w:tbl>
      <w:tblPr>
        <w:tblStyle w:val="TableGridKPMGBlue1"/>
        <w:tblW w:w="9151" w:type="dxa"/>
        <w:tblLook w:val="04A0" w:firstRow="1" w:lastRow="0" w:firstColumn="1" w:lastColumn="0" w:noHBand="0" w:noVBand="1"/>
        <w:tblDescription w:val="Table showing national estimates of Type 1 and Type 2 incidents."/>
      </w:tblPr>
      <w:tblGrid>
        <w:gridCol w:w="2405"/>
        <w:gridCol w:w="3272"/>
        <w:gridCol w:w="3474"/>
      </w:tblGrid>
      <w:tr w:rsidR="00315F60" w:rsidRPr="00315F60" w:rsidTr="00506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000000" w:themeFill="text1"/>
            <w:vAlign w:val="center"/>
          </w:tcPr>
          <w:p w:rsidR="00D9569C" w:rsidRPr="00315F60" w:rsidRDefault="00D9569C" w:rsidP="00EF6B6C">
            <w:pPr>
              <w:pStyle w:val="Tableheading"/>
              <w:rPr>
                <w:color w:val="auto"/>
              </w:rPr>
            </w:pPr>
            <w:r w:rsidRPr="00315F60">
              <w:rPr>
                <w:color w:val="auto"/>
              </w:rPr>
              <w:t>Method</w:t>
            </w:r>
          </w:p>
        </w:tc>
        <w:tc>
          <w:tcPr>
            <w:tcW w:w="3272" w:type="dxa"/>
            <w:shd w:val="clear" w:color="auto" w:fill="000000" w:themeFill="text1"/>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Population Type 1 incidents</w:t>
            </w:r>
          </w:p>
        </w:tc>
        <w:tc>
          <w:tcPr>
            <w:tcW w:w="3474" w:type="dxa"/>
            <w:shd w:val="clear" w:color="auto" w:fill="000000" w:themeFill="text1"/>
            <w:vAlign w:val="center"/>
          </w:tcPr>
          <w:p w:rsidR="00D9569C" w:rsidRPr="00315F60" w:rsidRDefault="00D9569C" w:rsidP="00EF6B6C">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Population Type 2 incidents</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405" w:type="dxa"/>
            <w:vAlign w:val="center"/>
          </w:tcPr>
          <w:p w:rsidR="00D9569C" w:rsidRPr="00315F60" w:rsidRDefault="00D9569C" w:rsidP="00EF6B6C">
            <w:pPr>
              <w:pStyle w:val="Tabletext"/>
            </w:pPr>
            <w:r w:rsidRPr="00315F60">
              <w:t>1. Assume all services in sample have equal weight</w:t>
            </w:r>
          </w:p>
        </w:tc>
        <w:tc>
          <w:tcPr>
            <w:tcW w:w="3272" w:type="dxa"/>
            <w:vAlign w:val="center"/>
          </w:tcPr>
          <w:p w:rsidR="00D9569C" w:rsidRPr="00315F60" w:rsidRDefault="00D9569C" w:rsidP="00B0520F">
            <w:pPr>
              <w:pStyle w:val="Tabletext"/>
              <w:tabs>
                <w:tab w:val="decimal" w:pos="1042"/>
              </w:tabs>
              <w:jc w:val="both"/>
              <w:cnfStyle w:val="000000000000" w:firstRow="0" w:lastRow="0" w:firstColumn="0" w:lastColumn="0" w:oddVBand="0" w:evenVBand="0" w:oddHBand="0" w:evenHBand="0" w:firstRowFirstColumn="0" w:firstRowLastColumn="0" w:lastRowFirstColumn="0" w:lastRowLastColumn="0"/>
            </w:pPr>
            <w:r w:rsidRPr="00315F60">
              <w:t>38,753</w:t>
            </w:r>
          </w:p>
          <w:p w:rsidR="00D9569C" w:rsidRPr="00315F60" w:rsidRDefault="00D9569C" w:rsidP="00B0520F">
            <w:pPr>
              <w:pStyle w:val="Tabletext"/>
              <w:tabs>
                <w:tab w:val="decimal" w:pos="1042"/>
              </w:tabs>
              <w:jc w:val="both"/>
              <w:cnfStyle w:val="000000000000" w:firstRow="0" w:lastRow="0" w:firstColumn="0" w:lastColumn="0" w:oddVBand="0" w:evenVBand="0" w:oddHBand="0" w:evenHBand="0" w:firstRowFirstColumn="0" w:firstRowLastColumn="0" w:lastRowFirstColumn="0" w:lastRowLastColumn="0"/>
            </w:pPr>
            <w:r w:rsidRPr="00315F60">
              <w:t>(34,518 to 42,989)</w:t>
            </w:r>
          </w:p>
        </w:tc>
        <w:tc>
          <w:tcPr>
            <w:tcW w:w="3474" w:type="dxa"/>
            <w:vAlign w:val="center"/>
          </w:tcPr>
          <w:p w:rsidR="00D9569C" w:rsidRPr="00315F60" w:rsidRDefault="00D9569C" w:rsidP="00B0520F">
            <w:pPr>
              <w:pStyle w:val="Tabletext"/>
              <w:tabs>
                <w:tab w:val="decimal" w:pos="857"/>
              </w:tabs>
              <w:jc w:val="both"/>
              <w:cnfStyle w:val="000000000000" w:firstRow="0" w:lastRow="0" w:firstColumn="0" w:lastColumn="0" w:oddVBand="0" w:evenVBand="0" w:oddHBand="0" w:evenHBand="0" w:firstRowFirstColumn="0" w:firstRowLastColumn="0" w:lastRowFirstColumn="0" w:lastRowLastColumn="0"/>
            </w:pPr>
            <w:r w:rsidRPr="00315F60">
              <w:t>13,930</w:t>
            </w:r>
          </w:p>
          <w:p w:rsidR="00D9569C" w:rsidRPr="00315F60" w:rsidRDefault="00D9569C" w:rsidP="00B0520F">
            <w:pPr>
              <w:pStyle w:val="Tabletext"/>
              <w:tabs>
                <w:tab w:val="decimal" w:pos="857"/>
              </w:tabs>
              <w:jc w:val="both"/>
              <w:cnfStyle w:val="000000000000" w:firstRow="0" w:lastRow="0" w:firstColumn="0" w:lastColumn="0" w:oddVBand="0" w:evenVBand="0" w:oddHBand="0" w:evenHBand="0" w:firstRowFirstColumn="0" w:firstRowLastColumn="0" w:lastRowFirstColumn="0" w:lastRowLastColumn="0"/>
            </w:pPr>
            <w:r w:rsidRPr="00315F60">
              <w:t>(12,121 to 15,738)</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405" w:type="dxa"/>
            <w:vAlign w:val="center"/>
          </w:tcPr>
          <w:p w:rsidR="00D9569C" w:rsidRPr="00315F60" w:rsidRDefault="00D9569C" w:rsidP="00EF6B6C">
            <w:pPr>
              <w:pStyle w:val="Tabletext"/>
            </w:pPr>
            <w:r w:rsidRPr="00315F60">
              <w:t>2. Stratify services by size</w:t>
            </w:r>
          </w:p>
        </w:tc>
        <w:tc>
          <w:tcPr>
            <w:tcW w:w="3272" w:type="dxa"/>
            <w:vAlign w:val="center"/>
          </w:tcPr>
          <w:p w:rsidR="00D9569C" w:rsidRPr="00315F60" w:rsidRDefault="00D9569C" w:rsidP="00B0520F">
            <w:pPr>
              <w:pStyle w:val="Tabletext"/>
              <w:tabs>
                <w:tab w:val="decimal" w:pos="1042"/>
              </w:tabs>
              <w:jc w:val="both"/>
              <w:cnfStyle w:val="000000000000" w:firstRow="0" w:lastRow="0" w:firstColumn="0" w:lastColumn="0" w:oddVBand="0" w:evenVBand="0" w:oddHBand="0" w:evenHBand="0" w:firstRowFirstColumn="0" w:firstRowLastColumn="0" w:lastRowFirstColumn="0" w:lastRowLastColumn="0"/>
            </w:pPr>
            <w:r w:rsidRPr="00315F60">
              <w:t>37,697</w:t>
            </w:r>
          </w:p>
          <w:p w:rsidR="00D9569C" w:rsidRPr="00315F60" w:rsidRDefault="00D9569C" w:rsidP="00B0520F">
            <w:pPr>
              <w:pStyle w:val="Tabletext"/>
              <w:tabs>
                <w:tab w:val="decimal" w:pos="1042"/>
              </w:tabs>
              <w:jc w:val="both"/>
              <w:cnfStyle w:val="000000000000" w:firstRow="0" w:lastRow="0" w:firstColumn="0" w:lastColumn="0" w:oddVBand="0" w:evenVBand="0" w:oddHBand="0" w:evenHBand="0" w:firstRowFirstColumn="0" w:firstRowLastColumn="0" w:lastRowFirstColumn="0" w:lastRowLastColumn="0"/>
            </w:pPr>
            <w:r w:rsidRPr="00315F60">
              <w:t>(33,670 to 41,724)</w:t>
            </w:r>
          </w:p>
        </w:tc>
        <w:tc>
          <w:tcPr>
            <w:tcW w:w="3474" w:type="dxa"/>
            <w:vAlign w:val="center"/>
          </w:tcPr>
          <w:p w:rsidR="00D9569C" w:rsidRPr="00315F60" w:rsidRDefault="00D9569C" w:rsidP="00B0520F">
            <w:pPr>
              <w:pStyle w:val="Tabletext"/>
              <w:tabs>
                <w:tab w:val="decimal" w:pos="857"/>
              </w:tabs>
              <w:jc w:val="both"/>
              <w:cnfStyle w:val="000000000000" w:firstRow="0" w:lastRow="0" w:firstColumn="0" w:lastColumn="0" w:oddVBand="0" w:evenVBand="0" w:oddHBand="0" w:evenHBand="0" w:firstRowFirstColumn="0" w:firstRowLastColumn="0" w:lastRowFirstColumn="0" w:lastRowLastColumn="0"/>
            </w:pPr>
            <w:r w:rsidRPr="00315F60">
              <w:t>13,777</w:t>
            </w:r>
          </w:p>
          <w:p w:rsidR="00D9569C" w:rsidRPr="00315F60" w:rsidRDefault="00D9569C" w:rsidP="00B0520F">
            <w:pPr>
              <w:pStyle w:val="Tabletext"/>
              <w:tabs>
                <w:tab w:val="decimal" w:pos="857"/>
              </w:tabs>
              <w:jc w:val="both"/>
              <w:cnfStyle w:val="000000000000" w:firstRow="0" w:lastRow="0" w:firstColumn="0" w:lastColumn="0" w:oddVBand="0" w:evenVBand="0" w:oddHBand="0" w:evenHBand="0" w:firstRowFirstColumn="0" w:firstRowLastColumn="0" w:lastRowFirstColumn="0" w:lastRowLastColumn="0"/>
            </w:pPr>
            <w:r w:rsidRPr="00315F60">
              <w:t>(11,951 to 15,603)</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405" w:type="dxa"/>
            <w:vAlign w:val="center"/>
          </w:tcPr>
          <w:p w:rsidR="00D9569C" w:rsidRPr="00315F60" w:rsidRDefault="00D9569C" w:rsidP="00EF6B6C">
            <w:pPr>
              <w:pStyle w:val="Tabletext"/>
            </w:pPr>
            <w:r w:rsidRPr="00315F60">
              <w:t>3. Stratify services by size and exclude an approved provider</w:t>
            </w:r>
          </w:p>
        </w:tc>
        <w:tc>
          <w:tcPr>
            <w:tcW w:w="3272" w:type="dxa"/>
            <w:vAlign w:val="center"/>
          </w:tcPr>
          <w:p w:rsidR="00D9569C" w:rsidRPr="00315F60" w:rsidRDefault="00D9569C" w:rsidP="00B0520F">
            <w:pPr>
              <w:pStyle w:val="Tabletext"/>
              <w:tabs>
                <w:tab w:val="decimal" w:pos="1042"/>
              </w:tabs>
              <w:jc w:val="both"/>
              <w:cnfStyle w:val="000000000000" w:firstRow="0" w:lastRow="0" w:firstColumn="0" w:lastColumn="0" w:oddVBand="0" w:evenVBand="0" w:oddHBand="0" w:evenHBand="0" w:firstRowFirstColumn="0" w:firstRowLastColumn="0" w:lastRowFirstColumn="0" w:lastRowLastColumn="0"/>
            </w:pPr>
            <w:r w:rsidRPr="00315F60">
              <w:t>26,960</w:t>
            </w:r>
          </w:p>
          <w:p w:rsidR="00D9569C" w:rsidRPr="00315F60" w:rsidRDefault="00D9569C" w:rsidP="00B0520F">
            <w:pPr>
              <w:pStyle w:val="Tabletext"/>
              <w:tabs>
                <w:tab w:val="decimal" w:pos="1042"/>
              </w:tabs>
              <w:jc w:val="both"/>
              <w:cnfStyle w:val="000000000000" w:firstRow="0" w:lastRow="0" w:firstColumn="0" w:lastColumn="0" w:oddVBand="0" w:evenVBand="0" w:oddHBand="0" w:evenHBand="0" w:firstRowFirstColumn="0" w:firstRowLastColumn="0" w:lastRowFirstColumn="0" w:lastRowLastColumn="0"/>
            </w:pPr>
            <w:r w:rsidRPr="00315F60">
              <w:t>(24,208 to 29,712)</w:t>
            </w:r>
          </w:p>
        </w:tc>
        <w:tc>
          <w:tcPr>
            <w:tcW w:w="3474" w:type="dxa"/>
            <w:vAlign w:val="center"/>
          </w:tcPr>
          <w:p w:rsidR="00D9569C" w:rsidRPr="00315F60" w:rsidRDefault="00D9569C" w:rsidP="00B0520F">
            <w:pPr>
              <w:pStyle w:val="Tabletext"/>
              <w:tabs>
                <w:tab w:val="decimal" w:pos="857"/>
              </w:tabs>
              <w:jc w:val="both"/>
              <w:cnfStyle w:val="000000000000" w:firstRow="0" w:lastRow="0" w:firstColumn="0" w:lastColumn="0" w:oddVBand="0" w:evenVBand="0" w:oddHBand="0" w:evenHBand="0" w:firstRowFirstColumn="0" w:firstRowLastColumn="0" w:lastRowFirstColumn="0" w:lastRowLastColumn="0"/>
            </w:pPr>
            <w:r w:rsidRPr="00315F60">
              <w:t>9,128</w:t>
            </w:r>
          </w:p>
          <w:p w:rsidR="00D9569C" w:rsidRPr="00315F60" w:rsidRDefault="00D9569C" w:rsidP="00B0520F">
            <w:pPr>
              <w:pStyle w:val="Tabletext"/>
              <w:tabs>
                <w:tab w:val="decimal" w:pos="857"/>
              </w:tabs>
              <w:jc w:val="both"/>
              <w:cnfStyle w:val="000000000000" w:firstRow="0" w:lastRow="0" w:firstColumn="0" w:lastColumn="0" w:oddVBand="0" w:evenVBand="0" w:oddHBand="0" w:evenHBand="0" w:firstRowFirstColumn="0" w:firstRowLastColumn="0" w:lastRowFirstColumn="0" w:lastRowLastColumn="0"/>
            </w:pPr>
            <w:r w:rsidRPr="00315F60">
              <w:t>(7,778 to 10,478)</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405" w:type="dxa"/>
            <w:vAlign w:val="center"/>
          </w:tcPr>
          <w:p w:rsidR="00D9569C" w:rsidRPr="00315F60" w:rsidRDefault="00D9569C" w:rsidP="00EF6B6C">
            <w:pPr>
              <w:pStyle w:val="Tabletext"/>
            </w:pPr>
            <w:r w:rsidRPr="00315F60">
              <w:t>4. Stratify services by occupancy</w:t>
            </w:r>
          </w:p>
        </w:tc>
        <w:tc>
          <w:tcPr>
            <w:tcW w:w="3272" w:type="dxa"/>
            <w:vAlign w:val="center"/>
          </w:tcPr>
          <w:p w:rsidR="00D9569C" w:rsidRPr="00315F60" w:rsidRDefault="00D9569C" w:rsidP="00B0520F">
            <w:pPr>
              <w:pStyle w:val="Tabletext"/>
              <w:tabs>
                <w:tab w:val="decimal" w:pos="1042"/>
              </w:tabs>
              <w:jc w:val="both"/>
              <w:cnfStyle w:val="000000000000" w:firstRow="0" w:lastRow="0" w:firstColumn="0" w:lastColumn="0" w:oddVBand="0" w:evenVBand="0" w:oddHBand="0" w:evenHBand="0" w:firstRowFirstColumn="0" w:firstRowLastColumn="0" w:lastRowFirstColumn="0" w:lastRowLastColumn="0"/>
            </w:pPr>
            <w:r w:rsidRPr="00315F60">
              <w:t>38,898</w:t>
            </w:r>
          </w:p>
          <w:p w:rsidR="00D9569C" w:rsidRPr="00315F60" w:rsidRDefault="00D9569C" w:rsidP="00B0520F">
            <w:pPr>
              <w:pStyle w:val="Tabletext"/>
              <w:tabs>
                <w:tab w:val="decimal" w:pos="1042"/>
              </w:tabs>
              <w:jc w:val="both"/>
              <w:cnfStyle w:val="000000000000" w:firstRow="0" w:lastRow="0" w:firstColumn="0" w:lastColumn="0" w:oddVBand="0" w:evenVBand="0" w:oddHBand="0" w:evenHBand="0" w:firstRowFirstColumn="0" w:firstRowLastColumn="0" w:lastRowFirstColumn="0" w:lastRowLastColumn="0"/>
            </w:pPr>
            <w:r w:rsidRPr="00315F60">
              <w:t>(34,824 to 42,972)</w:t>
            </w:r>
          </w:p>
        </w:tc>
        <w:tc>
          <w:tcPr>
            <w:tcW w:w="3474" w:type="dxa"/>
            <w:vAlign w:val="center"/>
          </w:tcPr>
          <w:p w:rsidR="00D9569C" w:rsidRPr="00315F60" w:rsidRDefault="00D9569C" w:rsidP="00B0520F">
            <w:pPr>
              <w:pStyle w:val="Tabletext"/>
              <w:tabs>
                <w:tab w:val="decimal" w:pos="857"/>
              </w:tabs>
              <w:jc w:val="both"/>
              <w:cnfStyle w:val="000000000000" w:firstRow="0" w:lastRow="0" w:firstColumn="0" w:lastColumn="0" w:oddVBand="0" w:evenVBand="0" w:oddHBand="0" w:evenHBand="0" w:firstRowFirstColumn="0" w:firstRowLastColumn="0" w:lastRowFirstColumn="0" w:lastRowLastColumn="0"/>
            </w:pPr>
            <w:r w:rsidRPr="00315F60">
              <w:t>13,757</w:t>
            </w:r>
          </w:p>
          <w:p w:rsidR="00D9569C" w:rsidRPr="00315F60" w:rsidRDefault="00D9569C" w:rsidP="00B0520F">
            <w:pPr>
              <w:pStyle w:val="Tabletext"/>
              <w:tabs>
                <w:tab w:val="decimal" w:pos="857"/>
              </w:tabs>
              <w:jc w:val="both"/>
              <w:cnfStyle w:val="000000000000" w:firstRow="0" w:lastRow="0" w:firstColumn="0" w:lastColumn="0" w:oddVBand="0" w:evenVBand="0" w:oddHBand="0" w:evenHBand="0" w:firstRowFirstColumn="0" w:firstRowLastColumn="0" w:lastRowFirstColumn="0" w:lastRowLastColumn="0"/>
            </w:pPr>
            <w:r w:rsidRPr="00315F60">
              <w:t>(11,952 to 15,561)</w:t>
            </w:r>
          </w:p>
        </w:tc>
      </w:tr>
      <w:tr w:rsidR="00315F60" w:rsidRPr="00315F60" w:rsidTr="00EF6B6C">
        <w:tc>
          <w:tcPr>
            <w:cnfStyle w:val="001000000000" w:firstRow="0" w:lastRow="0" w:firstColumn="1" w:lastColumn="0" w:oddVBand="0" w:evenVBand="0" w:oddHBand="0" w:evenHBand="0" w:firstRowFirstColumn="0" w:firstRowLastColumn="0" w:lastRowFirstColumn="0" w:lastRowLastColumn="0"/>
            <w:tcW w:w="2405" w:type="dxa"/>
            <w:vAlign w:val="center"/>
          </w:tcPr>
          <w:p w:rsidR="00D9569C" w:rsidRPr="00315F60" w:rsidRDefault="00D9569C" w:rsidP="00EF6B6C">
            <w:pPr>
              <w:pStyle w:val="Tabletext"/>
            </w:pPr>
            <w:r w:rsidRPr="00315F60">
              <w:t>5. Stratify services by occupancy and exclude an approved provider</w:t>
            </w:r>
          </w:p>
        </w:tc>
        <w:tc>
          <w:tcPr>
            <w:tcW w:w="3272" w:type="dxa"/>
            <w:vAlign w:val="center"/>
          </w:tcPr>
          <w:p w:rsidR="00D9569C" w:rsidRPr="00315F60" w:rsidRDefault="00D9569C" w:rsidP="00B0520F">
            <w:pPr>
              <w:pStyle w:val="Tabletext"/>
              <w:tabs>
                <w:tab w:val="decimal" w:pos="1042"/>
              </w:tabs>
              <w:jc w:val="both"/>
              <w:cnfStyle w:val="000000000000" w:firstRow="0" w:lastRow="0" w:firstColumn="0" w:lastColumn="0" w:oddVBand="0" w:evenVBand="0" w:oddHBand="0" w:evenHBand="0" w:firstRowFirstColumn="0" w:firstRowLastColumn="0" w:lastRowFirstColumn="0" w:lastRowLastColumn="0"/>
            </w:pPr>
            <w:r w:rsidRPr="00315F60">
              <w:t>28,279</w:t>
            </w:r>
          </w:p>
          <w:p w:rsidR="00D9569C" w:rsidRPr="00315F60" w:rsidRDefault="00D9569C" w:rsidP="00B0520F">
            <w:pPr>
              <w:pStyle w:val="Tabletext"/>
              <w:tabs>
                <w:tab w:val="decimal" w:pos="1042"/>
              </w:tabs>
              <w:jc w:val="both"/>
              <w:cnfStyle w:val="000000000000" w:firstRow="0" w:lastRow="0" w:firstColumn="0" w:lastColumn="0" w:oddVBand="0" w:evenVBand="0" w:oddHBand="0" w:evenHBand="0" w:firstRowFirstColumn="0" w:firstRowLastColumn="0" w:lastRowFirstColumn="0" w:lastRowLastColumn="0"/>
            </w:pPr>
            <w:r w:rsidRPr="00315F60">
              <w:t>(25,586 to 30,971)</w:t>
            </w:r>
          </w:p>
        </w:tc>
        <w:tc>
          <w:tcPr>
            <w:tcW w:w="3474" w:type="dxa"/>
            <w:vAlign w:val="center"/>
          </w:tcPr>
          <w:p w:rsidR="00D9569C" w:rsidRPr="00315F60" w:rsidRDefault="00D9569C" w:rsidP="00B0520F">
            <w:pPr>
              <w:pStyle w:val="Tabletext"/>
              <w:tabs>
                <w:tab w:val="decimal" w:pos="857"/>
              </w:tabs>
              <w:jc w:val="both"/>
              <w:cnfStyle w:val="000000000000" w:firstRow="0" w:lastRow="0" w:firstColumn="0" w:lastColumn="0" w:oddVBand="0" w:evenVBand="0" w:oddHBand="0" w:evenHBand="0" w:firstRowFirstColumn="0" w:firstRowLastColumn="0" w:lastRowFirstColumn="0" w:lastRowLastColumn="0"/>
            </w:pPr>
            <w:r w:rsidRPr="00315F60">
              <w:t>9,341</w:t>
            </w:r>
          </w:p>
          <w:p w:rsidR="00D9569C" w:rsidRPr="00315F60" w:rsidRDefault="00D9569C" w:rsidP="00B0520F">
            <w:pPr>
              <w:pStyle w:val="Tabletext"/>
              <w:tabs>
                <w:tab w:val="decimal" w:pos="857"/>
              </w:tabs>
              <w:jc w:val="both"/>
              <w:cnfStyle w:val="000000000000" w:firstRow="0" w:lastRow="0" w:firstColumn="0" w:lastColumn="0" w:oddVBand="0" w:evenVBand="0" w:oddHBand="0" w:evenHBand="0" w:firstRowFirstColumn="0" w:firstRowLastColumn="0" w:lastRowFirstColumn="0" w:lastRowLastColumn="0"/>
            </w:pPr>
            <w:r w:rsidRPr="00315F60">
              <w:t>(8,025 to 10,658)</w:t>
            </w:r>
          </w:p>
        </w:tc>
      </w:tr>
    </w:tbl>
    <w:p w:rsidR="00D9569C" w:rsidRPr="00315F60" w:rsidRDefault="00D9569C" w:rsidP="00EF6B6C">
      <w:pPr>
        <w:pStyle w:val="Source"/>
      </w:pPr>
      <w:r w:rsidRPr="00315F60">
        <w:t>Source: KPMG analysis on resident incident study data</w:t>
      </w:r>
    </w:p>
    <w:tbl>
      <w:tblPr>
        <w:tblStyle w:val="McLLTableGeneralText1"/>
        <w:tblW w:w="0" w:type="auto"/>
        <w:tblLook w:val="04A0" w:firstRow="1" w:lastRow="0" w:firstColumn="1" w:lastColumn="0" w:noHBand="0" w:noVBand="1"/>
        <w:tblDescription w:val="Call-out box with a summary of key findings. "/>
      </w:tblPr>
      <w:tblGrid>
        <w:gridCol w:w="9060"/>
      </w:tblGrid>
      <w:tr w:rsidR="00315F60" w:rsidRPr="00315F60" w:rsidTr="0008252F">
        <w:tc>
          <w:tcPr>
            <w:tcW w:w="9060" w:type="dxa"/>
            <w:shd w:val="clear" w:color="auto" w:fill="FFFFFF" w:themeFill="background1"/>
          </w:tcPr>
          <w:p w:rsidR="00D45AE0" w:rsidRPr="00315F60" w:rsidRDefault="00D45AE0" w:rsidP="00C7186C">
            <w:pPr>
              <w:rPr>
                <w:b/>
              </w:rPr>
            </w:pPr>
            <w:r w:rsidRPr="00315F60">
              <w:rPr>
                <w:b/>
              </w:rPr>
              <w:t>Summary of key findings</w:t>
            </w:r>
          </w:p>
          <w:p w:rsidR="00D45AE0" w:rsidRPr="00315F60" w:rsidRDefault="00D45AE0" w:rsidP="00C7186C">
            <w:pPr>
              <w:pStyle w:val="BodyText"/>
            </w:pPr>
            <w:r w:rsidRPr="00315F60">
              <w:t>Findings and implications relating to the services that participated, the incident data reported and the national estimates for a 12 month period are outlined below.</w:t>
            </w:r>
          </w:p>
          <w:p w:rsidR="00D45AE0" w:rsidRPr="00315F60" w:rsidRDefault="00D45AE0" w:rsidP="00C7186C">
            <w:pPr>
              <w:pStyle w:val="Bullet1stlevel"/>
            </w:pPr>
            <w:r w:rsidRPr="00315F60">
              <w:rPr>
                <w:b/>
              </w:rPr>
              <w:t>178 aged care services participated in the study</w:t>
            </w:r>
            <w:r w:rsidRPr="00315F60">
              <w:t>: The sample of participating services was not “representative” from a jurisdiction point of view. Several jurisdictions were under-represented (ACT, SA and WA) and NT was not represented at all. The sample did however, appear to be “representative” of all services from a remoteness perspective. In terms of size, smaller services were under-represented but when considering occupancy, rather than just size, the sample was more representative of services nationally. As with any study with voluntary participation, it is subject to voluntary response bias, although it is not known whether non-participating services would have reported more or less incidents. Regardless, the study still provides the best available data on resident on resident incidents in residential aged care. The resulting national estimates need to be considered in light of the sample and study limitations.</w:t>
            </w:r>
          </w:p>
          <w:p w:rsidR="00D45AE0" w:rsidRPr="00315F60" w:rsidRDefault="00D45AE0" w:rsidP="00C7186C">
            <w:pPr>
              <w:pStyle w:val="Bullet1stlevel"/>
            </w:pPr>
            <w:r w:rsidRPr="00315F60">
              <w:rPr>
                <w:b/>
              </w:rPr>
              <w:t>There were key characteristics in the incident data</w:t>
            </w:r>
            <w:r w:rsidRPr="00315F60">
              <w:t xml:space="preserve">: The number of Type 1 and Type 2 incidents reported varied across services. Notably, 28 services reported zero Type 1 incidents and 81 services reported zero Type 2 incidents. In addition, 18 services reported 15 or more Type 1 incidents, i.e. some services averaged zero incidents over a six month period and other services averaged more than two Type 1 incidents per month. When it came to the characteristics of Type 1 incidents, there were stand-out categories in terms of incident type, perpetrator behaviours, victim impact and service response. For incident type, 95 per cent of Type 1 incidents were classified as unreasonable use of force. When it came to perpetrator behaviours, the vast majority of Type 1 incidents were classified as pushing or shoving, kicking, hitting, punching, slapping, biting and/or burning. This aligns with the fact that the majority of incidents were classified as unreasonable use of force. The impact on the victim was classified as </w:t>
            </w:r>
            <w:r w:rsidRPr="00315F60">
              <w:rPr>
                <w:i/>
              </w:rPr>
              <w:t>no impact</w:t>
            </w:r>
            <w:r w:rsidRPr="00315F60">
              <w:t xml:space="preserve"> in the majority of incidents. The majority of services reported two or more service responses to an incident (e.g. </w:t>
            </w:r>
            <w:r w:rsidRPr="00315F60">
              <w:rPr>
                <w:i/>
              </w:rPr>
              <w:t>Referral made to GP</w:t>
            </w:r>
            <w:r w:rsidRPr="00315F60">
              <w:t xml:space="preserve">, </w:t>
            </w:r>
            <w:r w:rsidRPr="00315F60">
              <w:rPr>
                <w:i/>
              </w:rPr>
              <w:t>Update made to the victim’s care plan</w:t>
            </w:r>
            <w:r w:rsidRPr="00315F60">
              <w:t>). National estimates are likely to be influenced by the variation in the number of incidents reported across services (i.e. zero incident services and 10+ incident services). If, for example, the 28 services that reported zero Type 1 incidents were the only services to participate in the study then the national estimate would be zero. There was also a provider that reported a large number of incidents.</w:t>
            </w:r>
          </w:p>
          <w:p w:rsidR="00D45AE0" w:rsidRPr="00315F60" w:rsidRDefault="00D45AE0" w:rsidP="00C7186C">
            <w:pPr>
              <w:pStyle w:val="Bullet1stlevel"/>
            </w:pPr>
            <w:r w:rsidRPr="00315F60">
              <w:rPr>
                <w:b/>
              </w:rPr>
              <w:lastRenderedPageBreak/>
              <w:t xml:space="preserve">At a national level, over a 12 month period, there may be tens of thousands of incidents: </w:t>
            </w:r>
            <w:r w:rsidRPr="00315F60">
              <w:t>For a six month window, 178 services reported 1,259 Type 1 incidents and 455 Type 2 incidents. This means that</w:t>
            </w:r>
            <w:r w:rsidRPr="00315F60">
              <w:rPr>
                <w:b/>
              </w:rPr>
              <w:t xml:space="preserve"> </w:t>
            </w:r>
            <w:r w:rsidRPr="00315F60">
              <w:t xml:space="preserve">the total number of Type 1 and Type 2 incidents at a national level (i.e. all 2,717 services) for a 12 month period are estimated to be in the tens of thousands, specifically 38,898 Type 1 incidents and 13,757 Type 2 incidents. These estimates are based on Method 4 outlined in </w:t>
            </w:r>
            <w:r w:rsidRPr="00315F60">
              <w:fldChar w:fldCharType="begin"/>
            </w:r>
            <w:r w:rsidRPr="00315F60">
              <w:instrText xml:space="preserve"> REF _Ref23406252 \h </w:instrText>
            </w:r>
            <w:r w:rsidR="0008252F">
              <w:instrText xml:space="preserve"> \* MERGEFORMAT </w:instrText>
            </w:r>
            <w:r w:rsidRPr="00315F60">
              <w:fldChar w:fldCharType="separate"/>
            </w:r>
            <w:r w:rsidRPr="00315F60">
              <w:t xml:space="preserve">Table </w:t>
            </w:r>
            <w:r w:rsidRPr="00315F60">
              <w:rPr>
                <w:noProof/>
              </w:rPr>
              <w:t>8</w:t>
            </w:r>
            <w:r w:rsidRPr="00315F60">
              <w:fldChar w:fldCharType="end"/>
            </w:r>
            <w:r w:rsidRPr="00315F60">
              <w:t>. The sample ratios can be combined with the national total estimates to provide an estimate of specific incident types. For example, the 4.4 per cent of incidents that were classified as being unlawful sexual contact can be combined with the total estimate of 38,898 incidents to provide an estimate at the national level of resident on resident incidents involving unlawful sexual contact (1,730 incidents).</w:t>
            </w:r>
          </w:p>
        </w:tc>
      </w:tr>
    </w:tbl>
    <w:p w:rsidR="00D45AE0" w:rsidRPr="00315F60" w:rsidRDefault="00D45AE0" w:rsidP="00EF6B6C">
      <w:pPr>
        <w:pStyle w:val="Source"/>
      </w:pPr>
    </w:p>
    <w:p w:rsidR="00896491" w:rsidRPr="00315F60" w:rsidRDefault="00896491" w:rsidP="00EF6B6C">
      <w:pPr>
        <w:pStyle w:val="Source"/>
      </w:pPr>
    </w:p>
    <w:p w:rsidR="00400984" w:rsidRPr="00315F60" w:rsidRDefault="00400984" w:rsidP="00EF6B6C">
      <w:pPr>
        <w:pStyle w:val="Heading1"/>
        <w:rPr>
          <w:color w:val="auto"/>
        </w:rPr>
      </w:pPr>
      <w:bookmarkStart w:id="436" w:name="_Ref25416816"/>
      <w:bookmarkStart w:id="437" w:name="_Toc26979139"/>
      <w:bookmarkEnd w:id="395"/>
      <w:r w:rsidRPr="00315F60">
        <w:rPr>
          <w:color w:val="auto"/>
        </w:rPr>
        <w:lastRenderedPageBreak/>
        <w:t>Study implications for the design of a SIRS</w:t>
      </w:r>
      <w:bookmarkEnd w:id="396"/>
      <w:bookmarkEnd w:id="436"/>
      <w:bookmarkEnd w:id="437"/>
    </w:p>
    <w:p w:rsidR="00252CA3" w:rsidRPr="00315F60" w:rsidRDefault="00252CA3" w:rsidP="00252CA3">
      <w:pPr>
        <w:pStyle w:val="BodyText"/>
      </w:pPr>
      <w:r w:rsidRPr="00315F60">
        <w:t>This section discusses the implications of the study findings for the design of a SIRS</w:t>
      </w:r>
      <w:r w:rsidR="001952BF" w:rsidRPr="00315F60">
        <w:t xml:space="preserve">. </w:t>
      </w:r>
      <w:r w:rsidRPr="00315F60">
        <w:t xml:space="preserve">Options for the reporting of </w:t>
      </w:r>
      <w:r w:rsidR="00A75F38" w:rsidRPr="00315F60">
        <w:t>resident on resident</w:t>
      </w:r>
      <w:r w:rsidRPr="00315F60">
        <w:t xml:space="preserve"> incidents are described and assessed, considering the benefits and limitations of each. Other considerations for the Department, in relation to the reporting of </w:t>
      </w:r>
      <w:r w:rsidR="00A75F38" w:rsidRPr="00315F60">
        <w:t>resident on resident</w:t>
      </w:r>
      <w:r w:rsidRPr="00315F60">
        <w:t xml:space="preserve"> incidents in the future</w:t>
      </w:r>
      <w:r w:rsidR="002F256B" w:rsidRPr="00315F60">
        <w:t>,</w:t>
      </w:r>
      <w:r w:rsidRPr="00315F60">
        <w:t xml:space="preserve"> are also discussed.</w:t>
      </w:r>
    </w:p>
    <w:p w:rsidR="00252CA3" w:rsidRPr="00315F60" w:rsidRDefault="00252CA3" w:rsidP="002E7D8E">
      <w:pPr>
        <w:pStyle w:val="Heading2"/>
        <w:rPr>
          <w:color w:val="auto"/>
        </w:rPr>
      </w:pPr>
      <w:bookmarkStart w:id="438" w:name="_Toc23254344"/>
      <w:bookmarkStart w:id="439" w:name="_Toc23404186"/>
      <w:bookmarkStart w:id="440" w:name="_Toc26979140"/>
      <w:r w:rsidRPr="00315F60">
        <w:rPr>
          <w:color w:val="auto"/>
        </w:rPr>
        <w:t>Options for reporting thresholds</w:t>
      </w:r>
      <w:bookmarkEnd w:id="438"/>
      <w:bookmarkEnd w:id="439"/>
      <w:bookmarkEnd w:id="440"/>
    </w:p>
    <w:p w:rsidR="00252CA3" w:rsidRPr="00315F60" w:rsidRDefault="00252CA3" w:rsidP="00252CA3">
      <w:pPr>
        <w:pStyle w:val="BodyText"/>
      </w:pPr>
      <w:r w:rsidRPr="00315F60">
        <w:t xml:space="preserve">Through providing insight in relation to the number and nature of </w:t>
      </w:r>
      <w:r w:rsidR="00A75F38" w:rsidRPr="00315F60">
        <w:t>resident on resident</w:t>
      </w:r>
      <w:r w:rsidRPr="00315F60">
        <w:t xml:space="preserve"> incidents which are not currently reported to the Department, the study provides new information to help government determine which of these other </w:t>
      </w:r>
      <w:r w:rsidR="00A75F38" w:rsidRPr="00315F60">
        <w:t>resident on resident</w:t>
      </w:r>
      <w:r w:rsidRPr="00315F60">
        <w:t xml:space="preserve"> incidents, if any, should be reported in a future SIRS</w:t>
      </w:r>
      <w:r w:rsidR="001952BF" w:rsidRPr="00315F60">
        <w:t xml:space="preserve">. </w:t>
      </w:r>
    </w:p>
    <w:p w:rsidR="00252CA3" w:rsidRPr="00315F60" w:rsidRDefault="00252CA3" w:rsidP="00252CA3">
      <w:pPr>
        <w:pStyle w:val="BodyText"/>
        <w:rPr>
          <w:szCs w:val="20"/>
        </w:rPr>
      </w:pPr>
      <w:r w:rsidRPr="00315F60">
        <w:t xml:space="preserve">This section discusses a number of options for the scope of </w:t>
      </w:r>
      <w:r w:rsidR="00A75F38" w:rsidRPr="00315F60">
        <w:t>resident on resident</w:t>
      </w:r>
      <w:r w:rsidRPr="00315F60">
        <w:t xml:space="preserve"> incidents to be reported under a SIRS. Before doing so, it first sets out some key considerations to guide the assessment of these options</w:t>
      </w:r>
      <w:r w:rsidRPr="00315F60">
        <w:rPr>
          <w:szCs w:val="20"/>
        </w:rPr>
        <w:t>.</w:t>
      </w:r>
      <w:r w:rsidRPr="00315F60">
        <w:rPr>
          <w:rStyle w:val="FootnoteReference"/>
          <w:sz w:val="20"/>
          <w:szCs w:val="20"/>
        </w:rPr>
        <w:footnoteReference w:id="27"/>
      </w:r>
      <w:r w:rsidRPr="00315F60">
        <w:rPr>
          <w:szCs w:val="20"/>
          <w:vertAlign w:val="superscript"/>
        </w:rPr>
        <w:t xml:space="preserve"> </w:t>
      </w:r>
    </w:p>
    <w:p w:rsidR="00252CA3" w:rsidRPr="00315F60" w:rsidRDefault="00252CA3" w:rsidP="00252CA3">
      <w:pPr>
        <w:pStyle w:val="Heading3"/>
        <w:rPr>
          <w:color w:val="auto"/>
        </w:rPr>
      </w:pPr>
      <w:bookmarkStart w:id="441" w:name="_Toc23254345"/>
      <w:bookmarkStart w:id="442" w:name="_Ref23367443"/>
      <w:r w:rsidRPr="00315F60">
        <w:rPr>
          <w:color w:val="auto"/>
        </w:rPr>
        <w:t>Principles for options assessment</w:t>
      </w:r>
      <w:bookmarkEnd w:id="441"/>
      <w:bookmarkEnd w:id="442"/>
    </w:p>
    <w:p w:rsidR="00252CA3" w:rsidRPr="00315F60" w:rsidRDefault="00252CA3" w:rsidP="00252CA3">
      <w:r w:rsidRPr="00315F60">
        <w:t>Four principles were identified to guide the assessment of the benefits and limitations of each option</w:t>
      </w:r>
      <w:r w:rsidR="001952BF" w:rsidRPr="00315F60">
        <w:t xml:space="preserve">. </w:t>
      </w:r>
      <w:r w:rsidRPr="00315F60">
        <w:t>These principles are discussed below.</w:t>
      </w:r>
    </w:p>
    <w:p w:rsidR="00252CA3" w:rsidRPr="00315F60" w:rsidRDefault="00252CA3" w:rsidP="002F54AD">
      <w:pPr>
        <w:pStyle w:val="Heading4"/>
        <w:rPr>
          <w:color w:val="auto"/>
        </w:rPr>
      </w:pPr>
      <w:bookmarkStart w:id="443" w:name="_Ref25422873"/>
      <w:r w:rsidRPr="00315F60">
        <w:rPr>
          <w:color w:val="auto"/>
        </w:rPr>
        <w:t>Ease of application by aged care services</w:t>
      </w:r>
      <w:bookmarkEnd w:id="443"/>
    </w:p>
    <w:p w:rsidR="00252CA3" w:rsidRPr="00315F60" w:rsidRDefault="00252CA3" w:rsidP="00252CA3">
      <w:pPr>
        <w:pStyle w:val="BodyText"/>
      </w:pPr>
      <w:r w:rsidRPr="00315F60">
        <w:t>One of the challenges of any reporting scheme is collecting high quality data</w:t>
      </w:r>
      <w:r w:rsidR="001952BF" w:rsidRPr="00315F60">
        <w:t xml:space="preserve">. </w:t>
      </w:r>
      <w:r w:rsidRPr="00315F60">
        <w:t>High quality data underpins better analysis, and in turn enables more informed decision making. In the context of a SIRS, some of the key contributors for high quality data include ensuring that the data submitted by services is accurate, complete and timely</w:t>
      </w:r>
      <w:r w:rsidR="001952BF" w:rsidRPr="00315F60">
        <w:t xml:space="preserve">. </w:t>
      </w:r>
      <w:r w:rsidRPr="00315F60">
        <w:t>For services to do so, the threshold for reporting must be easily applied</w:t>
      </w:r>
      <w:r w:rsidR="002F256B" w:rsidRPr="00315F60">
        <w:t>,</w:t>
      </w:r>
      <w:r w:rsidRPr="00315F60">
        <w:t xml:space="preserve"> i.e. determining which incidents must be reported, and what information about the incident must be submitted </w:t>
      </w:r>
      <w:r w:rsidR="006C47FA" w:rsidRPr="00315F60">
        <w:t xml:space="preserve">needs to </w:t>
      </w:r>
      <w:r w:rsidRPr="00315F60">
        <w:t>be clear and straightforward</w:t>
      </w:r>
      <w:r w:rsidR="001952BF" w:rsidRPr="00315F60">
        <w:t xml:space="preserve">. </w:t>
      </w:r>
      <w:r w:rsidRPr="00315F60">
        <w:t>Where there is complexity, or a lack of clarity, there is an increased risk of inaccurate reporting</w:t>
      </w:r>
      <w:r w:rsidR="001952BF" w:rsidRPr="00315F60">
        <w:t xml:space="preserve">. </w:t>
      </w:r>
      <w:r w:rsidRPr="00315F60">
        <w:t xml:space="preserve">For example, if there are multiple criteria which must be considered by services to identify incidents that meet the threshold, this increases the chance that the incorrect incidents are reported. </w:t>
      </w:r>
    </w:p>
    <w:p w:rsidR="00252CA3" w:rsidRPr="00315F60" w:rsidRDefault="00252CA3" w:rsidP="00252CA3">
      <w:pPr>
        <w:pStyle w:val="BodyText"/>
      </w:pPr>
      <w:r w:rsidRPr="00315F60">
        <w:t xml:space="preserve">Implementation may also be more challenging if services have not </w:t>
      </w:r>
      <w:r w:rsidR="002F256B" w:rsidRPr="00315F60">
        <w:t xml:space="preserve">previously </w:t>
      </w:r>
      <w:r w:rsidRPr="00315F60">
        <w:t>captured information about a particular type of incident</w:t>
      </w:r>
      <w:r w:rsidR="001952BF" w:rsidRPr="00315F60">
        <w:t xml:space="preserve">. </w:t>
      </w:r>
      <w:r w:rsidRPr="00315F60">
        <w:t xml:space="preserve">For example, it is currently unknown how services document and collate information about Type 2 incidents. It was not in scope for the study to gather information about challenges in collecting incident data, however several enquiries were received from study participants about Type 2 incidents indicating that while this information was captured, it was not </w:t>
      </w:r>
      <w:r w:rsidR="00EF6B6C" w:rsidRPr="00315F60">
        <w:t>collated or stored centrally</w:t>
      </w:r>
      <w:r w:rsidR="001952BF" w:rsidRPr="00315F60">
        <w:t xml:space="preserve">. </w:t>
      </w:r>
    </w:p>
    <w:p w:rsidR="00252CA3" w:rsidRPr="00315F60" w:rsidRDefault="00EE70DD" w:rsidP="002F54AD">
      <w:pPr>
        <w:pStyle w:val="Heading4"/>
        <w:rPr>
          <w:color w:val="auto"/>
        </w:rPr>
      </w:pPr>
      <w:r w:rsidRPr="00315F60">
        <w:rPr>
          <w:color w:val="auto"/>
        </w:rPr>
        <w:lastRenderedPageBreak/>
        <w:t>Level of reporting by</w:t>
      </w:r>
      <w:r w:rsidR="00FD4529" w:rsidRPr="00315F60">
        <w:rPr>
          <w:color w:val="auto"/>
        </w:rPr>
        <w:t xml:space="preserve"> services</w:t>
      </w:r>
    </w:p>
    <w:p w:rsidR="00252CA3" w:rsidRPr="00315F60" w:rsidRDefault="00D0404C" w:rsidP="00252CA3">
      <w:pPr>
        <w:pStyle w:val="BodyText"/>
      </w:pPr>
      <w:r w:rsidRPr="00315F60">
        <w:t>Based on the findings of this study, a</w:t>
      </w:r>
      <w:r w:rsidR="00252CA3" w:rsidRPr="00315F60">
        <w:t xml:space="preserve">ny substantial change to the threshold of incidents </w:t>
      </w:r>
      <w:r w:rsidR="00652E6B" w:rsidRPr="00315F60">
        <w:t xml:space="preserve">that </w:t>
      </w:r>
      <w:r w:rsidR="00252CA3" w:rsidRPr="00315F60">
        <w:t xml:space="preserve">must be reported </w:t>
      </w:r>
      <w:r w:rsidRPr="00315F60">
        <w:t>will</w:t>
      </w:r>
      <w:r w:rsidR="00652E6B" w:rsidRPr="00315F60">
        <w:t xml:space="preserve"> </w:t>
      </w:r>
      <w:r w:rsidR="00252CA3" w:rsidRPr="00315F60">
        <w:t>increase the</w:t>
      </w:r>
      <w:r w:rsidRPr="00315F60">
        <w:t xml:space="preserve"> overall</w:t>
      </w:r>
      <w:r w:rsidR="00252CA3" w:rsidRPr="00315F60">
        <w:t xml:space="preserve"> </w:t>
      </w:r>
      <w:r w:rsidR="00652E6B" w:rsidRPr="00315F60">
        <w:t xml:space="preserve">volume </w:t>
      </w:r>
      <w:r w:rsidR="00EE70DD" w:rsidRPr="00315F60">
        <w:t xml:space="preserve">of </w:t>
      </w:r>
      <w:r w:rsidRPr="00315F60">
        <w:t>incidents</w:t>
      </w:r>
      <w:r w:rsidR="00EE70DD" w:rsidRPr="00315F60">
        <w:t xml:space="preserve"> required </w:t>
      </w:r>
      <w:r w:rsidRPr="00315F60">
        <w:t xml:space="preserve">to be reported </w:t>
      </w:r>
      <w:r w:rsidR="00EE70DD" w:rsidRPr="00315F60">
        <w:t>by</w:t>
      </w:r>
      <w:r w:rsidR="00652E6B" w:rsidRPr="00315F60">
        <w:t xml:space="preserve"> </w:t>
      </w:r>
      <w:r w:rsidR="00252CA3" w:rsidRPr="00315F60">
        <w:t>services</w:t>
      </w:r>
      <w:r w:rsidR="001952BF" w:rsidRPr="00315F60">
        <w:t xml:space="preserve">. </w:t>
      </w:r>
      <w:r w:rsidR="00652E6B" w:rsidRPr="00315F60">
        <w:t xml:space="preserve">This additional reporting will need to be resourced by services. There may also be </w:t>
      </w:r>
      <w:r w:rsidR="00252CA3" w:rsidRPr="00315F60">
        <w:t>costs</w:t>
      </w:r>
      <w:r w:rsidR="00652E6B" w:rsidRPr="00315F60">
        <w:t xml:space="preserve"> associated with</w:t>
      </w:r>
      <w:r w:rsidR="00252CA3" w:rsidRPr="00315F60">
        <w:t xml:space="preserve"> build</w:t>
      </w:r>
      <w:r w:rsidR="00652E6B" w:rsidRPr="00315F60">
        <w:t>ing</w:t>
      </w:r>
      <w:r w:rsidR="00252CA3" w:rsidRPr="00315F60">
        <w:t xml:space="preserve"> the capacity of aged care services to understand the new arrangements. While there are potential benefits of reporting incidents, consideration needs to be given to the benefit of reporting against the </w:t>
      </w:r>
      <w:r w:rsidR="00652E6B" w:rsidRPr="00315F60">
        <w:t>resourcing required to report</w:t>
      </w:r>
      <w:r w:rsidR="00252CA3" w:rsidRPr="00315F60">
        <w:t xml:space="preserve">; for example, </w:t>
      </w:r>
      <w:r w:rsidR="00FD4529" w:rsidRPr="00315F60">
        <w:t>time spent</w:t>
      </w:r>
      <w:r w:rsidR="001952BF" w:rsidRPr="00315F60">
        <w:t xml:space="preserve"> </w:t>
      </w:r>
      <w:r w:rsidR="00252CA3" w:rsidRPr="00315F60">
        <w:t xml:space="preserve">reporting may displace a different service or provider level activity which may </w:t>
      </w:r>
      <w:r w:rsidR="00FD4529" w:rsidRPr="00315F60">
        <w:t>contribute more to the</w:t>
      </w:r>
      <w:r w:rsidR="00252CA3" w:rsidRPr="00315F60">
        <w:t xml:space="preserve"> safety and quality </w:t>
      </w:r>
      <w:r w:rsidR="00FD4529" w:rsidRPr="00315F60">
        <w:t xml:space="preserve">of care </w:t>
      </w:r>
      <w:r w:rsidR="00252CA3" w:rsidRPr="00315F60">
        <w:t>than any benefit associated with reporting more incidents.</w:t>
      </w:r>
    </w:p>
    <w:p w:rsidR="00252CA3" w:rsidRPr="00315F60" w:rsidRDefault="00652E6B" w:rsidP="00252CA3">
      <w:pPr>
        <w:pStyle w:val="BodyText"/>
      </w:pPr>
      <w:r w:rsidRPr="00315F60">
        <w:t>In addition</w:t>
      </w:r>
      <w:r w:rsidR="00252CA3" w:rsidRPr="00315F60">
        <w:t xml:space="preserve">, findings from this study indicate that </w:t>
      </w:r>
      <w:r w:rsidRPr="00315F60">
        <w:t>the impact of a change to the threshold of incidents that must be reported</w:t>
      </w:r>
      <w:r w:rsidR="00FD4529" w:rsidRPr="00315F60">
        <w:t xml:space="preserve"> </w:t>
      </w:r>
      <w:r w:rsidR="00252CA3" w:rsidRPr="00315F60">
        <w:t>may not be distributed equally</w:t>
      </w:r>
      <w:r w:rsidR="001952BF" w:rsidRPr="00315F60">
        <w:t xml:space="preserve">. </w:t>
      </w:r>
      <w:r w:rsidR="00252CA3" w:rsidRPr="00315F60">
        <w:t>For example:</w:t>
      </w:r>
    </w:p>
    <w:p w:rsidR="00252CA3" w:rsidRPr="00315F60" w:rsidRDefault="00252CA3" w:rsidP="007F13A4">
      <w:pPr>
        <w:pStyle w:val="Bullet1stlevel"/>
      </w:pPr>
      <w:r w:rsidRPr="00315F60">
        <w:t xml:space="preserve">There was a wide variance in the volume of Type 1 and Type 2 incidents reported by services (see Section </w:t>
      </w:r>
      <w:r w:rsidR="00412B33" w:rsidRPr="00315F60">
        <w:fldChar w:fldCharType="begin"/>
      </w:r>
      <w:r w:rsidR="00412B33" w:rsidRPr="00315F60">
        <w:instrText xml:space="preserve"> REF _Ref25416810 \w \h </w:instrText>
      </w:r>
      <w:r w:rsidR="007F13A4" w:rsidRPr="00315F60">
        <w:instrText xml:space="preserve"> \* MERGEFORMAT </w:instrText>
      </w:r>
      <w:r w:rsidR="00412B33" w:rsidRPr="00315F60">
        <w:fldChar w:fldCharType="separate"/>
      </w:r>
      <w:r w:rsidR="004355CA" w:rsidRPr="00315F60">
        <w:t>3</w:t>
      </w:r>
      <w:r w:rsidR="00412B33" w:rsidRPr="00315F60">
        <w:fldChar w:fldCharType="end"/>
      </w:r>
      <w:r w:rsidRPr="00315F60">
        <w:t>)</w:t>
      </w:r>
      <w:r w:rsidR="001952BF" w:rsidRPr="00315F60">
        <w:t xml:space="preserve">. </w:t>
      </w:r>
      <w:r w:rsidRPr="00315F60">
        <w:t xml:space="preserve">Services with higher volumes of incidents would need to spend more time reporting than those with lower incident volumes. Higher numbers of incidents may not mean lower service quality. While further research is required to better understand the nature and factors influencing the number of </w:t>
      </w:r>
      <w:r w:rsidR="00A75F38" w:rsidRPr="00315F60">
        <w:t>resident on resident</w:t>
      </w:r>
      <w:r w:rsidRPr="00315F60">
        <w:t xml:space="preserve"> incidents, it is possible that factors such as resident mix (e.g. high proportion of residents with severe dementia) may increase the likelihood of incidents. </w:t>
      </w:r>
    </w:p>
    <w:p w:rsidR="00252CA3" w:rsidRPr="00315F60" w:rsidRDefault="00252CA3" w:rsidP="007F13A4">
      <w:pPr>
        <w:pStyle w:val="Bullet1stlevel"/>
      </w:pPr>
      <w:r w:rsidRPr="00315F60">
        <w:t xml:space="preserve">The study did not collect information about how services recorded and collated information about Type 1 or </w:t>
      </w:r>
      <w:r w:rsidR="00412B33" w:rsidRPr="00315F60">
        <w:t xml:space="preserve">Type </w:t>
      </w:r>
      <w:r w:rsidRPr="00315F60">
        <w:t xml:space="preserve">2 incidents. </w:t>
      </w:r>
      <w:r w:rsidR="00847504" w:rsidRPr="00315F60">
        <w:t>Therefore</w:t>
      </w:r>
      <w:r w:rsidRPr="00315F60">
        <w:t>, it is unclear how difficult and / or time consuming this process was, and whether or not it occurred at an approved provider or service level</w:t>
      </w:r>
      <w:r w:rsidR="001952BF" w:rsidRPr="00315F60">
        <w:t xml:space="preserve">. </w:t>
      </w:r>
      <w:r w:rsidRPr="00315F60">
        <w:t>It is possible that local data and information collection practices vary between services and / or approved providers</w:t>
      </w:r>
      <w:r w:rsidR="00412B33" w:rsidRPr="00315F60">
        <w:t>,</w:t>
      </w:r>
      <w:r w:rsidRPr="00315F60">
        <w:t xml:space="preserve"> and the impact of additional reporting requirements may also vary</w:t>
      </w:r>
      <w:r w:rsidR="001952BF" w:rsidRPr="00315F60">
        <w:t xml:space="preserve">. </w:t>
      </w:r>
      <w:r w:rsidRPr="00315F60">
        <w:t>This may particularly be the case for Type 2 incidents.</w:t>
      </w:r>
    </w:p>
    <w:p w:rsidR="00252CA3" w:rsidRPr="00315F60" w:rsidRDefault="0025458B" w:rsidP="002F54AD">
      <w:pPr>
        <w:pStyle w:val="Heading4"/>
        <w:rPr>
          <w:color w:val="auto"/>
        </w:rPr>
      </w:pPr>
      <w:r w:rsidRPr="00315F60">
        <w:rPr>
          <w:color w:val="auto"/>
        </w:rPr>
        <w:t>Regulatory response by the Commission</w:t>
      </w:r>
    </w:p>
    <w:p w:rsidR="00252CA3" w:rsidRPr="00315F60" w:rsidRDefault="00252CA3" w:rsidP="00252CA3">
      <w:pPr>
        <w:pStyle w:val="BodyText"/>
      </w:pPr>
      <w:r w:rsidRPr="00315F60">
        <w:t>If reports are made, the Commission will be obliged to consider and respond to these, both individually and in an aggregated form</w:t>
      </w:r>
      <w:r w:rsidR="001952BF" w:rsidRPr="00315F60">
        <w:t xml:space="preserve">. </w:t>
      </w:r>
      <w:r w:rsidR="00695C2D" w:rsidRPr="00315F60">
        <w:t xml:space="preserve">Any substantial change to the current threshold of incidents captured will increase the volume of incidents which need to be analysed and for which a response may be required.  </w:t>
      </w:r>
    </w:p>
    <w:p w:rsidR="00695C2D" w:rsidRPr="00315F60" w:rsidRDefault="00695C2D" w:rsidP="00695C2D">
      <w:pPr>
        <w:pStyle w:val="BodyText"/>
      </w:pPr>
      <w:r w:rsidRPr="00315F60">
        <w:t xml:space="preserve">The greater the volume of reports, the greater the level of analysis and response that will be required by the Commission. This will need to be accompanied by a corresponding level of resourcing and investment to support the oversight function. </w:t>
      </w:r>
    </w:p>
    <w:p w:rsidR="00252CA3" w:rsidRPr="00315F60" w:rsidRDefault="00252CA3" w:rsidP="00252CA3">
      <w:pPr>
        <w:pStyle w:val="BodyText"/>
      </w:pPr>
      <w:r w:rsidRPr="00315F60">
        <w:t>The analysis of incidents may trigger a range of responses by the Commission. For example</w:t>
      </w:r>
      <w:r w:rsidR="00412B33" w:rsidRPr="00315F60">
        <w:t>,</w:t>
      </w:r>
      <w:r w:rsidRPr="00315F60">
        <w:t xml:space="preserve"> should there be a spike or trend in a particular type of incident, this may warrant the release of guidance material or education to services</w:t>
      </w:r>
      <w:r w:rsidR="00412B33" w:rsidRPr="00315F60">
        <w:t>,</w:t>
      </w:r>
      <w:r w:rsidRPr="00315F60">
        <w:t xml:space="preserve"> i.e. a collective response to incidents. Other responses may involve commencement of service</w:t>
      </w:r>
      <w:r w:rsidR="00412B33" w:rsidRPr="00315F60">
        <w:t>-</w:t>
      </w:r>
      <w:r w:rsidRPr="00315F60">
        <w:t>specific actions such as a tailored response to a specific incident</w:t>
      </w:r>
      <w:r w:rsidR="001952BF" w:rsidRPr="00315F60">
        <w:t xml:space="preserve">. </w:t>
      </w:r>
    </w:p>
    <w:p w:rsidR="00252CA3" w:rsidRPr="00315F60" w:rsidRDefault="00252CA3" w:rsidP="00252CA3">
      <w:pPr>
        <w:pStyle w:val="BodyText"/>
      </w:pPr>
      <w:r w:rsidRPr="00315F60">
        <w:t xml:space="preserve">The </w:t>
      </w:r>
      <w:r w:rsidR="0025458B" w:rsidRPr="00315F60">
        <w:t xml:space="preserve">level of </w:t>
      </w:r>
      <w:r w:rsidRPr="00315F60">
        <w:t xml:space="preserve">analysis and response </w:t>
      </w:r>
      <w:r w:rsidR="0025458B" w:rsidRPr="00315F60">
        <w:t xml:space="preserve">required by the Commission </w:t>
      </w:r>
      <w:r w:rsidRPr="00315F60">
        <w:t xml:space="preserve">should be considered in </w:t>
      </w:r>
      <w:r w:rsidR="00412B33" w:rsidRPr="00315F60">
        <w:t xml:space="preserve">the </w:t>
      </w:r>
      <w:r w:rsidRPr="00315F60">
        <w:t>context of the SIRS more broadly</w:t>
      </w:r>
      <w:r w:rsidR="001952BF" w:rsidRPr="00315F60">
        <w:t xml:space="preserve">. </w:t>
      </w:r>
      <w:r w:rsidRPr="00315F60">
        <w:t xml:space="preserve">In considering options and the impact of these on the Commission, it will be important to ensure that </w:t>
      </w:r>
      <w:r w:rsidR="00A75F38" w:rsidRPr="00315F60">
        <w:t>resident on resident</w:t>
      </w:r>
      <w:r w:rsidRPr="00315F60">
        <w:t xml:space="preserve"> incidents are viewed in the context of all potential future incident reporting; </w:t>
      </w:r>
      <w:r w:rsidR="00A75F38" w:rsidRPr="00315F60">
        <w:t>resident on resident</w:t>
      </w:r>
      <w:r w:rsidRPr="00315F60">
        <w:t>s incidents are only one subset of incidents in residential aged care.</w:t>
      </w:r>
    </w:p>
    <w:p w:rsidR="00252CA3" w:rsidRPr="00315F60" w:rsidRDefault="00252CA3" w:rsidP="002F54AD">
      <w:pPr>
        <w:pStyle w:val="Heading4"/>
        <w:rPr>
          <w:color w:val="auto"/>
        </w:rPr>
      </w:pPr>
      <w:r w:rsidRPr="00315F60">
        <w:rPr>
          <w:color w:val="auto"/>
        </w:rPr>
        <w:t>Capturing additional information about incidents which result in harm</w:t>
      </w:r>
    </w:p>
    <w:p w:rsidR="00252CA3" w:rsidRPr="00315F60" w:rsidRDefault="006D2780" w:rsidP="00252CA3">
      <w:pPr>
        <w:pStyle w:val="BodyText"/>
      </w:pPr>
      <w:r w:rsidRPr="00315F60">
        <w:t xml:space="preserve">As outlined in Section </w:t>
      </w:r>
      <w:r w:rsidR="00412B33" w:rsidRPr="00315F60">
        <w:fldChar w:fldCharType="begin"/>
      </w:r>
      <w:r w:rsidR="00412B33" w:rsidRPr="00315F60">
        <w:instrText xml:space="preserve"> REF _Ref25416797 \w \h </w:instrText>
      </w:r>
      <w:r w:rsidR="00412B33" w:rsidRPr="00315F60">
        <w:fldChar w:fldCharType="separate"/>
      </w:r>
      <w:r w:rsidR="004355CA" w:rsidRPr="00315F60">
        <w:t>1</w:t>
      </w:r>
      <w:r w:rsidR="00412B33" w:rsidRPr="00315F60">
        <w:fldChar w:fldCharType="end"/>
      </w:r>
      <w:r w:rsidR="00252CA3" w:rsidRPr="00315F60">
        <w:t xml:space="preserve">, the ALRC report raised concerns about the current reportable assault reporting requirements, including </w:t>
      </w:r>
      <w:r w:rsidR="00A75F38" w:rsidRPr="00315F60">
        <w:t>resident on resident</w:t>
      </w:r>
      <w:r w:rsidR="00252CA3" w:rsidRPr="00315F60">
        <w:t xml:space="preserve"> incidents.</w:t>
      </w:r>
      <w:r w:rsidR="00252CA3" w:rsidRPr="00315F60">
        <w:rPr>
          <w:rStyle w:val="FootnoteReference"/>
          <w:sz w:val="20"/>
        </w:rPr>
        <w:footnoteReference w:id="28"/>
      </w:r>
      <w:r w:rsidR="00252CA3" w:rsidRPr="00315F60">
        <w:t xml:space="preserve"> The definition of reportable assaults was considered too narrow, and in the context of </w:t>
      </w:r>
      <w:r w:rsidR="00A75F38" w:rsidRPr="00315F60">
        <w:t>resident on resident</w:t>
      </w:r>
      <w:r w:rsidR="00252CA3" w:rsidRPr="00315F60">
        <w:t xml:space="preserve"> incidents, the exemption criteria further narrows the range of incidents which must be reported</w:t>
      </w:r>
      <w:r w:rsidR="001952BF" w:rsidRPr="00315F60">
        <w:t xml:space="preserve">. </w:t>
      </w:r>
      <w:r w:rsidR="00252CA3" w:rsidRPr="00315F60">
        <w:t xml:space="preserve">With this narrow reporting requirement, </w:t>
      </w:r>
      <w:r w:rsidR="00252CA3" w:rsidRPr="00315F60">
        <w:lastRenderedPageBreak/>
        <w:t>the report raised concerns that incidents of a serious nature are not being captured by the current system.</w:t>
      </w:r>
    </w:p>
    <w:p w:rsidR="00252CA3" w:rsidRPr="00315F60" w:rsidRDefault="00252CA3" w:rsidP="00252CA3">
      <w:pPr>
        <w:pStyle w:val="BodyText"/>
      </w:pPr>
      <w:r w:rsidRPr="00315F60">
        <w:t xml:space="preserve">One of the ways in which options for a new threshold for reporting </w:t>
      </w:r>
      <w:r w:rsidR="00A75F38" w:rsidRPr="00315F60">
        <w:t>resident on resident</w:t>
      </w:r>
      <w:r w:rsidRPr="00315F60">
        <w:t xml:space="preserve"> incidents can therefore be assessed is the extent to which the new reporting requirements address this gap, i.e.</w:t>
      </w:r>
      <w:r w:rsidR="00412B33" w:rsidRPr="00315F60">
        <w:t> </w:t>
      </w:r>
      <w:r w:rsidRPr="00315F60">
        <w:t xml:space="preserve">whether or not they capture </w:t>
      </w:r>
      <w:r w:rsidRPr="00315F60">
        <w:rPr>
          <w:u w:val="single"/>
        </w:rPr>
        <w:t>additional</w:t>
      </w:r>
      <w:r w:rsidRPr="00315F60">
        <w:t xml:space="preserve"> information about incidents which are of a serious nature.</w:t>
      </w:r>
    </w:p>
    <w:p w:rsidR="00252CA3" w:rsidRPr="00315F60" w:rsidRDefault="00252CA3" w:rsidP="00EF6B6C">
      <w:pPr>
        <w:pStyle w:val="BodyTextkeepwithnext"/>
      </w:pPr>
      <w:r w:rsidRPr="00315F60">
        <w:t>The additional information about serious incidents may provide a range of secondary benefits to expanding the threshold for reporting. Key amongst these are:</w:t>
      </w:r>
    </w:p>
    <w:p w:rsidR="00252CA3" w:rsidRPr="00315F60" w:rsidRDefault="00252CA3" w:rsidP="007F13A4">
      <w:pPr>
        <w:pStyle w:val="Bullet1stlevel"/>
      </w:pPr>
      <w:r w:rsidRPr="00315F60">
        <w:t>For residents, improved quality of care, better experiences, and living and receiving</w:t>
      </w:r>
      <w:r w:rsidR="00C86F77" w:rsidRPr="00315F60">
        <w:t xml:space="preserve"> care and</w:t>
      </w:r>
      <w:r w:rsidRPr="00315F60">
        <w:t xml:space="preserve"> services in an environment free from harm</w:t>
      </w:r>
    </w:p>
    <w:p w:rsidR="00252CA3" w:rsidRPr="00315F60" w:rsidRDefault="00252CA3" w:rsidP="007F13A4">
      <w:pPr>
        <w:pStyle w:val="Bullet1stlevel"/>
      </w:pPr>
      <w:r w:rsidRPr="00315F60">
        <w:t>For the Australian public, greater confidence in aged care services, in that there is oversight of, and effective responses to, incidents which may harm residents in aged care</w:t>
      </w:r>
    </w:p>
    <w:p w:rsidR="00252CA3" w:rsidRPr="00315F60" w:rsidRDefault="00252CA3" w:rsidP="007F13A4">
      <w:pPr>
        <w:pStyle w:val="Bullet1stlevel"/>
      </w:pPr>
      <w:r w:rsidRPr="00315F60">
        <w:t>For the Commission, data to inform specific service or approved provider level interventions where particular risks are identified, or to provide the evidence base (currently not available) to inform tailored regulatory, policy or educational initiatives to support good practice and improve the quality of care in response to more systemic risks</w:t>
      </w:r>
    </w:p>
    <w:p w:rsidR="00252CA3" w:rsidRPr="00315F60" w:rsidRDefault="00252CA3" w:rsidP="007F13A4">
      <w:pPr>
        <w:pStyle w:val="Bullet1stlevel"/>
      </w:pPr>
      <w:r w:rsidRPr="00315F60">
        <w:t>For services and approved providers, through access to evidence</w:t>
      </w:r>
      <w:r w:rsidR="00412B33" w:rsidRPr="00315F60">
        <w:t>-</w:t>
      </w:r>
      <w:r w:rsidRPr="00315F60">
        <w:t xml:space="preserve">based resources and support to manage </w:t>
      </w:r>
      <w:r w:rsidR="00A75F38" w:rsidRPr="00315F60">
        <w:t>resident on resident</w:t>
      </w:r>
      <w:r w:rsidRPr="00315F60">
        <w:t xml:space="preserve"> incidents, support to deliver safety, higher quality care </w:t>
      </w:r>
      <w:r w:rsidR="00C86F77" w:rsidRPr="00315F60">
        <w:t xml:space="preserve">and services </w:t>
      </w:r>
      <w:r w:rsidRPr="00315F60">
        <w:t>to residents.</w:t>
      </w:r>
    </w:p>
    <w:p w:rsidR="00252CA3" w:rsidRPr="00315F60" w:rsidRDefault="00252CA3" w:rsidP="00252CA3">
      <w:pPr>
        <w:pStyle w:val="BodyText"/>
      </w:pPr>
      <w:r w:rsidRPr="00315F60">
        <w:t xml:space="preserve">Capturing additional information about incidents however, must take a balanced approach. One of the risks associated with broadening the threshold for reporting of </w:t>
      </w:r>
      <w:r w:rsidR="00A75F38" w:rsidRPr="00315F60">
        <w:t>resident on resident</w:t>
      </w:r>
      <w:r w:rsidRPr="00315F60">
        <w:t xml:space="preserve"> incidents is the potentially large volume of reports that may result</w:t>
      </w:r>
      <w:r w:rsidR="001952BF" w:rsidRPr="00315F60">
        <w:t xml:space="preserve">. </w:t>
      </w:r>
      <w:r w:rsidRPr="00315F60">
        <w:t>If the threshold for a reportable incident is set too low, it may capture routine matters that reflect complex resident needs and service delivery contexts rather than the most serious incidents</w:t>
      </w:r>
      <w:r w:rsidR="001952BF" w:rsidRPr="00315F60">
        <w:t xml:space="preserve">. </w:t>
      </w:r>
      <w:r w:rsidRPr="00315F60">
        <w:t>A SIRS should therefore reflect a primary emphasis on significant harm or risk of harm and one way of assessing the need to report information about an incident is to determine whether or not the incident resulted in harm to a resident</w:t>
      </w:r>
      <w:r w:rsidR="001952BF" w:rsidRPr="00315F60">
        <w:t>.</w:t>
      </w:r>
      <w:r w:rsidR="007F13A4" w:rsidRPr="00315F60">
        <w:rPr>
          <w:rStyle w:val="FootnoteReference"/>
        </w:rPr>
        <w:t xml:space="preserve"> </w:t>
      </w:r>
      <w:r w:rsidR="007F13A4" w:rsidRPr="00315F60">
        <w:rPr>
          <w:rStyle w:val="FootnoteReference"/>
          <w:sz w:val="20"/>
        </w:rPr>
        <w:footnoteReference w:id="29"/>
      </w:r>
      <w:r w:rsidR="007F13A4" w:rsidRPr="00315F60">
        <w:rPr>
          <w:sz w:val="24"/>
          <w:vertAlign w:val="superscript"/>
        </w:rPr>
        <w:t>,</w:t>
      </w:r>
      <w:r w:rsidR="007F13A4" w:rsidRPr="00315F60">
        <w:rPr>
          <w:rStyle w:val="FootnoteReference"/>
          <w:sz w:val="20"/>
        </w:rPr>
        <w:footnoteReference w:id="30"/>
      </w:r>
      <w:r w:rsidR="001952BF" w:rsidRPr="00315F60">
        <w:rPr>
          <w:sz w:val="24"/>
        </w:rPr>
        <w:t xml:space="preserve"> </w:t>
      </w:r>
    </w:p>
    <w:p w:rsidR="00252CA3" w:rsidRPr="00315F60" w:rsidRDefault="00252CA3" w:rsidP="00252CA3">
      <w:pPr>
        <w:pStyle w:val="BodyText"/>
      </w:pPr>
      <w:r w:rsidRPr="00315F60">
        <w:t>In this study, data was collected in relation to the nature of</w:t>
      </w:r>
      <w:r w:rsidR="00412B33" w:rsidRPr="00315F60">
        <w:t xml:space="preserve"> the</w:t>
      </w:r>
      <w:r w:rsidRPr="00315F60">
        <w:t xml:space="preserve"> ‘impact’ on the resident who was the victim</w:t>
      </w:r>
      <w:r w:rsidR="001952BF" w:rsidRPr="00315F60">
        <w:t xml:space="preserve">. </w:t>
      </w:r>
      <w:r w:rsidRPr="00315F60">
        <w:t>Using this particular data collection, it could be assumed that where there was a greater level of impact</w:t>
      </w:r>
      <w:r w:rsidR="00412B33" w:rsidRPr="00315F60">
        <w:t>,</w:t>
      </w:r>
      <w:r w:rsidRPr="00315F60">
        <w:t xml:space="preserve"> there was also greater harm. As such, options for a threshold for the reporting of additional </w:t>
      </w:r>
      <w:r w:rsidR="00A75F38" w:rsidRPr="00315F60">
        <w:t>resident on resident</w:t>
      </w:r>
      <w:r w:rsidRPr="00315F60">
        <w:t xml:space="preserve"> incidents could be assessed not only by determining whether or not it captures </w:t>
      </w:r>
      <w:r w:rsidRPr="00315F60">
        <w:rPr>
          <w:u w:val="single"/>
        </w:rPr>
        <w:t xml:space="preserve">additional </w:t>
      </w:r>
      <w:r w:rsidRPr="00315F60">
        <w:t xml:space="preserve">information about incidents, but also by determining whether or not the additional incidents are those which are associated with </w:t>
      </w:r>
      <w:r w:rsidRPr="00315F60">
        <w:rPr>
          <w:u w:val="single"/>
        </w:rPr>
        <w:t>higher levels of impact</w:t>
      </w:r>
      <w:r w:rsidRPr="00315F60">
        <w:t xml:space="preserve">. </w:t>
      </w:r>
    </w:p>
    <w:p w:rsidR="00252CA3" w:rsidRPr="00315F60" w:rsidRDefault="00252CA3" w:rsidP="00EF6B6C">
      <w:pPr>
        <w:pStyle w:val="BodyTextkeepwithnext"/>
      </w:pPr>
      <w:r w:rsidRPr="00315F60">
        <w:t>For the purposes of this data collection, higher levels of impact relate to the selection of the following response options:</w:t>
      </w:r>
    </w:p>
    <w:p w:rsidR="00252CA3" w:rsidRPr="00315F60" w:rsidRDefault="00252CA3" w:rsidP="007F13A4">
      <w:pPr>
        <w:pStyle w:val="Bullet1stlevel"/>
      </w:pPr>
      <w:r w:rsidRPr="00315F60">
        <w:t>Fatality of severe permanent physical or psychological impairment (</w:t>
      </w:r>
      <w:r w:rsidR="00412B33" w:rsidRPr="00315F60">
        <w:t>zero</w:t>
      </w:r>
      <w:r w:rsidRPr="00315F60">
        <w:t xml:space="preserve"> Type 1 incidents in the sample)</w:t>
      </w:r>
    </w:p>
    <w:p w:rsidR="00252CA3" w:rsidRPr="00315F60" w:rsidRDefault="00252CA3" w:rsidP="007F13A4">
      <w:pPr>
        <w:pStyle w:val="Bullet1stlevel"/>
      </w:pPr>
      <w:r w:rsidRPr="00315F60">
        <w:t>Permanent physical or psychological impairment (</w:t>
      </w:r>
      <w:r w:rsidR="00412B33" w:rsidRPr="00315F60">
        <w:t>zero</w:t>
      </w:r>
      <w:r w:rsidRPr="00315F60">
        <w:t xml:space="preserve"> Type 1 incidents in the sample).</w:t>
      </w:r>
    </w:p>
    <w:p w:rsidR="00252CA3" w:rsidRPr="00315F60" w:rsidRDefault="00252CA3" w:rsidP="007F13A4">
      <w:pPr>
        <w:pStyle w:val="Bullet1stlevel"/>
      </w:pPr>
      <w:r w:rsidRPr="00315F60">
        <w:t>Physical or psychological injury or illness requiring a hospital admission (but not permanent) (12</w:t>
      </w:r>
      <w:r w:rsidR="00412B33" w:rsidRPr="00315F60">
        <w:t> </w:t>
      </w:r>
      <w:r w:rsidRPr="00315F60">
        <w:t>Type 1 incidents in the sample).</w:t>
      </w:r>
    </w:p>
    <w:p w:rsidR="00252CA3" w:rsidRPr="00315F60" w:rsidRDefault="00252CA3" w:rsidP="007F13A4">
      <w:pPr>
        <w:pStyle w:val="Bullet1stlevel"/>
      </w:pPr>
      <w:r w:rsidRPr="00315F60">
        <w:t>Physical or psychological injury or illness requiring onsite medical or psychological treatment (38</w:t>
      </w:r>
      <w:r w:rsidR="00412B33" w:rsidRPr="00315F60">
        <w:t> </w:t>
      </w:r>
      <w:r w:rsidRPr="00315F60">
        <w:t>Type 1 incidents in the sample).</w:t>
      </w:r>
    </w:p>
    <w:p w:rsidR="00252CA3" w:rsidRPr="00315F60" w:rsidRDefault="00252CA3" w:rsidP="00252CA3">
      <w:pPr>
        <w:pStyle w:val="BodyText"/>
      </w:pPr>
      <w:r w:rsidRPr="00315F60">
        <w:lastRenderedPageBreak/>
        <w:t>While in some cases the nature of the service’s response may be associated with the harm incurred by the incident, using this as a proxy was not considered reliable as it assumes the service’s response is always proportional (and appropriate) to harm.</w:t>
      </w:r>
    </w:p>
    <w:p w:rsidR="00252CA3" w:rsidRPr="00315F60" w:rsidRDefault="00252CA3" w:rsidP="00252CA3">
      <w:pPr>
        <w:pStyle w:val="BodyText"/>
      </w:pPr>
      <w:r w:rsidRPr="00315F60">
        <w:t xml:space="preserve">It should also be noted that there are a range of ways in which harm could be identified and future data collections could be undertaken using a different tool or approach to harm identification. Whatever approach is chosen however, it should be valid and easy to apply (see </w:t>
      </w:r>
      <w:r w:rsidR="00412B33" w:rsidRPr="00315F60">
        <w:fldChar w:fldCharType="begin"/>
      </w:r>
      <w:r w:rsidR="00412B33" w:rsidRPr="00315F60">
        <w:instrText xml:space="preserve"> REF _Ref25422873 \h </w:instrText>
      </w:r>
      <w:r w:rsidR="00412B33" w:rsidRPr="00315F60">
        <w:fldChar w:fldCharType="separate"/>
      </w:r>
      <w:r w:rsidR="004355CA" w:rsidRPr="00315F60">
        <w:t>Ease of application by aged care services</w:t>
      </w:r>
      <w:r w:rsidR="00412B33" w:rsidRPr="00315F60">
        <w:fldChar w:fldCharType="end"/>
      </w:r>
      <w:r w:rsidRPr="00315F60">
        <w:t>, above)</w:t>
      </w:r>
      <w:r w:rsidR="001952BF" w:rsidRPr="00315F60">
        <w:t xml:space="preserve">. </w:t>
      </w:r>
    </w:p>
    <w:p w:rsidR="00252CA3" w:rsidRPr="00315F60" w:rsidRDefault="00252CA3" w:rsidP="00252CA3">
      <w:pPr>
        <w:pStyle w:val="BodyText"/>
      </w:pPr>
      <w:r w:rsidRPr="00315F60">
        <w:t>Impact measures were not collected for Type 2 incidents. It is unknown what levels of harm are associated with Type 2 incidents.</w:t>
      </w:r>
    </w:p>
    <w:p w:rsidR="00896491" w:rsidRPr="00315F60" w:rsidRDefault="00896491" w:rsidP="00252CA3">
      <w:pPr>
        <w:pStyle w:val="BodyText"/>
      </w:pPr>
      <w:r w:rsidRPr="00315F60">
        <w:rPr>
          <w:i/>
          <w:noProof/>
          <w:sz w:val="18"/>
          <w:szCs w:val="18"/>
          <w:lang w:eastAsia="en-AU"/>
        </w:rPr>
        <mc:AlternateContent>
          <mc:Choice Requires="wps">
            <w:drawing>
              <wp:inline distT="0" distB="0" distL="0" distR="0" wp14:anchorId="7D4E947A" wp14:editId="4AA30ED8">
                <wp:extent cx="5748728" cy="1404620"/>
                <wp:effectExtent l="0" t="0" r="23495"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28" cy="1404620"/>
                        </a:xfrm>
                        <a:prstGeom prst="rect">
                          <a:avLst/>
                        </a:prstGeom>
                        <a:noFill/>
                        <a:ln w="9525">
                          <a:solidFill>
                            <a:srgbClr val="000000"/>
                          </a:solidFill>
                          <a:miter lim="800000"/>
                          <a:headEnd/>
                          <a:tailEnd/>
                        </a:ln>
                      </wps:spPr>
                      <wps:txbx>
                        <w:txbxContent>
                          <w:p w:rsidR="00896491" w:rsidRPr="00EF6B6C" w:rsidRDefault="00896491" w:rsidP="00896491">
                            <w:pPr>
                              <w:pStyle w:val="BodyText"/>
                              <w:rPr>
                                <w:b/>
                              </w:rPr>
                            </w:pPr>
                            <w:r w:rsidRPr="00EF6B6C">
                              <w:rPr>
                                <w:b/>
                              </w:rPr>
                              <w:t xml:space="preserve">Summary of key findings </w:t>
                            </w:r>
                          </w:p>
                          <w:p w:rsidR="00896491" w:rsidRPr="007D7A58" w:rsidRDefault="00896491" w:rsidP="00896491">
                            <w:pPr>
                              <w:pStyle w:val="BodyText"/>
                            </w:pPr>
                            <w:r w:rsidRPr="007D7A58">
                              <w:t xml:space="preserve">A </w:t>
                            </w:r>
                            <w:r w:rsidRPr="00EF6B6C">
                              <w:t>number</w:t>
                            </w:r>
                            <w:r w:rsidRPr="007D7A58">
                              <w:t xml:space="preserve"> of principles were identified to guide the assessment of the benefits and limitations of each option</w:t>
                            </w:r>
                            <w:r>
                              <w:t xml:space="preserve">. </w:t>
                            </w:r>
                            <w:r w:rsidRPr="007D7A58">
                              <w:t>These include:</w:t>
                            </w:r>
                          </w:p>
                          <w:p w:rsidR="00896491" w:rsidRPr="009C7B36" w:rsidRDefault="00896491" w:rsidP="00896491">
                            <w:pPr>
                              <w:pStyle w:val="ListBullet2"/>
                              <w:numPr>
                                <w:ilvl w:val="0"/>
                                <w:numId w:val="76"/>
                              </w:numPr>
                            </w:pPr>
                            <w:r w:rsidRPr="009C7B36">
                              <w:rPr>
                                <w:b/>
                              </w:rPr>
                              <w:t>Ease of application</w:t>
                            </w:r>
                            <w:r>
                              <w:t>,</w:t>
                            </w:r>
                            <w:r w:rsidRPr="009C7B36">
                              <w:t xml:space="preserve"> i.e. the extent to which the new threshold is straightforward and easy to apply for services</w:t>
                            </w:r>
                            <w:r>
                              <w:t xml:space="preserve">. </w:t>
                            </w:r>
                            <w:r w:rsidRPr="009C7B36">
                              <w:t>The ease of application is significantly influenced by the number of criteria that need to be considered by services in order to determine whether an incident must be reported.</w:t>
                            </w:r>
                          </w:p>
                          <w:p w:rsidR="00896491" w:rsidRPr="009C7B36" w:rsidRDefault="00896491" w:rsidP="00896491">
                            <w:pPr>
                              <w:pStyle w:val="ListBullet2"/>
                              <w:numPr>
                                <w:ilvl w:val="0"/>
                                <w:numId w:val="76"/>
                              </w:numPr>
                            </w:pPr>
                            <w:r>
                              <w:rPr>
                                <w:b/>
                              </w:rPr>
                              <w:t>Level of reporting by services</w:t>
                            </w:r>
                            <w:r>
                              <w:t>,</w:t>
                            </w:r>
                            <w:r w:rsidRPr="009C7B36">
                              <w:t xml:space="preserve"> i.e. the additional time that will be required to make reports for that option. The </w:t>
                            </w:r>
                            <w:r>
                              <w:t>level of reporting required by</w:t>
                            </w:r>
                            <w:r w:rsidRPr="009C7B36">
                              <w:t xml:space="preserve"> services is proportiona</w:t>
                            </w:r>
                            <w:r>
                              <w:t>te</w:t>
                            </w:r>
                            <w:r w:rsidRPr="009C7B36">
                              <w:t xml:space="preserve"> to the volume of additional incidents that will be reported</w:t>
                            </w:r>
                            <w:r>
                              <w:t xml:space="preserve">. </w:t>
                            </w:r>
                            <w:r w:rsidRPr="009C7B36">
                              <w:t>The greater the volume of incidents, the more resources required to make the reports</w:t>
                            </w:r>
                            <w:r>
                              <w:t xml:space="preserve">. </w:t>
                            </w:r>
                            <w:r w:rsidRPr="009C7B36">
                              <w:t xml:space="preserve">Note that time spent reporting may displace time spent </w:t>
                            </w:r>
                            <w:r>
                              <w:t>on</w:t>
                            </w:r>
                            <w:r w:rsidRPr="009C7B36">
                              <w:t xml:space="preserve"> other activities which could have a greater impact on the quality of care and experiences of residents</w:t>
                            </w:r>
                            <w:r>
                              <w:t xml:space="preserve">. </w:t>
                            </w:r>
                          </w:p>
                          <w:p w:rsidR="00896491" w:rsidRPr="009C7B36" w:rsidRDefault="00896491" w:rsidP="00896491">
                            <w:pPr>
                              <w:pStyle w:val="ListBullet2"/>
                              <w:numPr>
                                <w:ilvl w:val="0"/>
                                <w:numId w:val="76"/>
                              </w:numPr>
                            </w:pPr>
                            <w:r>
                              <w:rPr>
                                <w:b/>
                              </w:rPr>
                              <w:t>Regulatory response by the Commission</w:t>
                            </w:r>
                            <w:r>
                              <w:t>,</w:t>
                            </w:r>
                            <w:r w:rsidRPr="009C7B36">
                              <w:t xml:space="preserve"> i.e. the additional time that will be required to analyse incident data and respond for that option. The </w:t>
                            </w:r>
                            <w:r>
                              <w:t>response taken by the</w:t>
                            </w:r>
                            <w:r w:rsidRPr="009C7B36">
                              <w:t xml:space="preserve"> Commission is proportiona</w:t>
                            </w:r>
                            <w:r>
                              <w:t>te</w:t>
                            </w:r>
                            <w:r w:rsidRPr="009C7B36">
                              <w:t xml:space="preserve"> to the volume of additional incidents that will be reported</w:t>
                            </w:r>
                            <w:r>
                              <w:t xml:space="preserve">. </w:t>
                            </w:r>
                            <w:r w:rsidRPr="009C7B36">
                              <w:t>Greater data volumes will drive the resources required for the Commission to operate</w:t>
                            </w:r>
                            <w:r>
                              <w:t xml:space="preserve"> the SIRS</w:t>
                            </w:r>
                            <w:r w:rsidRPr="009C7B36">
                              <w:t>.</w:t>
                            </w:r>
                          </w:p>
                          <w:p w:rsidR="00896491" w:rsidRDefault="00896491" w:rsidP="00896491">
                            <w:pPr>
                              <w:pStyle w:val="ListBullet2"/>
                              <w:numPr>
                                <w:ilvl w:val="0"/>
                                <w:numId w:val="76"/>
                              </w:numPr>
                            </w:pPr>
                            <w:r w:rsidRPr="009C7B36">
                              <w:rPr>
                                <w:b/>
                              </w:rPr>
                              <w:t>The capture of additional information about incidents which result in harm</w:t>
                            </w:r>
                            <w:r>
                              <w:t>,</w:t>
                            </w:r>
                            <w:r w:rsidRPr="009C7B36">
                              <w:t xml:space="preserve"> i.e. the extent to which the option provides information which was not otherwise available about </w:t>
                            </w:r>
                            <w:r>
                              <w:t>resident on resident</w:t>
                            </w:r>
                            <w:r w:rsidRPr="009C7B36">
                              <w:t xml:space="preserve"> incidents (i.e. addresses the gap identified by the ALRC report). This principle also considers the extent to which this additional information focuses on those incidents which are associated with greater harm to the resident who was the victim.</w:t>
                            </w:r>
                          </w:p>
                        </w:txbxContent>
                      </wps:txbx>
                      <wps:bodyPr rot="0" vert="horz" wrap="square" lIns="91440" tIns="45720" rIns="91440" bIns="45720" anchor="t" anchorCtr="0">
                        <a:spAutoFit/>
                      </wps:bodyPr>
                    </wps:wsp>
                  </a:graphicData>
                </a:graphic>
              </wp:inline>
            </w:drawing>
          </mc:Choice>
          <mc:Fallback>
            <w:pict>
              <v:shape w14:anchorId="7D4E947A" id="Text Box 6" o:spid="_x0000_s1028" type="#_x0000_t202" style="width:45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" filled="f">
                <v:textbox style="mso-fit-shape-to-text:t">
                  <w:txbxContent>
                    <w:p w:rsidR="00896491" w:rsidRPr="00EF6B6C" w:rsidRDefault="00896491" w:rsidP="00896491">
                      <w:pPr>
                        <w:pStyle w:val="BodyText"/>
                        <w:rPr>
                          <w:b/>
                        </w:rPr>
                      </w:pPr>
                      <w:r w:rsidRPr="00EF6B6C">
                        <w:rPr>
                          <w:b/>
                        </w:rPr>
                        <w:t xml:space="preserve">Summary of key findings </w:t>
                      </w:r>
                    </w:p>
                    <w:p w:rsidR="00896491" w:rsidRPr="007D7A58" w:rsidRDefault="00896491" w:rsidP="00896491">
                      <w:pPr>
                        <w:pStyle w:val="BodyText"/>
                      </w:pPr>
                      <w:r w:rsidRPr="007D7A58">
                        <w:t xml:space="preserve">A </w:t>
                      </w:r>
                      <w:r w:rsidRPr="00EF6B6C">
                        <w:t>number</w:t>
                      </w:r>
                      <w:r w:rsidRPr="007D7A58">
                        <w:t xml:space="preserve"> of principles were identified to guide the assessment of the benefits and limitations of each option</w:t>
                      </w:r>
                      <w:r>
                        <w:t xml:space="preserve">. </w:t>
                      </w:r>
                      <w:r w:rsidRPr="007D7A58">
                        <w:t>These include:</w:t>
                      </w:r>
                    </w:p>
                    <w:p w:rsidR="00896491" w:rsidRPr="009C7B36" w:rsidRDefault="00896491" w:rsidP="00896491">
                      <w:pPr>
                        <w:pStyle w:val="ListBullet2"/>
                        <w:numPr>
                          <w:ilvl w:val="0"/>
                          <w:numId w:val="76"/>
                        </w:numPr>
                      </w:pPr>
                      <w:r w:rsidRPr="009C7B36">
                        <w:rPr>
                          <w:b/>
                        </w:rPr>
                        <w:t>Ease of application</w:t>
                      </w:r>
                      <w:r>
                        <w:t>,</w:t>
                      </w:r>
                      <w:r w:rsidRPr="009C7B36">
                        <w:t xml:space="preserve"> i.e. the extent to which the new threshold is straightforward and easy to apply for services</w:t>
                      </w:r>
                      <w:r>
                        <w:t xml:space="preserve">. </w:t>
                      </w:r>
                      <w:r w:rsidRPr="009C7B36">
                        <w:t>The ease of application is significantly influenced by the number of criteria that need to be considered by services in order to determine whether an incident must be reported.</w:t>
                      </w:r>
                    </w:p>
                    <w:p w:rsidR="00896491" w:rsidRPr="009C7B36" w:rsidRDefault="00896491" w:rsidP="00896491">
                      <w:pPr>
                        <w:pStyle w:val="ListBullet2"/>
                        <w:numPr>
                          <w:ilvl w:val="0"/>
                          <w:numId w:val="76"/>
                        </w:numPr>
                      </w:pPr>
                      <w:r>
                        <w:rPr>
                          <w:b/>
                        </w:rPr>
                        <w:t>Level of reporting by services</w:t>
                      </w:r>
                      <w:r>
                        <w:t>,</w:t>
                      </w:r>
                      <w:r w:rsidRPr="009C7B36">
                        <w:t xml:space="preserve"> i.e. the additional time that will be required to make reports for that option. The </w:t>
                      </w:r>
                      <w:r>
                        <w:t>level of reporting required by</w:t>
                      </w:r>
                      <w:r w:rsidRPr="009C7B36">
                        <w:t xml:space="preserve"> services is proportiona</w:t>
                      </w:r>
                      <w:r>
                        <w:t>te</w:t>
                      </w:r>
                      <w:r w:rsidRPr="009C7B36">
                        <w:t xml:space="preserve"> to the volume of additional incidents that will be reported</w:t>
                      </w:r>
                      <w:r>
                        <w:t xml:space="preserve">. </w:t>
                      </w:r>
                      <w:r w:rsidRPr="009C7B36">
                        <w:t>The greater the volume of incidents, the more resources required to make the reports</w:t>
                      </w:r>
                      <w:r>
                        <w:t xml:space="preserve">. </w:t>
                      </w:r>
                      <w:r w:rsidRPr="009C7B36">
                        <w:t xml:space="preserve">Note that time spent reporting may displace time spent </w:t>
                      </w:r>
                      <w:r>
                        <w:t>on</w:t>
                      </w:r>
                      <w:r w:rsidRPr="009C7B36">
                        <w:t xml:space="preserve"> other activities which could have a greater impact on the quality of care and experiences of residents</w:t>
                      </w:r>
                      <w:r>
                        <w:t xml:space="preserve">. </w:t>
                      </w:r>
                    </w:p>
                    <w:p w:rsidR="00896491" w:rsidRPr="009C7B36" w:rsidRDefault="00896491" w:rsidP="00896491">
                      <w:pPr>
                        <w:pStyle w:val="ListBullet2"/>
                        <w:numPr>
                          <w:ilvl w:val="0"/>
                          <w:numId w:val="76"/>
                        </w:numPr>
                      </w:pPr>
                      <w:r>
                        <w:rPr>
                          <w:b/>
                        </w:rPr>
                        <w:t>Regulatory response by the Commission</w:t>
                      </w:r>
                      <w:r>
                        <w:t>,</w:t>
                      </w:r>
                      <w:r w:rsidRPr="009C7B36">
                        <w:t xml:space="preserve"> i.e. the additional time that will be required to analyse incident data and respond for that option. The </w:t>
                      </w:r>
                      <w:r>
                        <w:t>response taken by the</w:t>
                      </w:r>
                      <w:r w:rsidRPr="009C7B36">
                        <w:t xml:space="preserve"> Commission is proportiona</w:t>
                      </w:r>
                      <w:r>
                        <w:t>te</w:t>
                      </w:r>
                      <w:r w:rsidRPr="009C7B36">
                        <w:t xml:space="preserve"> to the volume of additional incidents that will be reported</w:t>
                      </w:r>
                      <w:r>
                        <w:t xml:space="preserve">. </w:t>
                      </w:r>
                      <w:r w:rsidRPr="009C7B36">
                        <w:t>Greater data volumes will drive the resources required for the Commission to operate</w:t>
                      </w:r>
                      <w:r>
                        <w:t xml:space="preserve"> the SIRS</w:t>
                      </w:r>
                      <w:r w:rsidRPr="009C7B36">
                        <w:t>.</w:t>
                      </w:r>
                    </w:p>
                    <w:p w:rsidR="00896491" w:rsidRDefault="00896491" w:rsidP="00896491">
                      <w:pPr>
                        <w:pStyle w:val="ListBullet2"/>
                        <w:numPr>
                          <w:ilvl w:val="0"/>
                          <w:numId w:val="76"/>
                        </w:numPr>
                      </w:pPr>
                      <w:r w:rsidRPr="009C7B36">
                        <w:rPr>
                          <w:b/>
                        </w:rPr>
                        <w:t>The capture of additional information about incidents which result in harm</w:t>
                      </w:r>
                      <w:r>
                        <w:t>,</w:t>
                      </w:r>
                      <w:r w:rsidRPr="009C7B36">
                        <w:t xml:space="preserve"> i.e. the extent to which the option provides information which was not otherwise available about </w:t>
                      </w:r>
                      <w:r>
                        <w:t>resident on resident</w:t>
                      </w:r>
                      <w:r w:rsidRPr="009C7B36">
                        <w:t xml:space="preserve"> incidents (i.e. addresses the gap identified by the ALRC report). This principle also considers the extent to which this additional information focuses on those incidents which are associated with greater harm to the resident who was the victim.</w:t>
                      </w:r>
                    </w:p>
                  </w:txbxContent>
                </v:textbox>
                <w10:anchorlock/>
              </v:shape>
            </w:pict>
          </mc:Fallback>
        </mc:AlternateContent>
      </w:r>
    </w:p>
    <w:p w:rsidR="00252CA3" w:rsidRPr="00315F60" w:rsidRDefault="00252CA3" w:rsidP="00252CA3">
      <w:pPr>
        <w:pStyle w:val="Heading3"/>
        <w:tabs>
          <w:tab w:val="clear" w:pos="964"/>
          <w:tab w:val="num" w:pos="993"/>
        </w:tabs>
        <w:ind w:left="1390" w:hanging="1390"/>
        <w:rPr>
          <w:color w:val="auto"/>
        </w:rPr>
      </w:pPr>
      <w:bookmarkStart w:id="444" w:name="_Toc23254346"/>
      <w:r w:rsidRPr="00315F60">
        <w:rPr>
          <w:color w:val="auto"/>
        </w:rPr>
        <w:t>Options for reporting and option assessment</w:t>
      </w:r>
      <w:bookmarkEnd w:id="444"/>
    </w:p>
    <w:p w:rsidR="00252CA3" w:rsidRPr="00315F60" w:rsidRDefault="00252CA3" w:rsidP="00252CA3">
      <w:pPr>
        <w:pStyle w:val="BodyText"/>
      </w:pPr>
      <w:r w:rsidRPr="00315F60">
        <w:t xml:space="preserve">Based on the study findings, there are a number of future options which can be considered for the reporting of additional </w:t>
      </w:r>
      <w:r w:rsidR="00A75F38" w:rsidRPr="00315F60">
        <w:t>resident on resident</w:t>
      </w:r>
      <w:r w:rsidRPr="00315F60">
        <w:t xml:space="preserve"> incidents in a SIRS</w:t>
      </w:r>
      <w:r w:rsidR="001952BF" w:rsidRPr="00315F60">
        <w:t xml:space="preserve">. </w:t>
      </w:r>
      <w:r w:rsidRPr="00315F60">
        <w:t>This section provides an overview of these options, considering the key benefits and limitations of each</w:t>
      </w:r>
      <w:r w:rsidR="001952BF" w:rsidRPr="00315F60">
        <w:t xml:space="preserve">. </w:t>
      </w:r>
      <w:r w:rsidRPr="00315F60">
        <w:t>It should be noted that these options represent only those which can be informed by the study</w:t>
      </w:r>
      <w:r w:rsidR="00412B33" w:rsidRPr="00315F60">
        <w:t>,</w:t>
      </w:r>
      <w:r w:rsidRPr="00315F60">
        <w:t xml:space="preserve"> i.e. there may be other factors which could be used to inform a threshold for reporting (such as, but not limited to</w:t>
      </w:r>
      <w:r w:rsidR="00412B33" w:rsidRPr="00315F60">
        <w:t>,</w:t>
      </w:r>
      <w:r w:rsidRPr="00315F60">
        <w:t xml:space="preserve"> the risk profile of an individual service) but </w:t>
      </w:r>
      <w:r w:rsidR="00412B33" w:rsidRPr="00315F60">
        <w:t xml:space="preserve">that </w:t>
      </w:r>
      <w:r w:rsidRPr="00315F60">
        <w:t>were not considered in the study</w:t>
      </w:r>
      <w:r w:rsidR="001952BF" w:rsidRPr="00315F60">
        <w:t xml:space="preserve">. </w:t>
      </w:r>
    </w:p>
    <w:p w:rsidR="00252CA3" w:rsidRPr="00315F60" w:rsidRDefault="00252CA3" w:rsidP="00252CA3">
      <w:pPr>
        <w:pStyle w:val="BodyText"/>
      </w:pPr>
      <w:r w:rsidRPr="00315F60">
        <w:t>Drawing on the findings of the study, there are three options which could be considered</w:t>
      </w:r>
      <w:r w:rsidR="001952BF" w:rsidRPr="00315F60">
        <w:t xml:space="preserve">. </w:t>
      </w:r>
      <w:r w:rsidRPr="00315F60">
        <w:t>These include:</w:t>
      </w:r>
    </w:p>
    <w:p w:rsidR="00252CA3" w:rsidRPr="00315F60" w:rsidRDefault="00252CA3" w:rsidP="00252CA3">
      <w:pPr>
        <w:pStyle w:val="BodyText"/>
        <w:numPr>
          <w:ilvl w:val="0"/>
          <w:numId w:val="25"/>
        </w:numPr>
      </w:pPr>
      <w:r w:rsidRPr="00315F60">
        <w:t>Reporting all Type 1 and Type 2 incidents</w:t>
      </w:r>
    </w:p>
    <w:p w:rsidR="00252CA3" w:rsidRPr="00315F60" w:rsidRDefault="00252CA3" w:rsidP="00252CA3">
      <w:pPr>
        <w:pStyle w:val="BodyText"/>
        <w:numPr>
          <w:ilvl w:val="0"/>
          <w:numId w:val="25"/>
        </w:numPr>
      </w:pPr>
      <w:r w:rsidRPr="00315F60">
        <w:t>Reporting a subset of Type 1 and Type 2 incidents (of which there are many different sub-options)</w:t>
      </w:r>
    </w:p>
    <w:p w:rsidR="00252CA3" w:rsidRPr="00315F60" w:rsidRDefault="00252CA3" w:rsidP="00252CA3">
      <w:pPr>
        <w:pStyle w:val="BodyText"/>
        <w:numPr>
          <w:ilvl w:val="0"/>
          <w:numId w:val="25"/>
        </w:numPr>
      </w:pPr>
      <w:r w:rsidRPr="00315F60">
        <w:t xml:space="preserve">Making no changes to the current reporting threshold for </w:t>
      </w:r>
      <w:r w:rsidR="00A75F38" w:rsidRPr="00315F60">
        <w:t>resident on resident</w:t>
      </w:r>
      <w:r w:rsidRPr="00315F60">
        <w:t xml:space="preserve"> incidents.</w:t>
      </w:r>
    </w:p>
    <w:p w:rsidR="00252CA3" w:rsidRPr="00315F60" w:rsidRDefault="00252CA3" w:rsidP="00252CA3">
      <w:pPr>
        <w:pStyle w:val="BodyText"/>
      </w:pPr>
      <w:r w:rsidRPr="00315F60">
        <w:t xml:space="preserve">Discussion about each of these three options (and sub-options for </w:t>
      </w:r>
      <w:r w:rsidR="00412B33" w:rsidRPr="00315F60">
        <w:t>O</w:t>
      </w:r>
      <w:r w:rsidRPr="00315F60">
        <w:t>ption 2) is provided below</w:t>
      </w:r>
      <w:r w:rsidR="001952BF" w:rsidRPr="00315F60">
        <w:t xml:space="preserve">. </w:t>
      </w:r>
      <w:r w:rsidRPr="00315F60">
        <w:t>Each option is described</w:t>
      </w:r>
      <w:r w:rsidR="00412B33" w:rsidRPr="00315F60">
        <w:t>,</w:t>
      </w:r>
      <w:r w:rsidRPr="00315F60">
        <w:t xml:space="preserve"> noting the benefits and limitations of the option. Each option is also assessed in relation to the four principles outlined in Section </w:t>
      </w:r>
      <w:r w:rsidRPr="00315F60">
        <w:fldChar w:fldCharType="begin"/>
      </w:r>
      <w:r w:rsidRPr="00315F60">
        <w:instrText xml:space="preserve"> REF _Ref23367443 \r \h </w:instrText>
      </w:r>
      <w:r w:rsidRPr="00315F60">
        <w:fldChar w:fldCharType="separate"/>
      </w:r>
      <w:r w:rsidR="004355CA" w:rsidRPr="00315F60">
        <w:t>4.1.1</w:t>
      </w:r>
      <w:r w:rsidRPr="00315F60">
        <w:fldChar w:fldCharType="end"/>
      </w:r>
      <w:r w:rsidRPr="00315F60">
        <w:t xml:space="preserve"> above, and </w:t>
      </w:r>
      <w:r w:rsidR="00412B33" w:rsidRPr="00315F60">
        <w:t xml:space="preserve">are </w:t>
      </w:r>
      <w:r w:rsidRPr="00315F60">
        <w:t>given a red, amber or green (RAG) rating</w:t>
      </w:r>
      <w:r w:rsidR="001952BF" w:rsidRPr="00315F60">
        <w:t xml:space="preserve">. </w:t>
      </w:r>
      <w:r w:rsidRPr="00315F60">
        <w:t>For each of these principles</w:t>
      </w:r>
      <w:r w:rsidR="00412B33" w:rsidRPr="00315F60">
        <w:t>,</w:t>
      </w:r>
      <w:r w:rsidRPr="00315F60">
        <w:t xml:space="preserve"> the ratings can be understood as follows:</w:t>
      </w:r>
    </w:p>
    <w:p w:rsidR="00F90FB7" w:rsidRPr="00315F60" w:rsidRDefault="00F90FB7" w:rsidP="007F13A4">
      <w:pPr>
        <w:pStyle w:val="Bullet1stlevel"/>
      </w:pPr>
      <w:r w:rsidRPr="00315F60">
        <w:rPr>
          <w:b/>
        </w:rPr>
        <w:lastRenderedPageBreak/>
        <w:t>Ease of application</w:t>
      </w:r>
      <w:r w:rsidRPr="00315F60">
        <w:t xml:space="preserve">: Green ratings indicate application of the threshold is likely to be easier for services, red ratings indicate it may be more complex. </w:t>
      </w:r>
    </w:p>
    <w:p w:rsidR="00252CA3" w:rsidRPr="00315F60" w:rsidRDefault="00886656" w:rsidP="007F13A4">
      <w:pPr>
        <w:pStyle w:val="Bullet1stlevel"/>
      </w:pPr>
      <w:r w:rsidRPr="00315F60">
        <w:rPr>
          <w:b/>
        </w:rPr>
        <w:t>Level of reporting by</w:t>
      </w:r>
      <w:r w:rsidR="00D146AA" w:rsidRPr="00315F60">
        <w:rPr>
          <w:b/>
        </w:rPr>
        <w:t xml:space="preserve"> services</w:t>
      </w:r>
      <w:r w:rsidR="00252CA3" w:rsidRPr="00315F60">
        <w:t xml:space="preserve">: </w:t>
      </w:r>
      <w:r w:rsidR="00412B33" w:rsidRPr="00315F60">
        <w:t>G</w:t>
      </w:r>
      <w:r w:rsidR="00252CA3" w:rsidRPr="00315F60">
        <w:t>reen ratings indicate</w:t>
      </w:r>
      <w:r w:rsidR="009E7E96" w:rsidRPr="00315F60">
        <w:t xml:space="preserve"> a</w:t>
      </w:r>
      <w:r w:rsidR="00252CA3" w:rsidRPr="00315F60">
        <w:t xml:space="preserve"> lower</w:t>
      </w:r>
      <w:r w:rsidRPr="00315F60">
        <w:t xml:space="preserve"> volume of reporting</w:t>
      </w:r>
      <w:r w:rsidR="00252CA3" w:rsidRPr="00315F60">
        <w:t xml:space="preserve">, red ratings </w:t>
      </w:r>
      <w:r w:rsidR="009E7E96" w:rsidRPr="00315F60">
        <w:t xml:space="preserve">indicate </w:t>
      </w:r>
      <w:r w:rsidR="00252CA3" w:rsidRPr="00315F60">
        <w:t xml:space="preserve">a higher </w:t>
      </w:r>
      <w:r w:rsidRPr="00315F60">
        <w:t>volume of reporting.</w:t>
      </w:r>
    </w:p>
    <w:p w:rsidR="00252CA3" w:rsidRPr="00315F60" w:rsidRDefault="00D146AA" w:rsidP="007F13A4">
      <w:pPr>
        <w:pStyle w:val="Bullet1stlevel"/>
      </w:pPr>
      <w:r w:rsidRPr="00315F60">
        <w:rPr>
          <w:b/>
        </w:rPr>
        <w:t>Regulatory response by the Commission</w:t>
      </w:r>
      <w:r w:rsidR="00252CA3" w:rsidRPr="00315F60">
        <w:t xml:space="preserve">: </w:t>
      </w:r>
      <w:r w:rsidR="00412B33" w:rsidRPr="00315F60">
        <w:t>G</w:t>
      </w:r>
      <w:r w:rsidR="00252CA3" w:rsidRPr="00315F60">
        <w:t xml:space="preserve">reen ratings indicate </w:t>
      </w:r>
      <w:r w:rsidR="009E7E96" w:rsidRPr="00315F60">
        <w:t xml:space="preserve">a </w:t>
      </w:r>
      <w:r w:rsidR="00252CA3" w:rsidRPr="00315F60">
        <w:t xml:space="preserve">lower </w:t>
      </w:r>
      <w:r w:rsidR="00886656" w:rsidRPr="00315F60">
        <w:t>volume of incidents to analyse and respond to</w:t>
      </w:r>
      <w:r w:rsidR="00252CA3" w:rsidRPr="00315F60">
        <w:t xml:space="preserve">, red ratings </w:t>
      </w:r>
      <w:r w:rsidR="009E7E96" w:rsidRPr="00315F60">
        <w:t xml:space="preserve">indicate </w:t>
      </w:r>
      <w:r w:rsidR="00252CA3" w:rsidRPr="00315F60">
        <w:t xml:space="preserve">a </w:t>
      </w:r>
      <w:r w:rsidR="00886656" w:rsidRPr="00315F60">
        <w:t>higher volume of incidents to analyse and respond</w:t>
      </w:r>
      <w:r w:rsidR="00FC5169" w:rsidRPr="00315F60">
        <w:t> </w:t>
      </w:r>
      <w:r w:rsidR="00886656" w:rsidRPr="00315F60">
        <w:t>to</w:t>
      </w:r>
      <w:r w:rsidR="00252CA3" w:rsidRPr="00315F60">
        <w:t xml:space="preserve">. </w:t>
      </w:r>
    </w:p>
    <w:p w:rsidR="00252CA3" w:rsidRPr="00315F60" w:rsidRDefault="00F90FB7" w:rsidP="007F13A4">
      <w:pPr>
        <w:pStyle w:val="Bullet1stlevel"/>
      </w:pPr>
      <w:r w:rsidRPr="00315F60">
        <w:rPr>
          <w:b/>
        </w:rPr>
        <w:t>Captures additional information about incidents which cause harm</w:t>
      </w:r>
      <w:r w:rsidR="00252CA3" w:rsidRPr="00315F60">
        <w:t xml:space="preserve">: </w:t>
      </w:r>
      <w:r w:rsidR="00FC5169" w:rsidRPr="00315F60">
        <w:t>G</w:t>
      </w:r>
      <w:r w:rsidR="00252CA3" w:rsidRPr="00315F60">
        <w:t>reen ratings indicate the option helps focus on incidents which cause harm, red ratings indicate that incidents are captured which may not be associated with much harm</w:t>
      </w:r>
    </w:p>
    <w:p w:rsidR="00252CA3" w:rsidRPr="00315F60" w:rsidRDefault="00252CA3" w:rsidP="00252CA3">
      <w:pPr>
        <w:pStyle w:val="BodyText"/>
      </w:pPr>
      <w:r w:rsidRPr="00315F60">
        <w:fldChar w:fldCharType="begin"/>
      </w:r>
      <w:r w:rsidRPr="00315F60">
        <w:instrText xml:space="preserve"> REF _Ref23367486 \h </w:instrText>
      </w:r>
      <w:r w:rsidRPr="00315F60">
        <w:fldChar w:fldCharType="separate"/>
      </w:r>
      <w:r w:rsidR="004355CA" w:rsidRPr="00315F60">
        <w:t xml:space="preserve">Table </w:t>
      </w:r>
      <w:r w:rsidR="004355CA" w:rsidRPr="00315F60">
        <w:rPr>
          <w:noProof/>
        </w:rPr>
        <w:t>9</w:t>
      </w:r>
      <w:r w:rsidRPr="00315F60">
        <w:fldChar w:fldCharType="end"/>
      </w:r>
      <w:r w:rsidRPr="00315F60">
        <w:t xml:space="preserve"> summates these findings. Estimates of the total numbers of incidents that may be reported annually for each of the option types are included in the table and in the sections which follow. </w:t>
      </w:r>
      <w:r w:rsidR="005F5415" w:rsidRPr="00315F60">
        <w:t>These are based on Method 4 in s</w:t>
      </w:r>
      <w:r w:rsidRPr="00315F60">
        <w:t>ection</w:t>
      </w:r>
      <w:r w:rsidR="005F5415" w:rsidRPr="00315F60">
        <w:t xml:space="preserve"> </w:t>
      </w:r>
      <w:r w:rsidR="005F5415" w:rsidRPr="00315F60">
        <w:fldChar w:fldCharType="begin"/>
      </w:r>
      <w:r w:rsidR="005F5415" w:rsidRPr="00315F60">
        <w:instrText xml:space="preserve"> REF _Ref23367520 \r \h </w:instrText>
      </w:r>
      <w:r w:rsidR="005F5415" w:rsidRPr="00315F60">
        <w:fldChar w:fldCharType="separate"/>
      </w:r>
      <w:r w:rsidR="004355CA" w:rsidRPr="00315F60">
        <w:t>3.3</w:t>
      </w:r>
      <w:r w:rsidR="005F5415" w:rsidRPr="00315F60">
        <w:fldChar w:fldCharType="end"/>
      </w:r>
      <w:r w:rsidRPr="00315F60">
        <w:t>. Note that the confidence intervals associated with the total Type</w:t>
      </w:r>
      <w:r w:rsidR="009E7E96" w:rsidRPr="00315F60">
        <w:t> </w:t>
      </w:r>
      <w:r w:rsidRPr="00315F60">
        <w:t>1 and Type 2 inci</w:t>
      </w:r>
      <w:r w:rsidR="005F5415" w:rsidRPr="00315F60">
        <w:t>dent estimates can be found in s</w:t>
      </w:r>
      <w:r w:rsidRPr="00315F60">
        <w:t xml:space="preserve">ection </w:t>
      </w:r>
      <w:r w:rsidRPr="00315F60">
        <w:fldChar w:fldCharType="begin"/>
      </w:r>
      <w:r w:rsidRPr="00315F60">
        <w:instrText xml:space="preserve"> REF _Ref23367520 \r \h </w:instrText>
      </w:r>
      <w:r w:rsidRPr="00315F60">
        <w:fldChar w:fldCharType="separate"/>
      </w:r>
      <w:r w:rsidR="004355CA" w:rsidRPr="00315F60">
        <w:t>3.3</w:t>
      </w:r>
      <w:r w:rsidRPr="00315F60">
        <w:fldChar w:fldCharType="end"/>
      </w:r>
      <w:r w:rsidRPr="00315F60">
        <w:t>.</w:t>
      </w:r>
    </w:p>
    <w:p w:rsidR="00252CA3" w:rsidRPr="00315F60" w:rsidRDefault="00252CA3" w:rsidP="00252CA3">
      <w:pPr>
        <w:pStyle w:val="Caption"/>
        <w:rPr>
          <w:color w:val="auto"/>
        </w:rPr>
      </w:pPr>
      <w:bookmarkStart w:id="445" w:name="_Ref23367486"/>
      <w:r w:rsidRPr="00315F60">
        <w:rPr>
          <w:color w:val="auto"/>
        </w:rPr>
        <w:t xml:space="preserve">Table </w:t>
      </w:r>
      <w:r w:rsidRPr="00315F60">
        <w:rPr>
          <w:noProof/>
          <w:color w:val="auto"/>
        </w:rPr>
        <w:fldChar w:fldCharType="begin"/>
      </w:r>
      <w:r w:rsidRPr="00315F60">
        <w:rPr>
          <w:noProof/>
          <w:color w:val="auto"/>
        </w:rPr>
        <w:instrText xml:space="preserve"> SEQ Table \* ARABIC </w:instrText>
      </w:r>
      <w:r w:rsidRPr="00315F60">
        <w:rPr>
          <w:noProof/>
          <w:color w:val="auto"/>
        </w:rPr>
        <w:fldChar w:fldCharType="separate"/>
      </w:r>
      <w:r w:rsidR="004355CA" w:rsidRPr="00315F60">
        <w:rPr>
          <w:noProof/>
          <w:color w:val="auto"/>
        </w:rPr>
        <w:t>9</w:t>
      </w:r>
      <w:r w:rsidRPr="00315F60">
        <w:rPr>
          <w:noProof/>
          <w:color w:val="auto"/>
        </w:rPr>
        <w:fldChar w:fldCharType="end"/>
      </w:r>
      <w:bookmarkEnd w:id="445"/>
      <w:r w:rsidRPr="00315F60">
        <w:rPr>
          <w:color w:val="auto"/>
        </w:rPr>
        <w:t xml:space="preserve">: Summary of reporting options assessment against key principles </w:t>
      </w:r>
    </w:p>
    <w:tbl>
      <w:tblPr>
        <w:tblStyle w:val="TableGrid"/>
        <w:tblW w:w="9636" w:type="dxa"/>
        <w:tblLayout w:type="fixed"/>
        <w:tblLook w:val="04A0" w:firstRow="1" w:lastRow="0" w:firstColumn="1" w:lastColumn="0" w:noHBand="0" w:noVBand="1"/>
        <w:tblDescription w:val="Table showing a summary of reporting options assessment against key principles. "/>
      </w:tblPr>
      <w:tblGrid>
        <w:gridCol w:w="1413"/>
        <w:gridCol w:w="1559"/>
        <w:gridCol w:w="1666"/>
        <w:gridCol w:w="1666"/>
        <w:gridCol w:w="1666"/>
        <w:gridCol w:w="1666"/>
      </w:tblGrid>
      <w:tr w:rsidR="00315F60" w:rsidRPr="00315F60" w:rsidTr="00506A16">
        <w:trPr>
          <w:tblHeader/>
        </w:trPr>
        <w:tc>
          <w:tcPr>
            <w:tcW w:w="2972" w:type="dxa"/>
            <w:gridSpan w:val="2"/>
            <w:shd w:val="clear" w:color="auto" w:fill="000000" w:themeFill="text1"/>
          </w:tcPr>
          <w:p w:rsidR="00490C76" w:rsidRPr="00315F60" w:rsidRDefault="00490C76" w:rsidP="00EF6B6C">
            <w:pPr>
              <w:pStyle w:val="Tableheading"/>
              <w:rPr>
                <w:color w:val="auto"/>
              </w:rPr>
            </w:pPr>
            <w:r w:rsidRPr="00315F60">
              <w:rPr>
                <w:color w:val="auto"/>
              </w:rPr>
              <w:t xml:space="preserve">Option </w:t>
            </w:r>
          </w:p>
          <w:p w:rsidR="00490C76" w:rsidRPr="00315F60" w:rsidRDefault="00490C76" w:rsidP="00EF6B6C">
            <w:pPr>
              <w:pStyle w:val="Tableheading"/>
              <w:rPr>
                <w:color w:val="auto"/>
              </w:rPr>
            </w:pPr>
            <w:r w:rsidRPr="00315F60">
              <w:rPr>
                <w:color w:val="auto"/>
              </w:rPr>
              <w:t>(Modelled annual volume)</w:t>
            </w:r>
          </w:p>
          <w:p w:rsidR="00490C76" w:rsidRPr="00315F60" w:rsidRDefault="00490C76" w:rsidP="00EF6B6C">
            <w:pPr>
              <w:pStyle w:val="Tableheading"/>
              <w:rPr>
                <w:color w:val="auto"/>
              </w:rPr>
            </w:pPr>
          </w:p>
        </w:tc>
        <w:tc>
          <w:tcPr>
            <w:tcW w:w="1666" w:type="dxa"/>
            <w:shd w:val="clear" w:color="auto" w:fill="000000" w:themeFill="text1"/>
          </w:tcPr>
          <w:p w:rsidR="00490C76" w:rsidRPr="00315F60" w:rsidRDefault="00490C76" w:rsidP="00EF6B6C">
            <w:pPr>
              <w:pStyle w:val="Tableheading"/>
              <w:rPr>
                <w:color w:val="auto"/>
              </w:rPr>
            </w:pPr>
            <w:r w:rsidRPr="00315F60">
              <w:rPr>
                <w:color w:val="auto"/>
              </w:rPr>
              <w:t>Ease of application</w:t>
            </w:r>
          </w:p>
        </w:tc>
        <w:tc>
          <w:tcPr>
            <w:tcW w:w="1666" w:type="dxa"/>
            <w:shd w:val="clear" w:color="auto" w:fill="000000" w:themeFill="text1"/>
          </w:tcPr>
          <w:p w:rsidR="00490C76" w:rsidRPr="00315F60" w:rsidRDefault="009D3A1E" w:rsidP="00EF6B6C">
            <w:pPr>
              <w:pStyle w:val="Tableheading"/>
              <w:rPr>
                <w:color w:val="auto"/>
              </w:rPr>
            </w:pPr>
            <w:r w:rsidRPr="00315F60">
              <w:rPr>
                <w:color w:val="auto"/>
              </w:rPr>
              <w:t>Level of reporting by services</w:t>
            </w:r>
          </w:p>
        </w:tc>
        <w:tc>
          <w:tcPr>
            <w:tcW w:w="1666" w:type="dxa"/>
            <w:shd w:val="clear" w:color="auto" w:fill="000000" w:themeFill="text1"/>
          </w:tcPr>
          <w:p w:rsidR="00490C76" w:rsidRPr="00315F60" w:rsidRDefault="009D3A1E" w:rsidP="00EF6B6C">
            <w:pPr>
              <w:pStyle w:val="Tableheading"/>
              <w:rPr>
                <w:color w:val="auto"/>
              </w:rPr>
            </w:pPr>
            <w:r w:rsidRPr="00315F60">
              <w:rPr>
                <w:color w:val="auto"/>
              </w:rPr>
              <w:t>Regulatory response by the Commission</w:t>
            </w:r>
          </w:p>
        </w:tc>
        <w:tc>
          <w:tcPr>
            <w:tcW w:w="1666" w:type="dxa"/>
            <w:shd w:val="clear" w:color="auto" w:fill="000000" w:themeFill="text1"/>
          </w:tcPr>
          <w:p w:rsidR="00490C76" w:rsidRPr="00315F60" w:rsidRDefault="00490C76" w:rsidP="00EF6B6C">
            <w:pPr>
              <w:pStyle w:val="Tableheading"/>
              <w:rPr>
                <w:color w:val="auto"/>
              </w:rPr>
            </w:pPr>
            <w:r w:rsidRPr="00315F60">
              <w:rPr>
                <w:color w:val="auto"/>
              </w:rPr>
              <w:t>Captures additional information about incidents which cause harm</w:t>
            </w:r>
          </w:p>
        </w:tc>
      </w:tr>
      <w:tr w:rsidR="00315F60" w:rsidRPr="00315F60" w:rsidTr="009F1F87">
        <w:tc>
          <w:tcPr>
            <w:tcW w:w="2972" w:type="dxa"/>
            <w:gridSpan w:val="2"/>
            <w:shd w:val="clear" w:color="auto" w:fill="auto"/>
          </w:tcPr>
          <w:p w:rsidR="00490C76" w:rsidRPr="00315F60" w:rsidRDefault="00490C76" w:rsidP="00FA0BA9">
            <w:pPr>
              <w:pStyle w:val="Tabletext"/>
            </w:pPr>
            <w:r w:rsidRPr="00315F60">
              <w:t xml:space="preserve">Option 1 – all Type 1 and Type 2 incidents </w:t>
            </w:r>
          </w:p>
          <w:p w:rsidR="00490C76" w:rsidRPr="00315F60" w:rsidRDefault="00490C76" w:rsidP="00FA0BA9">
            <w:pPr>
              <w:pStyle w:val="Tabletext"/>
            </w:pPr>
            <w:r w:rsidRPr="00315F60">
              <w:t>(38,898 Type 1 incidents and 13,757 Type 2 incidents)</w:t>
            </w:r>
          </w:p>
        </w:tc>
        <w:tc>
          <w:tcPr>
            <w:tcW w:w="1666" w:type="dxa"/>
            <w:vAlign w:val="center"/>
          </w:tcPr>
          <w:p w:rsidR="00490C76" w:rsidRPr="00315F60" w:rsidRDefault="00880187" w:rsidP="009F1F87">
            <w:pPr>
              <w:spacing w:after="0"/>
              <w:jc w:val="center"/>
              <w:rPr>
                <w:sz w:val="18"/>
                <w:szCs w:val="18"/>
              </w:rPr>
            </w:pPr>
            <w:r w:rsidRPr="00315F60">
              <w:rPr>
                <w:sz w:val="18"/>
                <w:szCs w:val="18"/>
              </w:rPr>
              <w:t xml:space="preserve">Amber </w:t>
            </w:r>
          </w:p>
        </w:tc>
        <w:tc>
          <w:tcPr>
            <w:tcW w:w="1666" w:type="dxa"/>
            <w:vAlign w:val="center"/>
          </w:tcPr>
          <w:p w:rsidR="00490C76" w:rsidRPr="00315F60" w:rsidRDefault="00880187" w:rsidP="009F1F87">
            <w:pPr>
              <w:spacing w:after="0"/>
              <w:jc w:val="center"/>
              <w:rPr>
                <w:noProof/>
                <w:szCs w:val="20"/>
                <w:lang w:eastAsia="en-AU"/>
              </w:rPr>
            </w:pPr>
            <w:r w:rsidRPr="00315F60">
              <w:rPr>
                <w:noProof/>
                <w:szCs w:val="20"/>
                <w:lang w:eastAsia="en-AU"/>
              </w:rPr>
              <w:t>Red</w:t>
            </w:r>
          </w:p>
        </w:tc>
        <w:tc>
          <w:tcPr>
            <w:tcW w:w="1666" w:type="dxa"/>
            <w:vAlign w:val="center"/>
          </w:tcPr>
          <w:p w:rsidR="00490C76" w:rsidRPr="00315F60" w:rsidRDefault="00880187" w:rsidP="009F1F87">
            <w:pPr>
              <w:spacing w:after="0"/>
              <w:jc w:val="center"/>
              <w:rPr>
                <w:noProof/>
                <w:szCs w:val="20"/>
                <w:lang w:eastAsia="en-AU"/>
              </w:rPr>
            </w:pPr>
            <w:r w:rsidRPr="00315F60">
              <w:rPr>
                <w:noProof/>
                <w:szCs w:val="20"/>
                <w:lang w:eastAsia="en-AU"/>
              </w:rPr>
              <w:t>Red</w:t>
            </w:r>
          </w:p>
        </w:tc>
        <w:tc>
          <w:tcPr>
            <w:tcW w:w="1666" w:type="dxa"/>
            <w:vAlign w:val="center"/>
          </w:tcPr>
          <w:p w:rsidR="00490C76" w:rsidRPr="00315F60" w:rsidRDefault="00880187" w:rsidP="009F1F87">
            <w:pPr>
              <w:spacing w:after="0"/>
              <w:jc w:val="center"/>
              <w:rPr>
                <w:noProof/>
                <w:szCs w:val="20"/>
                <w:lang w:eastAsia="en-AU"/>
              </w:rPr>
            </w:pPr>
            <w:r w:rsidRPr="00315F60">
              <w:rPr>
                <w:sz w:val="18"/>
                <w:szCs w:val="18"/>
              </w:rPr>
              <w:t>Amber</w:t>
            </w:r>
          </w:p>
        </w:tc>
      </w:tr>
      <w:tr w:rsidR="00315F60" w:rsidRPr="00315F60" w:rsidTr="00880187">
        <w:tc>
          <w:tcPr>
            <w:tcW w:w="1413" w:type="dxa"/>
            <w:vMerge w:val="restart"/>
            <w:shd w:val="clear" w:color="auto" w:fill="auto"/>
          </w:tcPr>
          <w:p w:rsidR="00880187" w:rsidRPr="00315F60" w:rsidRDefault="00880187" w:rsidP="00880187">
            <w:pPr>
              <w:rPr>
                <w:sz w:val="18"/>
                <w:szCs w:val="18"/>
              </w:rPr>
            </w:pPr>
            <w:r w:rsidRPr="00315F60">
              <w:rPr>
                <w:sz w:val="18"/>
                <w:szCs w:val="18"/>
              </w:rPr>
              <w:t>Option 2 – some Type 1 incidents</w:t>
            </w:r>
          </w:p>
        </w:tc>
        <w:tc>
          <w:tcPr>
            <w:tcW w:w="1559" w:type="dxa"/>
            <w:shd w:val="clear" w:color="auto" w:fill="auto"/>
          </w:tcPr>
          <w:p w:rsidR="00880187" w:rsidRPr="00315F60" w:rsidRDefault="00880187" w:rsidP="00880187">
            <w:pPr>
              <w:rPr>
                <w:sz w:val="18"/>
                <w:szCs w:val="18"/>
              </w:rPr>
            </w:pPr>
            <w:r w:rsidRPr="00315F60">
              <w:rPr>
                <w:sz w:val="18"/>
                <w:szCs w:val="18"/>
              </w:rPr>
              <w:t>2.1 All Type 1 incidents only</w:t>
            </w:r>
          </w:p>
          <w:p w:rsidR="00880187" w:rsidRPr="00315F60" w:rsidRDefault="00880187" w:rsidP="00880187">
            <w:pPr>
              <w:rPr>
                <w:sz w:val="18"/>
                <w:szCs w:val="18"/>
              </w:rPr>
            </w:pPr>
            <w:r w:rsidRPr="00315F60">
              <w:rPr>
                <w:sz w:val="18"/>
                <w:szCs w:val="18"/>
              </w:rPr>
              <w:t>(38,898 incidents)</w:t>
            </w:r>
          </w:p>
        </w:tc>
        <w:tc>
          <w:tcPr>
            <w:tcW w:w="1666" w:type="dxa"/>
            <w:vAlign w:val="center"/>
          </w:tcPr>
          <w:p w:rsidR="00880187" w:rsidRPr="00315F60" w:rsidRDefault="00880187" w:rsidP="00880187">
            <w:pPr>
              <w:spacing w:after="0"/>
              <w:jc w:val="center"/>
              <w:rPr>
                <w:noProof/>
                <w:szCs w:val="20"/>
                <w:lang w:eastAsia="en-AU"/>
              </w:rPr>
            </w:pPr>
            <w:r w:rsidRPr="00315F60">
              <w:rPr>
                <w:noProof/>
                <w:szCs w:val="20"/>
                <w:lang w:eastAsia="en-AU"/>
              </w:rPr>
              <w:t>Green</w:t>
            </w:r>
          </w:p>
        </w:tc>
        <w:tc>
          <w:tcPr>
            <w:tcW w:w="1666" w:type="dxa"/>
            <w:vAlign w:val="center"/>
          </w:tcPr>
          <w:p w:rsidR="00880187" w:rsidRPr="00315F60" w:rsidRDefault="00880187" w:rsidP="00880187">
            <w:pPr>
              <w:jc w:val="center"/>
            </w:pPr>
            <w:r w:rsidRPr="00315F60">
              <w:t>Red</w:t>
            </w:r>
          </w:p>
        </w:tc>
        <w:tc>
          <w:tcPr>
            <w:tcW w:w="1666" w:type="dxa"/>
            <w:vAlign w:val="center"/>
          </w:tcPr>
          <w:p w:rsidR="00880187" w:rsidRPr="00315F60" w:rsidRDefault="00880187" w:rsidP="00880187">
            <w:pPr>
              <w:jc w:val="center"/>
            </w:pPr>
            <w:r w:rsidRPr="00315F60">
              <w:t>Red</w:t>
            </w:r>
          </w:p>
        </w:tc>
        <w:tc>
          <w:tcPr>
            <w:tcW w:w="1666" w:type="dxa"/>
            <w:vAlign w:val="center"/>
          </w:tcPr>
          <w:p w:rsidR="00880187" w:rsidRPr="00315F60" w:rsidRDefault="00880187" w:rsidP="00880187">
            <w:pPr>
              <w:spacing w:after="0"/>
              <w:jc w:val="center"/>
              <w:rPr>
                <w:sz w:val="18"/>
                <w:szCs w:val="18"/>
              </w:rPr>
            </w:pPr>
            <w:r w:rsidRPr="00315F60">
              <w:rPr>
                <w:sz w:val="18"/>
                <w:szCs w:val="18"/>
              </w:rPr>
              <w:t>Amber</w:t>
            </w:r>
          </w:p>
        </w:tc>
      </w:tr>
      <w:tr w:rsidR="00315F60" w:rsidRPr="00315F60" w:rsidTr="00880187">
        <w:tc>
          <w:tcPr>
            <w:tcW w:w="1413" w:type="dxa"/>
            <w:vMerge/>
            <w:shd w:val="clear" w:color="auto" w:fill="auto"/>
          </w:tcPr>
          <w:p w:rsidR="00880187" w:rsidRPr="00315F60" w:rsidRDefault="00880187" w:rsidP="00880187">
            <w:pPr>
              <w:rPr>
                <w:sz w:val="18"/>
                <w:szCs w:val="18"/>
              </w:rPr>
            </w:pPr>
          </w:p>
        </w:tc>
        <w:tc>
          <w:tcPr>
            <w:tcW w:w="1559" w:type="dxa"/>
            <w:shd w:val="clear" w:color="auto" w:fill="auto"/>
          </w:tcPr>
          <w:p w:rsidR="00880187" w:rsidRPr="00315F60" w:rsidRDefault="00880187" w:rsidP="00880187">
            <w:pPr>
              <w:rPr>
                <w:sz w:val="18"/>
                <w:szCs w:val="18"/>
              </w:rPr>
            </w:pPr>
            <w:r w:rsidRPr="00315F60">
              <w:rPr>
                <w:sz w:val="18"/>
                <w:szCs w:val="18"/>
              </w:rPr>
              <w:t>2.2 Type 1, unreasonable use of force only</w:t>
            </w:r>
          </w:p>
          <w:p w:rsidR="00880187" w:rsidRPr="00315F60" w:rsidRDefault="00880187" w:rsidP="00880187">
            <w:pPr>
              <w:rPr>
                <w:sz w:val="18"/>
                <w:szCs w:val="18"/>
              </w:rPr>
            </w:pPr>
            <w:r w:rsidRPr="00315F60">
              <w:rPr>
                <w:sz w:val="18"/>
                <w:szCs w:val="18"/>
              </w:rPr>
              <w:t>(36,892 Incidents)</w:t>
            </w:r>
          </w:p>
        </w:tc>
        <w:tc>
          <w:tcPr>
            <w:tcW w:w="1666" w:type="dxa"/>
            <w:vAlign w:val="center"/>
          </w:tcPr>
          <w:p w:rsidR="00880187" w:rsidRPr="00315F60" w:rsidRDefault="00880187" w:rsidP="00880187">
            <w:pPr>
              <w:jc w:val="center"/>
            </w:pPr>
            <w:r w:rsidRPr="00315F60">
              <w:rPr>
                <w:noProof/>
                <w:szCs w:val="20"/>
                <w:lang w:eastAsia="en-AU"/>
              </w:rPr>
              <w:t>Green</w:t>
            </w:r>
          </w:p>
        </w:tc>
        <w:tc>
          <w:tcPr>
            <w:tcW w:w="1666" w:type="dxa"/>
            <w:vAlign w:val="center"/>
          </w:tcPr>
          <w:p w:rsidR="00880187" w:rsidRPr="00315F60" w:rsidRDefault="00880187" w:rsidP="00880187">
            <w:pPr>
              <w:jc w:val="center"/>
            </w:pPr>
            <w:r w:rsidRPr="00315F60">
              <w:t>Red</w:t>
            </w:r>
          </w:p>
        </w:tc>
        <w:tc>
          <w:tcPr>
            <w:tcW w:w="1666" w:type="dxa"/>
            <w:vAlign w:val="center"/>
          </w:tcPr>
          <w:p w:rsidR="00880187" w:rsidRPr="00315F60" w:rsidRDefault="00880187" w:rsidP="00880187">
            <w:pPr>
              <w:jc w:val="center"/>
            </w:pPr>
            <w:r w:rsidRPr="00315F60">
              <w:t>Red</w:t>
            </w:r>
          </w:p>
        </w:tc>
        <w:tc>
          <w:tcPr>
            <w:tcW w:w="1666" w:type="dxa"/>
            <w:vAlign w:val="center"/>
          </w:tcPr>
          <w:p w:rsidR="00880187" w:rsidRPr="00315F60" w:rsidRDefault="00880187" w:rsidP="00880187">
            <w:pPr>
              <w:spacing w:after="0"/>
              <w:jc w:val="center"/>
              <w:rPr>
                <w:sz w:val="18"/>
                <w:szCs w:val="18"/>
              </w:rPr>
            </w:pPr>
            <w:r w:rsidRPr="00315F60">
              <w:rPr>
                <w:sz w:val="18"/>
                <w:szCs w:val="18"/>
              </w:rPr>
              <w:t>Amber</w:t>
            </w:r>
          </w:p>
        </w:tc>
      </w:tr>
      <w:tr w:rsidR="00315F60" w:rsidRPr="00315F60" w:rsidTr="00880187">
        <w:tc>
          <w:tcPr>
            <w:tcW w:w="1413" w:type="dxa"/>
            <w:vMerge/>
            <w:shd w:val="clear" w:color="auto" w:fill="auto"/>
          </w:tcPr>
          <w:p w:rsidR="00880187" w:rsidRPr="00315F60" w:rsidRDefault="00880187" w:rsidP="00880187">
            <w:pPr>
              <w:rPr>
                <w:sz w:val="18"/>
                <w:szCs w:val="18"/>
              </w:rPr>
            </w:pPr>
          </w:p>
        </w:tc>
        <w:tc>
          <w:tcPr>
            <w:tcW w:w="1559" w:type="dxa"/>
            <w:shd w:val="clear" w:color="auto" w:fill="auto"/>
          </w:tcPr>
          <w:p w:rsidR="00880187" w:rsidRPr="00315F60" w:rsidRDefault="00880187" w:rsidP="00880187">
            <w:pPr>
              <w:rPr>
                <w:sz w:val="18"/>
                <w:szCs w:val="18"/>
              </w:rPr>
            </w:pPr>
            <w:r w:rsidRPr="00315F60">
              <w:rPr>
                <w:sz w:val="18"/>
                <w:szCs w:val="18"/>
              </w:rPr>
              <w:t>2.3 Type 1, unlawful sexual contact only</w:t>
            </w:r>
          </w:p>
          <w:p w:rsidR="00880187" w:rsidRPr="00315F60" w:rsidRDefault="00880187" w:rsidP="00880187">
            <w:pPr>
              <w:rPr>
                <w:sz w:val="18"/>
                <w:szCs w:val="18"/>
              </w:rPr>
            </w:pPr>
            <w:r w:rsidRPr="00315F60">
              <w:rPr>
                <w:sz w:val="18"/>
                <w:szCs w:val="18"/>
              </w:rPr>
              <w:t>(1,730 incidents)</w:t>
            </w:r>
          </w:p>
        </w:tc>
        <w:tc>
          <w:tcPr>
            <w:tcW w:w="1666" w:type="dxa"/>
            <w:vAlign w:val="center"/>
          </w:tcPr>
          <w:p w:rsidR="00880187" w:rsidRPr="00315F60" w:rsidRDefault="00880187" w:rsidP="00880187">
            <w:pPr>
              <w:jc w:val="center"/>
            </w:pPr>
            <w:r w:rsidRPr="00315F60">
              <w:rPr>
                <w:noProof/>
                <w:szCs w:val="20"/>
                <w:lang w:eastAsia="en-AU"/>
              </w:rPr>
              <w:t>Green</w:t>
            </w:r>
          </w:p>
        </w:tc>
        <w:tc>
          <w:tcPr>
            <w:tcW w:w="1666" w:type="dxa"/>
            <w:vAlign w:val="center"/>
          </w:tcPr>
          <w:p w:rsidR="00880187" w:rsidRPr="00315F60" w:rsidRDefault="00880187" w:rsidP="00880187">
            <w:pPr>
              <w:jc w:val="center"/>
            </w:pPr>
            <w:r w:rsidRPr="00315F60">
              <w:rPr>
                <w:noProof/>
                <w:szCs w:val="20"/>
                <w:lang w:eastAsia="en-AU"/>
              </w:rPr>
              <w:t>Green</w:t>
            </w:r>
          </w:p>
        </w:tc>
        <w:tc>
          <w:tcPr>
            <w:tcW w:w="1666" w:type="dxa"/>
            <w:vAlign w:val="center"/>
          </w:tcPr>
          <w:p w:rsidR="00880187" w:rsidRPr="00315F60" w:rsidRDefault="00880187" w:rsidP="00880187">
            <w:pPr>
              <w:jc w:val="center"/>
            </w:pPr>
            <w:r w:rsidRPr="00315F60">
              <w:rPr>
                <w:noProof/>
                <w:szCs w:val="20"/>
                <w:lang w:eastAsia="en-AU"/>
              </w:rPr>
              <w:t>Green</w:t>
            </w:r>
          </w:p>
        </w:tc>
        <w:tc>
          <w:tcPr>
            <w:tcW w:w="1666" w:type="dxa"/>
            <w:vAlign w:val="center"/>
          </w:tcPr>
          <w:p w:rsidR="00880187" w:rsidRPr="00315F60" w:rsidRDefault="00880187" w:rsidP="00880187">
            <w:pPr>
              <w:jc w:val="center"/>
              <w:rPr>
                <w:sz w:val="18"/>
                <w:szCs w:val="18"/>
              </w:rPr>
            </w:pPr>
            <w:r w:rsidRPr="00315F60">
              <w:rPr>
                <w:sz w:val="18"/>
                <w:szCs w:val="18"/>
              </w:rPr>
              <w:t>Red</w:t>
            </w:r>
          </w:p>
        </w:tc>
      </w:tr>
      <w:tr w:rsidR="00315F60" w:rsidRPr="00315F60" w:rsidTr="00880187">
        <w:tc>
          <w:tcPr>
            <w:tcW w:w="1413" w:type="dxa"/>
            <w:vMerge/>
            <w:shd w:val="clear" w:color="auto" w:fill="auto"/>
          </w:tcPr>
          <w:p w:rsidR="00880187" w:rsidRPr="00315F60" w:rsidRDefault="00880187" w:rsidP="00880187">
            <w:pPr>
              <w:rPr>
                <w:sz w:val="18"/>
                <w:szCs w:val="18"/>
              </w:rPr>
            </w:pPr>
          </w:p>
        </w:tc>
        <w:tc>
          <w:tcPr>
            <w:tcW w:w="1559" w:type="dxa"/>
            <w:shd w:val="clear" w:color="auto" w:fill="auto"/>
          </w:tcPr>
          <w:p w:rsidR="00880187" w:rsidRPr="00315F60" w:rsidRDefault="00880187" w:rsidP="00880187">
            <w:pPr>
              <w:rPr>
                <w:sz w:val="18"/>
                <w:szCs w:val="18"/>
              </w:rPr>
            </w:pPr>
            <w:r w:rsidRPr="00315F60">
              <w:rPr>
                <w:sz w:val="18"/>
                <w:szCs w:val="18"/>
              </w:rPr>
              <w:t xml:space="preserve">2.4 Type 1, incidents of ‘higher’ level of impact only </w:t>
            </w:r>
          </w:p>
          <w:p w:rsidR="00880187" w:rsidRPr="00315F60" w:rsidRDefault="00880187" w:rsidP="00880187">
            <w:pPr>
              <w:rPr>
                <w:sz w:val="18"/>
                <w:szCs w:val="18"/>
              </w:rPr>
            </w:pPr>
            <w:r w:rsidRPr="00315F60">
              <w:rPr>
                <w:sz w:val="18"/>
                <w:szCs w:val="18"/>
              </w:rPr>
              <w:t>(1,545 incidents)</w:t>
            </w:r>
          </w:p>
        </w:tc>
        <w:tc>
          <w:tcPr>
            <w:tcW w:w="1666" w:type="dxa"/>
            <w:vAlign w:val="center"/>
          </w:tcPr>
          <w:p w:rsidR="00880187" w:rsidRPr="00315F60" w:rsidRDefault="00880187" w:rsidP="00880187">
            <w:pPr>
              <w:jc w:val="center"/>
              <w:rPr>
                <w:noProof/>
                <w:szCs w:val="20"/>
                <w:lang w:eastAsia="en-AU"/>
              </w:rPr>
            </w:pPr>
            <w:r w:rsidRPr="00315F60">
              <w:rPr>
                <w:sz w:val="18"/>
                <w:szCs w:val="18"/>
              </w:rPr>
              <w:t>Amber</w:t>
            </w:r>
          </w:p>
        </w:tc>
        <w:tc>
          <w:tcPr>
            <w:tcW w:w="1666" w:type="dxa"/>
            <w:vAlign w:val="center"/>
          </w:tcPr>
          <w:p w:rsidR="00880187" w:rsidRPr="00315F60" w:rsidRDefault="00880187" w:rsidP="00880187">
            <w:pPr>
              <w:jc w:val="center"/>
            </w:pPr>
            <w:r w:rsidRPr="00315F60">
              <w:rPr>
                <w:noProof/>
                <w:szCs w:val="20"/>
                <w:lang w:eastAsia="en-AU"/>
              </w:rPr>
              <w:t>Green</w:t>
            </w:r>
          </w:p>
        </w:tc>
        <w:tc>
          <w:tcPr>
            <w:tcW w:w="1666" w:type="dxa"/>
            <w:vAlign w:val="center"/>
          </w:tcPr>
          <w:p w:rsidR="00880187" w:rsidRPr="00315F60" w:rsidRDefault="00880187" w:rsidP="00880187">
            <w:pPr>
              <w:jc w:val="center"/>
            </w:pPr>
            <w:r w:rsidRPr="00315F60">
              <w:rPr>
                <w:noProof/>
                <w:szCs w:val="20"/>
                <w:lang w:eastAsia="en-AU"/>
              </w:rPr>
              <w:t>Green</w:t>
            </w:r>
          </w:p>
        </w:tc>
        <w:tc>
          <w:tcPr>
            <w:tcW w:w="1666" w:type="dxa"/>
            <w:vAlign w:val="center"/>
          </w:tcPr>
          <w:p w:rsidR="00880187" w:rsidRPr="00315F60" w:rsidRDefault="00880187" w:rsidP="00880187">
            <w:pPr>
              <w:jc w:val="center"/>
              <w:rPr>
                <w:sz w:val="18"/>
                <w:szCs w:val="18"/>
              </w:rPr>
            </w:pPr>
            <w:r w:rsidRPr="00315F60">
              <w:rPr>
                <w:noProof/>
                <w:szCs w:val="20"/>
                <w:lang w:eastAsia="en-AU"/>
              </w:rPr>
              <w:t>Green</w:t>
            </w:r>
          </w:p>
        </w:tc>
      </w:tr>
      <w:tr w:rsidR="00315F60" w:rsidRPr="00315F60" w:rsidTr="009F1F87">
        <w:tc>
          <w:tcPr>
            <w:tcW w:w="1413" w:type="dxa"/>
            <w:vMerge/>
            <w:shd w:val="clear" w:color="auto" w:fill="auto"/>
          </w:tcPr>
          <w:p w:rsidR="00490C76" w:rsidRPr="00315F60" w:rsidRDefault="00490C76" w:rsidP="00490C76">
            <w:pPr>
              <w:rPr>
                <w:sz w:val="18"/>
                <w:szCs w:val="18"/>
              </w:rPr>
            </w:pPr>
          </w:p>
        </w:tc>
        <w:tc>
          <w:tcPr>
            <w:tcW w:w="1559" w:type="dxa"/>
            <w:shd w:val="clear" w:color="auto" w:fill="auto"/>
          </w:tcPr>
          <w:p w:rsidR="00490C76" w:rsidRPr="00315F60" w:rsidRDefault="00490C76" w:rsidP="00490C76">
            <w:pPr>
              <w:rPr>
                <w:sz w:val="18"/>
                <w:szCs w:val="18"/>
              </w:rPr>
            </w:pPr>
            <w:r w:rsidRPr="00315F60">
              <w:rPr>
                <w:sz w:val="18"/>
                <w:szCs w:val="18"/>
              </w:rPr>
              <w:t>2.</w:t>
            </w:r>
            <w:r w:rsidR="00C90917" w:rsidRPr="00315F60">
              <w:rPr>
                <w:sz w:val="18"/>
                <w:szCs w:val="18"/>
              </w:rPr>
              <w:t>5</w:t>
            </w:r>
            <w:r w:rsidRPr="00315F60">
              <w:rPr>
                <w:sz w:val="18"/>
                <w:szCs w:val="18"/>
              </w:rPr>
              <w:t xml:space="preserve"> Type 1, incidents triggering particular types </w:t>
            </w:r>
            <w:r w:rsidRPr="00315F60">
              <w:rPr>
                <w:sz w:val="18"/>
                <w:szCs w:val="18"/>
              </w:rPr>
              <w:lastRenderedPageBreak/>
              <w:t>of service responses only</w:t>
            </w:r>
          </w:p>
          <w:p w:rsidR="00490C76" w:rsidRPr="00315F60" w:rsidRDefault="00490C76" w:rsidP="00490C76">
            <w:pPr>
              <w:rPr>
                <w:sz w:val="18"/>
                <w:szCs w:val="18"/>
              </w:rPr>
            </w:pPr>
            <w:r w:rsidRPr="00315F60">
              <w:rPr>
                <w:sz w:val="18"/>
                <w:szCs w:val="18"/>
              </w:rPr>
              <w:t>7,539 incidents)</w:t>
            </w:r>
          </w:p>
        </w:tc>
        <w:tc>
          <w:tcPr>
            <w:tcW w:w="1666" w:type="dxa"/>
            <w:vAlign w:val="center"/>
          </w:tcPr>
          <w:p w:rsidR="00490C76" w:rsidRPr="00315F60" w:rsidRDefault="00880187" w:rsidP="009F1F87">
            <w:pPr>
              <w:jc w:val="center"/>
              <w:rPr>
                <w:noProof/>
                <w:szCs w:val="20"/>
                <w:lang w:eastAsia="en-AU"/>
              </w:rPr>
            </w:pPr>
            <w:r w:rsidRPr="00315F60">
              <w:rPr>
                <w:sz w:val="18"/>
                <w:szCs w:val="18"/>
              </w:rPr>
              <w:lastRenderedPageBreak/>
              <w:t>Amber</w:t>
            </w:r>
          </w:p>
        </w:tc>
        <w:tc>
          <w:tcPr>
            <w:tcW w:w="1666" w:type="dxa"/>
            <w:vAlign w:val="center"/>
          </w:tcPr>
          <w:p w:rsidR="00490C76" w:rsidRPr="00315F60" w:rsidRDefault="00880187" w:rsidP="009F1F87">
            <w:pPr>
              <w:jc w:val="center"/>
              <w:rPr>
                <w:noProof/>
                <w:szCs w:val="20"/>
                <w:lang w:eastAsia="en-AU"/>
              </w:rPr>
            </w:pPr>
            <w:r w:rsidRPr="00315F60">
              <w:rPr>
                <w:noProof/>
                <w:szCs w:val="20"/>
                <w:lang w:eastAsia="en-AU"/>
              </w:rPr>
              <w:t>Green</w:t>
            </w:r>
          </w:p>
        </w:tc>
        <w:tc>
          <w:tcPr>
            <w:tcW w:w="1666" w:type="dxa"/>
            <w:vAlign w:val="center"/>
          </w:tcPr>
          <w:p w:rsidR="00490C76" w:rsidRPr="00315F60" w:rsidRDefault="00880187" w:rsidP="009F1F87">
            <w:pPr>
              <w:jc w:val="center"/>
              <w:rPr>
                <w:noProof/>
                <w:szCs w:val="20"/>
                <w:lang w:eastAsia="en-AU"/>
              </w:rPr>
            </w:pPr>
            <w:r w:rsidRPr="00315F60">
              <w:rPr>
                <w:sz w:val="18"/>
                <w:szCs w:val="18"/>
              </w:rPr>
              <w:t>Amber</w:t>
            </w:r>
          </w:p>
        </w:tc>
        <w:tc>
          <w:tcPr>
            <w:tcW w:w="1666" w:type="dxa"/>
            <w:vAlign w:val="center"/>
          </w:tcPr>
          <w:p w:rsidR="00490C76" w:rsidRPr="00315F60" w:rsidRDefault="00880187" w:rsidP="009F1F87">
            <w:pPr>
              <w:jc w:val="center"/>
              <w:rPr>
                <w:sz w:val="18"/>
                <w:szCs w:val="18"/>
              </w:rPr>
            </w:pPr>
            <w:r w:rsidRPr="00315F60">
              <w:rPr>
                <w:sz w:val="18"/>
                <w:szCs w:val="18"/>
              </w:rPr>
              <w:t>Red</w:t>
            </w:r>
          </w:p>
        </w:tc>
      </w:tr>
      <w:tr w:rsidR="00315F60" w:rsidRPr="00315F60" w:rsidTr="00090FED">
        <w:tc>
          <w:tcPr>
            <w:tcW w:w="1413" w:type="dxa"/>
            <w:vMerge/>
            <w:shd w:val="clear" w:color="auto" w:fill="auto"/>
          </w:tcPr>
          <w:p w:rsidR="00090FED" w:rsidRPr="00315F60" w:rsidRDefault="00090FED" w:rsidP="00090FED">
            <w:pPr>
              <w:rPr>
                <w:sz w:val="18"/>
                <w:szCs w:val="18"/>
              </w:rPr>
            </w:pPr>
          </w:p>
        </w:tc>
        <w:tc>
          <w:tcPr>
            <w:tcW w:w="1559" w:type="dxa"/>
            <w:shd w:val="clear" w:color="auto" w:fill="auto"/>
          </w:tcPr>
          <w:p w:rsidR="00090FED" w:rsidRPr="00315F60" w:rsidRDefault="00090FED" w:rsidP="00090FED">
            <w:pPr>
              <w:rPr>
                <w:sz w:val="18"/>
                <w:szCs w:val="18"/>
              </w:rPr>
            </w:pPr>
            <w:r w:rsidRPr="00315F60">
              <w:rPr>
                <w:sz w:val="18"/>
                <w:szCs w:val="18"/>
              </w:rPr>
              <w:t>2.6 – All Type 1 incidents involving unlawful sexual contact and Type 1 incidents involving unreasonable use of force that result in higher levels of harm to the victim only</w:t>
            </w:r>
          </w:p>
          <w:p w:rsidR="00090FED" w:rsidRPr="00315F60" w:rsidRDefault="00090FED" w:rsidP="00090FED">
            <w:pPr>
              <w:rPr>
                <w:sz w:val="18"/>
                <w:szCs w:val="18"/>
              </w:rPr>
            </w:pPr>
            <w:r w:rsidRPr="00315F60">
              <w:rPr>
                <w:sz w:val="18"/>
                <w:szCs w:val="18"/>
              </w:rPr>
              <w:t>(3,191 incidents)</w:t>
            </w:r>
          </w:p>
        </w:tc>
        <w:tc>
          <w:tcPr>
            <w:tcW w:w="1666" w:type="dxa"/>
            <w:vAlign w:val="center"/>
          </w:tcPr>
          <w:p w:rsidR="00090FED" w:rsidRPr="00315F60" w:rsidRDefault="00090FED" w:rsidP="00090FED">
            <w:pPr>
              <w:jc w:val="center"/>
              <w:rPr>
                <w:noProof/>
                <w:szCs w:val="20"/>
                <w:lang w:eastAsia="en-AU"/>
              </w:rPr>
            </w:pPr>
            <w:r w:rsidRPr="00315F60">
              <w:rPr>
                <w:sz w:val="18"/>
                <w:szCs w:val="18"/>
              </w:rPr>
              <w:t>Amber</w:t>
            </w:r>
          </w:p>
        </w:tc>
        <w:tc>
          <w:tcPr>
            <w:tcW w:w="1666" w:type="dxa"/>
            <w:vAlign w:val="center"/>
          </w:tcPr>
          <w:p w:rsidR="00090FED" w:rsidRPr="00315F60" w:rsidRDefault="00090FED" w:rsidP="00090FED">
            <w:pPr>
              <w:jc w:val="center"/>
              <w:rPr>
                <w:noProof/>
                <w:szCs w:val="20"/>
                <w:lang w:eastAsia="en-AU"/>
              </w:rPr>
            </w:pPr>
            <w:r w:rsidRPr="00315F60">
              <w:rPr>
                <w:noProof/>
                <w:szCs w:val="20"/>
                <w:lang w:eastAsia="en-AU"/>
              </w:rPr>
              <w:t>Green</w:t>
            </w:r>
          </w:p>
        </w:tc>
        <w:tc>
          <w:tcPr>
            <w:tcW w:w="1666" w:type="dxa"/>
            <w:vAlign w:val="center"/>
          </w:tcPr>
          <w:p w:rsidR="00090FED" w:rsidRPr="00315F60" w:rsidRDefault="00090FED" w:rsidP="00090FED">
            <w:pPr>
              <w:jc w:val="center"/>
            </w:pPr>
            <w:r w:rsidRPr="00315F60">
              <w:rPr>
                <w:noProof/>
                <w:szCs w:val="20"/>
                <w:lang w:eastAsia="en-AU"/>
              </w:rPr>
              <w:t>Green</w:t>
            </w:r>
          </w:p>
        </w:tc>
        <w:tc>
          <w:tcPr>
            <w:tcW w:w="1666" w:type="dxa"/>
            <w:vAlign w:val="center"/>
          </w:tcPr>
          <w:p w:rsidR="00090FED" w:rsidRPr="00315F60" w:rsidRDefault="00090FED" w:rsidP="00090FED">
            <w:pPr>
              <w:jc w:val="center"/>
            </w:pPr>
            <w:r w:rsidRPr="00315F60">
              <w:rPr>
                <w:noProof/>
                <w:szCs w:val="20"/>
                <w:lang w:eastAsia="en-AU"/>
              </w:rPr>
              <w:t>Green</w:t>
            </w:r>
          </w:p>
        </w:tc>
      </w:tr>
      <w:tr w:rsidR="00315F60" w:rsidRPr="00315F60" w:rsidTr="00090FED">
        <w:tc>
          <w:tcPr>
            <w:tcW w:w="2972" w:type="dxa"/>
            <w:gridSpan w:val="2"/>
            <w:shd w:val="clear" w:color="auto" w:fill="auto"/>
          </w:tcPr>
          <w:p w:rsidR="00090FED" w:rsidRPr="00315F60" w:rsidRDefault="00090FED" w:rsidP="00090FED">
            <w:pPr>
              <w:rPr>
                <w:sz w:val="18"/>
                <w:szCs w:val="18"/>
              </w:rPr>
            </w:pPr>
            <w:r w:rsidRPr="00315F60">
              <w:rPr>
                <w:sz w:val="18"/>
                <w:szCs w:val="18"/>
              </w:rPr>
              <w:t>Option 3 – no change to the current reporting requirements</w:t>
            </w:r>
          </w:p>
          <w:p w:rsidR="00090FED" w:rsidRPr="00315F60" w:rsidRDefault="00090FED" w:rsidP="00090FED">
            <w:pPr>
              <w:rPr>
                <w:sz w:val="18"/>
                <w:szCs w:val="18"/>
              </w:rPr>
            </w:pPr>
            <w:r w:rsidRPr="00315F60">
              <w:rPr>
                <w:sz w:val="18"/>
                <w:szCs w:val="18"/>
              </w:rPr>
              <w:t>(Zero Type 1 incidents and zero Type 2 incidents)</w:t>
            </w:r>
          </w:p>
        </w:tc>
        <w:tc>
          <w:tcPr>
            <w:tcW w:w="1666" w:type="dxa"/>
            <w:vAlign w:val="center"/>
          </w:tcPr>
          <w:p w:rsidR="00090FED" w:rsidRPr="00315F60" w:rsidRDefault="00090FED" w:rsidP="00090FED">
            <w:pPr>
              <w:jc w:val="center"/>
            </w:pPr>
            <w:r w:rsidRPr="00315F60">
              <w:rPr>
                <w:noProof/>
                <w:szCs w:val="20"/>
                <w:lang w:eastAsia="en-AU"/>
              </w:rPr>
              <w:t>Green</w:t>
            </w:r>
          </w:p>
        </w:tc>
        <w:tc>
          <w:tcPr>
            <w:tcW w:w="1666" w:type="dxa"/>
            <w:vAlign w:val="center"/>
          </w:tcPr>
          <w:p w:rsidR="00090FED" w:rsidRPr="00315F60" w:rsidRDefault="00090FED" w:rsidP="00090FED">
            <w:pPr>
              <w:jc w:val="center"/>
            </w:pPr>
            <w:r w:rsidRPr="00315F60">
              <w:rPr>
                <w:noProof/>
                <w:szCs w:val="20"/>
                <w:lang w:eastAsia="en-AU"/>
              </w:rPr>
              <w:t>Green</w:t>
            </w:r>
          </w:p>
        </w:tc>
        <w:tc>
          <w:tcPr>
            <w:tcW w:w="1666" w:type="dxa"/>
            <w:vAlign w:val="center"/>
          </w:tcPr>
          <w:p w:rsidR="00090FED" w:rsidRPr="00315F60" w:rsidRDefault="00090FED" w:rsidP="00090FED">
            <w:pPr>
              <w:jc w:val="center"/>
            </w:pPr>
            <w:r w:rsidRPr="00315F60">
              <w:rPr>
                <w:noProof/>
                <w:szCs w:val="20"/>
                <w:lang w:eastAsia="en-AU"/>
              </w:rPr>
              <w:t>Green</w:t>
            </w:r>
          </w:p>
        </w:tc>
        <w:tc>
          <w:tcPr>
            <w:tcW w:w="1666" w:type="dxa"/>
            <w:vAlign w:val="center"/>
          </w:tcPr>
          <w:p w:rsidR="00090FED" w:rsidRPr="00315F60" w:rsidRDefault="00090FED" w:rsidP="00090FED">
            <w:pPr>
              <w:jc w:val="center"/>
              <w:rPr>
                <w:noProof/>
                <w:szCs w:val="20"/>
                <w:lang w:eastAsia="en-AU"/>
              </w:rPr>
            </w:pPr>
            <w:r w:rsidRPr="00315F60">
              <w:rPr>
                <w:noProof/>
                <w:szCs w:val="20"/>
                <w:lang w:eastAsia="en-AU"/>
              </w:rPr>
              <w:t>Red</w:t>
            </w:r>
          </w:p>
        </w:tc>
      </w:tr>
    </w:tbl>
    <w:p w:rsidR="00252CA3" w:rsidRPr="00315F60" w:rsidRDefault="00252CA3" w:rsidP="00FA0BA9">
      <w:pPr>
        <w:pStyle w:val="Source"/>
      </w:pPr>
      <w:r w:rsidRPr="00315F60">
        <w:t>Source: KPMG</w:t>
      </w:r>
    </w:p>
    <w:p w:rsidR="00252CA3" w:rsidRPr="00315F60" w:rsidRDefault="00252CA3" w:rsidP="002F54AD">
      <w:pPr>
        <w:pStyle w:val="Heading4"/>
        <w:rPr>
          <w:color w:val="auto"/>
        </w:rPr>
      </w:pPr>
      <w:r w:rsidRPr="00315F60">
        <w:rPr>
          <w:color w:val="auto"/>
        </w:rPr>
        <w:t>Option 1: Report all Type 1 and Type 2 incidents</w:t>
      </w:r>
    </w:p>
    <w:p w:rsidR="00252CA3" w:rsidRPr="00315F60" w:rsidRDefault="00252CA3" w:rsidP="00FA0BA9">
      <w:pPr>
        <w:pStyle w:val="Heading6"/>
      </w:pPr>
      <w:r w:rsidRPr="00315F60">
        <w:t>Incidents covered by this option</w:t>
      </w:r>
    </w:p>
    <w:p w:rsidR="00252CA3" w:rsidRPr="00315F60" w:rsidRDefault="00252CA3" w:rsidP="00252CA3">
      <w:pPr>
        <w:pStyle w:val="BodyText"/>
      </w:pPr>
      <w:r w:rsidRPr="00315F60">
        <w:t>Under this option, all incidents which meet the definitions of Type 1 and Type 2 incidents would be reported as part of the SIRS. This would be an expansion of the current reportable assaults definition</w:t>
      </w:r>
      <w:r w:rsidR="001952BF" w:rsidRPr="00315F60">
        <w:t xml:space="preserve">. </w:t>
      </w:r>
      <w:r w:rsidRPr="00315F60">
        <w:t>Based on modelling undertaken as part of this study, this could result in 38,898 Type 1 incidents and 13,757 Type 2 incidents being reported each year.</w:t>
      </w:r>
      <w:r w:rsidRPr="00315F60">
        <w:rPr>
          <w:sz w:val="18"/>
          <w:szCs w:val="18"/>
          <w:highlight w:val="yellow"/>
        </w:rPr>
        <w:t xml:space="preserve"> </w:t>
      </w:r>
    </w:p>
    <w:p w:rsidR="00252CA3" w:rsidRPr="00315F60" w:rsidRDefault="00252CA3" w:rsidP="00FA0BA9">
      <w:pPr>
        <w:pStyle w:val="Heading6"/>
      </w:pPr>
      <w:r w:rsidRPr="00315F60">
        <w:t>Benefits of this option</w:t>
      </w:r>
    </w:p>
    <w:p w:rsidR="00252CA3" w:rsidRPr="00315F60" w:rsidRDefault="00252CA3" w:rsidP="00252CA3">
      <w:pPr>
        <w:pStyle w:val="BodyText"/>
      </w:pPr>
      <w:r w:rsidRPr="00315F60">
        <w:t xml:space="preserve">This option could support the Commission to gain a greater understanding of the number and nature of </w:t>
      </w:r>
      <w:r w:rsidR="00A75F38" w:rsidRPr="00315F60">
        <w:t>resident on resident</w:t>
      </w:r>
      <w:r w:rsidRPr="00315F60">
        <w:t xml:space="preserve"> incidents in residential aged care</w:t>
      </w:r>
      <w:r w:rsidR="001952BF" w:rsidRPr="00315F60">
        <w:t xml:space="preserve">. </w:t>
      </w:r>
      <w:r w:rsidRPr="00315F60">
        <w:t xml:space="preserve">Note however, the level of insight </w:t>
      </w:r>
      <w:r w:rsidR="00C2193F" w:rsidRPr="00315F60">
        <w:t xml:space="preserve">gained </w:t>
      </w:r>
      <w:r w:rsidRPr="00315F60">
        <w:t>would depend on the specific data fields which are collected about these incidents. Given the number of incidents that may be reported</w:t>
      </w:r>
      <w:r w:rsidR="00FC5169" w:rsidRPr="00315F60">
        <w:t>,</w:t>
      </w:r>
      <w:r w:rsidRPr="00315F60">
        <w:t xml:space="preserve"> it is likely that fewer data fields and data fields that are more structured would need to be captured</w:t>
      </w:r>
      <w:r w:rsidR="001952BF" w:rsidRPr="00315F60">
        <w:t xml:space="preserve">. </w:t>
      </w:r>
    </w:p>
    <w:p w:rsidR="00A87B95" w:rsidRPr="00315F60" w:rsidRDefault="00252CA3" w:rsidP="00252CA3">
      <w:pPr>
        <w:pStyle w:val="BodyText"/>
      </w:pPr>
      <w:r w:rsidRPr="00315F60">
        <w:t xml:space="preserve">There are potential secondary benefits to be realised through the availability of additional information about Type 1 and Type 2 </w:t>
      </w:r>
      <w:r w:rsidR="00A75F38" w:rsidRPr="00315F60">
        <w:t>resident on resident</w:t>
      </w:r>
      <w:r w:rsidRPr="00315F60">
        <w:t xml:space="preserve"> incidents</w:t>
      </w:r>
      <w:r w:rsidR="001952BF" w:rsidRPr="00315F60">
        <w:t xml:space="preserve">. </w:t>
      </w:r>
      <w:r w:rsidRPr="00315F60">
        <w:t>This includes for the Commission, access to new data to drive service or system level interventions in response to service specific or systemic risks, and an evidence base to inform the development of guidance or education for services</w:t>
      </w:r>
      <w:r w:rsidR="001952BF" w:rsidRPr="00315F60">
        <w:t xml:space="preserve">. </w:t>
      </w:r>
      <w:r w:rsidRPr="00315F60">
        <w:t>Services</w:t>
      </w:r>
      <w:r w:rsidR="00FC5169" w:rsidRPr="00315F60">
        <w:t>,</w:t>
      </w:r>
      <w:r w:rsidRPr="00315F60">
        <w:t xml:space="preserve"> in turn</w:t>
      </w:r>
      <w:r w:rsidR="00FC5169" w:rsidRPr="00315F60">
        <w:t>,</w:t>
      </w:r>
      <w:r w:rsidRPr="00315F60">
        <w:t xml:space="preserve"> may be able to deliver better quality care </w:t>
      </w:r>
      <w:r w:rsidR="00C2193F" w:rsidRPr="00315F60">
        <w:t xml:space="preserve">and services </w:t>
      </w:r>
      <w:r w:rsidRPr="00315F60">
        <w:t>through application of this guidance, resulting in improved care for residents, and better resident experiences</w:t>
      </w:r>
      <w:r w:rsidR="001952BF" w:rsidRPr="00315F60">
        <w:t xml:space="preserve">. </w:t>
      </w:r>
      <w:r w:rsidRPr="00315F60">
        <w:t xml:space="preserve">Through stronger oversight, and the establishment of processes to </w:t>
      </w:r>
      <w:r w:rsidR="00FC5169" w:rsidRPr="00315F60">
        <w:t xml:space="preserve">effectively </w:t>
      </w:r>
      <w:r w:rsidRPr="00315F60">
        <w:t>use the reported data, the public confidence in residential aged care services may also improve.</w:t>
      </w:r>
    </w:p>
    <w:p w:rsidR="00252CA3" w:rsidRPr="00315F60" w:rsidRDefault="00252CA3" w:rsidP="00FA0BA9">
      <w:pPr>
        <w:pStyle w:val="Heading6"/>
      </w:pPr>
      <w:r w:rsidRPr="00315F60">
        <w:lastRenderedPageBreak/>
        <w:t>Limitations of this option</w:t>
      </w:r>
    </w:p>
    <w:p w:rsidR="00C90917" w:rsidRPr="00315F60" w:rsidRDefault="00252CA3" w:rsidP="00252CA3">
      <w:pPr>
        <w:pStyle w:val="BodyText"/>
      </w:pPr>
      <w:r w:rsidRPr="00315F60">
        <w:t xml:space="preserve">This option would result in </w:t>
      </w:r>
      <w:r w:rsidR="00C2193F" w:rsidRPr="00315F60">
        <w:t>services being required to report a higher volume of incidents</w:t>
      </w:r>
      <w:r w:rsidRPr="00315F60">
        <w:t>. Where more reports are to be made, there are subsequent costs for resources required to make the reports</w:t>
      </w:r>
      <w:r w:rsidR="001952BF" w:rsidRPr="00315F60">
        <w:t xml:space="preserve">. </w:t>
      </w:r>
      <w:r w:rsidRPr="00315F60">
        <w:t xml:space="preserve">Further, </w:t>
      </w:r>
      <w:r w:rsidR="00C2193F" w:rsidRPr="00315F60">
        <w:t>time taken to report</w:t>
      </w:r>
      <w:r w:rsidRPr="00315F60">
        <w:t xml:space="preserve"> may displace a different service or provider level activity which may have a larger safety and quality impact than any benefit associated with reporting more incidents.</w:t>
      </w:r>
    </w:p>
    <w:p w:rsidR="00252CA3" w:rsidRPr="00315F60" w:rsidRDefault="00252CA3" w:rsidP="00252CA3">
      <w:pPr>
        <w:pStyle w:val="BodyText"/>
      </w:pPr>
      <w:r w:rsidRPr="00315F60">
        <w:t>Th</w:t>
      </w:r>
      <w:r w:rsidR="00905F0E" w:rsidRPr="00315F60">
        <w:t>e</w:t>
      </w:r>
      <w:r w:rsidRPr="00315F60">
        <w:t xml:space="preserve"> </w:t>
      </w:r>
      <w:r w:rsidR="00C2193F" w:rsidRPr="00315F60">
        <w:t xml:space="preserve">impact </w:t>
      </w:r>
      <w:r w:rsidR="00905F0E" w:rsidRPr="00315F60">
        <w:t xml:space="preserve">of this change </w:t>
      </w:r>
      <w:r w:rsidRPr="00315F60">
        <w:t>would likely be distributed unequally across services. Services with higher volumes of incidents would</w:t>
      </w:r>
      <w:r w:rsidR="00C2193F" w:rsidRPr="00315F60">
        <w:t xml:space="preserve"> need to spend more time reporting than those with lower incident volumes</w:t>
      </w:r>
      <w:r w:rsidRPr="00315F60">
        <w:t xml:space="preserve">. As outlined in </w:t>
      </w:r>
      <w:r w:rsidR="00FC5169" w:rsidRPr="00315F60">
        <w:t>s</w:t>
      </w:r>
      <w:r w:rsidRPr="00315F60">
        <w:t xml:space="preserve">ection </w:t>
      </w:r>
      <w:r w:rsidR="00FC5169" w:rsidRPr="00315F60">
        <w:fldChar w:fldCharType="begin"/>
      </w:r>
      <w:r w:rsidR="00FC5169" w:rsidRPr="00315F60">
        <w:instrText xml:space="preserve"> REF _Ref25423272 \w \h </w:instrText>
      </w:r>
      <w:r w:rsidR="00FC5169" w:rsidRPr="00315F60">
        <w:fldChar w:fldCharType="separate"/>
      </w:r>
      <w:r w:rsidR="004355CA" w:rsidRPr="00315F60">
        <w:t>2.2</w:t>
      </w:r>
      <w:r w:rsidR="00FC5169" w:rsidRPr="00315F60">
        <w:fldChar w:fldCharType="end"/>
      </w:r>
      <w:r w:rsidRPr="00315F60">
        <w:t>, as service size increased</w:t>
      </w:r>
      <w:r w:rsidR="00FC5169" w:rsidRPr="00315F60">
        <w:t>,</w:t>
      </w:r>
      <w:r w:rsidRPr="00315F60">
        <w:t xml:space="preserve"> generally</w:t>
      </w:r>
      <w:r w:rsidR="00FC5169" w:rsidRPr="00315F60">
        <w:t>,</w:t>
      </w:r>
      <w:r w:rsidRPr="00315F60">
        <w:t xml:space="preserve"> the number of Type 1 and Type 2 incidents reported increased</w:t>
      </w:r>
      <w:r w:rsidR="001952BF" w:rsidRPr="00315F60">
        <w:t xml:space="preserve">. </w:t>
      </w:r>
      <w:r w:rsidRPr="00315F60">
        <w:t xml:space="preserve">Services with less mature or less automated incident management reporting systems may also experience </w:t>
      </w:r>
      <w:r w:rsidR="00C2193F" w:rsidRPr="00315F60">
        <w:t>greater difficulties reporting incidents than those services with automated systems</w:t>
      </w:r>
      <w:r w:rsidRPr="00315F60">
        <w:t>.</w:t>
      </w:r>
    </w:p>
    <w:p w:rsidR="00252CA3" w:rsidRPr="00315F60" w:rsidRDefault="00252CA3" w:rsidP="00252CA3">
      <w:pPr>
        <w:pStyle w:val="BodyText"/>
      </w:pPr>
      <w:r w:rsidRPr="00315F60">
        <w:t xml:space="preserve">This option would also </w:t>
      </w:r>
      <w:r w:rsidR="00C2193F" w:rsidRPr="00315F60">
        <w:t>increase the</w:t>
      </w:r>
      <w:r w:rsidR="003E75C8" w:rsidRPr="00315F60">
        <w:t xml:space="preserve"> volume of incidents that the Commission would need to analyse and respond to</w:t>
      </w:r>
      <w:r w:rsidRPr="00315F60">
        <w:t xml:space="preserve">, due to the large additional volume of incidents that would be reported. The greater the </w:t>
      </w:r>
      <w:r w:rsidR="00C2193F" w:rsidRPr="00315F60">
        <w:t xml:space="preserve">level of </w:t>
      </w:r>
      <w:r w:rsidRPr="00315F60">
        <w:t xml:space="preserve">analysis and response </w:t>
      </w:r>
      <w:r w:rsidR="00C2193F" w:rsidRPr="00315F60">
        <w:t>required</w:t>
      </w:r>
      <w:r w:rsidRPr="00315F60">
        <w:t xml:space="preserve">, the more resources the Commission may need </w:t>
      </w:r>
      <w:r w:rsidR="00FC5169" w:rsidRPr="00315F60">
        <w:t xml:space="preserve">in order </w:t>
      </w:r>
      <w:r w:rsidRPr="00315F60">
        <w:t>to complete this work.</w:t>
      </w:r>
    </w:p>
    <w:p w:rsidR="00252CA3" w:rsidRPr="00315F60" w:rsidRDefault="00252CA3" w:rsidP="00252CA3">
      <w:pPr>
        <w:pStyle w:val="BodyText"/>
      </w:pPr>
      <w:r w:rsidRPr="00315F60">
        <w:t xml:space="preserve">While this option would capture incidents which cause higher levels of harm, it </w:t>
      </w:r>
      <w:r w:rsidR="00FC5169" w:rsidRPr="00315F60">
        <w:t xml:space="preserve">would </w:t>
      </w:r>
      <w:r w:rsidRPr="00315F60">
        <w:t>likely also capture a large volume of incidents associated with lower levels of harm.</w:t>
      </w:r>
    </w:p>
    <w:p w:rsidR="00252CA3" w:rsidRPr="00315F60" w:rsidRDefault="00252CA3" w:rsidP="00252CA3">
      <w:pPr>
        <w:pStyle w:val="BodyText"/>
      </w:pPr>
      <w:r w:rsidRPr="00315F60">
        <w:t>This study only collected information about the total number of Type 2 incidents</w:t>
      </w:r>
      <w:r w:rsidR="001952BF" w:rsidRPr="00315F60">
        <w:t xml:space="preserve">. </w:t>
      </w:r>
      <w:r w:rsidRPr="00315F60">
        <w:t>The ease of collecting this information from services is unknown</w:t>
      </w:r>
      <w:r w:rsidR="001952BF" w:rsidRPr="00315F60">
        <w:t xml:space="preserve">. </w:t>
      </w:r>
    </w:p>
    <w:p w:rsidR="00252CA3" w:rsidRPr="00315F60" w:rsidRDefault="00252CA3" w:rsidP="00FA0BA9">
      <w:pPr>
        <w:pStyle w:val="Heading6"/>
      </w:pPr>
      <w:r w:rsidRPr="00315F60">
        <w:t>Summary assessment using principles</w:t>
      </w:r>
    </w:p>
    <w:tbl>
      <w:tblPr>
        <w:tblStyle w:val="TableGrid"/>
        <w:tblW w:w="9636" w:type="dxa"/>
        <w:tblLayout w:type="fixed"/>
        <w:tblLook w:val="04A0" w:firstRow="1" w:lastRow="0" w:firstColumn="1" w:lastColumn="0" w:noHBand="0" w:noVBand="1"/>
        <w:tblDescription w:val="Table shows a summary assessment using principles "/>
      </w:tblPr>
      <w:tblGrid>
        <w:gridCol w:w="2972"/>
        <w:gridCol w:w="1666"/>
        <w:gridCol w:w="1666"/>
        <w:gridCol w:w="1666"/>
        <w:gridCol w:w="1666"/>
      </w:tblGrid>
      <w:tr w:rsidR="00315F60" w:rsidRPr="00315F60" w:rsidTr="00506A16">
        <w:trPr>
          <w:tblHeader/>
        </w:trPr>
        <w:tc>
          <w:tcPr>
            <w:tcW w:w="2972" w:type="dxa"/>
            <w:shd w:val="clear" w:color="auto" w:fill="000000" w:themeFill="text1"/>
          </w:tcPr>
          <w:p w:rsidR="009E7E96" w:rsidRPr="00315F60" w:rsidRDefault="009E7E96" w:rsidP="009E7E96">
            <w:pPr>
              <w:rPr>
                <w:b/>
                <w:sz w:val="18"/>
                <w:szCs w:val="18"/>
              </w:rPr>
            </w:pPr>
            <w:r w:rsidRPr="00315F60">
              <w:rPr>
                <w:b/>
                <w:sz w:val="18"/>
                <w:szCs w:val="18"/>
              </w:rPr>
              <w:t xml:space="preserve">Option </w:t>
            </w:r>
          </w:p>
          <w:p w:rsidR="009E7E96" w:rsidRPr="00315F60" w:rsidRDefault="009E7E96" w:rsidP="009E7E96">
            <w:pPr>
              <w:rPr>
                <w:b/>
                <w:sz w:val="18"/>
                <w:szCs w:val="18"/>
              </w:rPr>
            </w:pPr>
            <w:r w:rsidRPr="00315F60">
              <w:rPr>
                <w:b/>
                <w:sz w:val="18"/>
                <w:szCs w:val="18"/>
              </w:rPr>
              <w:t>(Modelled annual volume)</w:t>
            </w:r>
          </w:p>
          <w:p w:rsidR="009E7E96" w:rsidRPr="00315F60" w:rsidRDefault="009E7E96" w:rsidP="009E7E96">
            <w:pPr>
              <w:rPr>
                <w:b/>
                <w:sz w:val="18"/>
                <w:szCs w:val="18"/>
              </w:rPr>
            </w:pPr>
          </w:p>
        </w:tc>
        <w:tc>
          <w:tcPr>
            <w:tcW w:w="1666" w:type="dxa"/>
            <w:shd w:val="clear" w:color="auto" w:fill="000000" w:themeFill="text1"/>
          </w:tcPr>
          <w:p w:rsidR="009E7E96" w:rsidRPr="00315F60" w:rsidRDefault="009E7E96" w:rsidP="009E7E96">
            <w:pPr>
              <w:rPr>
                <w:b/>
                <w:sz w:val="18"/>
                <w:szCs w:val="18"/>
              </w:rPr>
            </w:pPr>
            <w:r w:rsidRPr="00315F60">
              <w:rPr>
                <w:b/>
                <w:sz w:val="18"/>
                <w:szCs w:val="18"/>
              </w:rPr>
              <w:t>Ease of application</w:t>
            </w:r>
          </w:p>
        </w:tc>
        <w:tc>
          <w:tcPr>
            <w:tcW w:w="1666" w:type="dxa"/>
            <w:shd w:val="clear" w:color="auto" w:fill="000000" w:themeFill="text1"/>
          </w:tcPr>
          <w:p w:rsidR="009E7E96" w:rsidRPr="00315F60" w:rsidRDefault="009E7E96" w:rsidP="009E7E96">
            <w:pPr>
              <w:rPr>
                <w:b/>
                <w:sz w:val="18"/>
                <w:szCs w:val="18"/>
              </w:rPr>
            </w:pPr>
            <w:r w:rsidRPr="00315F60">
              <w:rPr>
                <w:b/>
                <w:sz w:val="18"/>
                <w:szCs w:val="18"/>
              </w:rPr>
              <w:t>Level of reporting by services</w:t>
            </w:r>
          </w:p>
        </w:tc>
        <w:tc>
          <w:tcPr>
            <w:tcW w:w="1666" w:type="dxa"/>
            <w:shd w:val="clear" w:color="auto" w:fill="000000" w:themeFill="text1"/>
          </w:tcPr>
          <w:p w:rsidR="009E7E96" w:rsidRPr="00315F60" w:rsidRDefault="009E7E96" w:rsidP="009E7E96">
            <w:pPr>
              <w:rPr>
                <w:b/>
                <w:sz w:val="18"/>
                <w:szCs w:val="18"/>
              </w:rPr>
            </w:pPr>
            <w:r w:rsidRPr="00315F60">
              <w:rPr>
                <w:b/>
                <w:sz w:val="18"/>
                <w:szCs w:val="18"/>
              </w:rPr>
              <w:t>Regulatory response by the Commission</w:t>
            </w:r>
          </w:p>
        </w:tc>
        <w:tc>
          <w:tcPr>
            <w:tcW w:w="1666" w:type="dxa"/>
            <w:shd w:val="clear" w:color="auto" w:fill="000000" w:themeFill="text1"/>
          </w:tcPr>
          <w:p w:rsidR="009E7E96" w:rsidRPr="00315F60" w:rsidRDefault="009E7E96" w:rsidP="009E7E96">
            <w:pPr>
              <w:rPr>
                <w:b/>
                <w:sz w:val="18"/>
                <w:szCs w:val="18"/>
              </w:rPr>
            </w:pPr>
            <w:r w:rsidRPr="00315F60">
              <w:rPr>
                <w:b/>
                <w:sz w:val="18"/>
                <w:szCs w:val="18"/>
              </w:rPr>
              <w:t>Captures additional information about incidents which cause harm</w:t>
            </w:r>
          </w:p>
        </w:tc>
      </w:tr>
      <w:tr w:rsidR="00315F60" w:rsidRPr="00315F60" w:rsidTr="00881278">
        <w:tc>
          <w:tcPr>
            <w:tcW w:w="2972" w:type="dxa"/>
          </w:tcPr>
          <w:p w:rsidR="00EC05FB" w:rsidRPr="00315F60" w:rsidRDefault="00EC05FB" w:rsidP="00EC05FB">
            <w:pPr>
              <w:pStyle w:val="Tabletext"/>
            </w:pPr>
            <w:r w:rsidRPr="00315F60">
              <w:t xml:space="preserve">Option 1 – all Type 1 and Type 2 incidents </w:t>
            </w:r>
          </w:p>
          <w:p w:rsidR="00EC05FB" w:rsidRPr="00315F60" w:rsidRDefault="00EC05FB" w:rsidP="00EC05FB">
            <w:pPr>
              <w:rPr>
                <w:sz w:val="18"/>
                <w:szCs w:val="18"/>
              </w:rPr>
            </w:pPr>
            <w:r w:rsidRPr="00315F60">
              <w:rPr>
                <w:sz w:val="18"/>
              </w:rPr>
              <w:t>(38,898 Type 1 incidents and 13,757 Type 2 incidents)</w:t>
            </w:r>
          </w:p>
        </w:tc>
        <w:tc>
          <w:tcPr>
            <w:tcW w:w="1666" w:type="dxa"/>
            <w:vAlign w:val="center"/>
          </w:tcPr>
          <w:p w:rsidR="00EC05FB" w:rsidRPr="00315F60" w:rsidRDefault="00881278" w:rsidP="00881278">
            <w:pPr>
              <w:spacing w:after="0"/>
              <w:jc w:val="center"/>
              <w:rPr>
                <w:noProof/>
                <w:szCs w:val="20"/>
                <w:lang w:eastAsia="en-AU"/>
              </w:rPr>
            </w:pPr>
            <w:r w:rsidRPr="00315F60">
              <w:rPr>
                <w:noProof/>
                <w:szCs w:val="20"/>
                <w:lang w:eastAsia="en-AU"/>
              </w:rPr>
              <w:t>Amber</w:t>
            </w:r>
          </w:p>
        </w:tc>
        <w:tc>
          <w:tcPr>
            <w:tcW w:w="1666" w:type="dxa"/>
            <w:vAlign w:val="center"/>
          </w:tcPr>
          <w:p w:rsidR="00EC05FB" w:rsidRPr="00315F60" w:rsidRDefault="00881278" w:rsidP="00881278">
            <w:pPr>
              <w:spacing w:after="0"/>
              <w:jc w:val="center"/>
              <w:rPr>
                <w:noProof/>
                <w:szCs w:val="20"/>
                <w:lang w:eastAsia="en-AU"/>
              </w:rPr>
            </w:pPr>
            <w:r w:rsidRPr="00315F60">
              <w:rPr>
                <w:noProof/>
                <w:szCs w:val="20"/>
                <w:lang w:eastAsia="en-AU"/>
              </w:rPr>
              <w:t>Red</w:t>
            </w:r>
          </w:p>
        </w:tc>
        <w:tc>
          <w:tcPr>
            <w:tcW w:w="1666" w:type="dxa"/>
            <w:vAlign w:val="center"/>
          </w:tcPr>
          <w:p w:rsidR="00EC05FB" w:rsidRPr="00315F60" w:rsidRDefault="00881278" w:rsidP="00881278">
            <w:pPr>
              <w:spacing w:after="0"/>
              <w:jc w:val="center"/>
              <w:rPr>
                <w:noProof/>
                <w:szCs w:val="20"/>
                <w:lang w:eastAsia="en-AU"/>
              </w:rPr>
            </w:pPr>
            <w:r w:rsidRPr="00315F60">
              <w:rPr>
                <w:noProof/>
                <w:szCs w:val="20"/>
                <w:lang w:eastAsia="en-AU"/>
              </w:rPr>
              <w:t>Red</w:t>
            </w:r>
          </w:p>
        </w:tc>
        <w:tc>
          <w:tcPr>
            <w:tcW w:w="1666" w:type="dxa"/>
            <w:vAlign w:val="center"/>
          </w:tcPr>
          <w:p w:rsidR="00EC05FB" w:rsidRPr="00315F60" w:rsidRDefault="00881278" w:rsidP="00881278">
            <w:pPr>
              <w:spacing w:after="0"/>
              <w:jc w:val="center"/>
              <w:rPr>
                <w:noProof/>
                <w:szCs w:val="20"/>
                <w:lang w:eastAsia="en-AU"/>
              </w:rPr>
            </w:pPr>
            <w:r w:rsidRPr="00315F60">
              <w:rPr>
                <w:noProof/>
                <w:szCs w:val="20"/>
                <w:lang w:eastAsia="en-AU"/>
              </w:rPr>
              <w:t>Amber</w:t>
            </w:r>
          </w:p>
        </w:tc>
      </w:tr>
    </w:tbl>
    <w:p w:rsidR="00252CA3" w:rsidRPr="00315F60" w:rsidRDefault="00252CA3" w:rsidP="002F54AD">
      <w:pPr>
        <w:pStyle w:val="Heading4"/>
        <w:rPr>
          <w:color w:val="auto"/>
        </w:rPr>
      </w:pPr>
      <w:r w:rsidRPr="00315F60">
        <w:rPr>
          <w:color w:val="auto"/>
        </w:rPr>
        <w:t>Option 2: Report a subset of Type 1 incidents</w:t>
      </w:r>
    </w:p>
    <w:p w:rsidR="00252CA3" w:rsidRPr="00315F60" w:rsidRDefault="00252CA3" w:rsidP="00252CA3">
      <w:pPr>
        <w:pStyle w:val="BodyText"/>
      </w:pPr>
      <w:r w:rsidRPr="00315F60">
        <w:t>This option involves the reporting of a subset of Type 1 incidents</w:t>
      </w:r>
      <w:r w:rsidR="001952BF" w:rsidRPr="00315F60">
        <w:t xml:space="preserve">. </w:t>
      </w:r>
      <w:r w:rsidRPr="00315F60">
        <w:t>There are a range of different sub-options which are outlined below.</w:t>
      </w:r>
    </w:p>
    <w:p w:rsidR="00252CA3" w:rsidRPr="00315F60" w:rsidRDefault="00252CA3" w:rsidP="00FA0BA9">
      <w:pPr>
        <w:pStyle w:val="Heading5"/>
        <w:rPr>
          <w:color w:val="auto"/>
        </w:rPr>
      </w:pPr>
      <w:r w:rsidRPr="00315F60">
        <w:rPr>
          <w:color w:val="auto"/>
        </w:rPr>
        <w:t>Option 2.1: Report all Type 1 incidents only</w:t>
      </w:r>
    </w:p>
    <w:p w:rsidR="00252CA3" w:rsidRPr="00315F60" w:rsidRDefault="00252CA3" w:rsidP="0093030E">
      <w:pPr>
        <w:pStyle w:val="Heading6"/>
      </w:pPr>
      <w:r w:rsidRPr="00315F60">
        <w:t>Incidents covered by this option</w:t>
      </w:r>
    </w:p>
    <w:p w:rsidR="00252CA3" w:rsidRPr="00315F60" w:rsidRDefault="00252CA3" w:rsidP="00252CA3">
      <w:pPr>
        <w:pStyle w:val="BodyText"/>
      </w:pPr>
      <w:r w:rsidRPr="00315F60">
        <w:t xml:space="preserve">Under this option, all incidents which meet the definition of </w:t>
      </w:r>
      <w:r w:rsidR="007820B2" w:rsidRPr="00315F60">
        <w:t xml:space="preserve">a </w:t>
      </w:r>
      <w:r w:rsidRPr="00315F60">
        <w:t>Type 1 incident would be reported as part of the SIRS. This would be an expansion of the current reportable assaults definition. Based on modelling undertaken as part of this study, this could result in 38,898 Type 1 incidents being reported annually.</w:t>
      </w:r>
    </w:p>
    <w:p w:rsidR="00252CA3" w:rsidRPr="00315F60" w:rsidRDefault="00252CA3" w:rsidP="0093030E">
      <w:pPr>
        <w:pStyle w:val="Heading6"/>
      </w:pPr>
      <w:r w:rsidRPr="00315F60">
        <w:t>Benefits of this option</w:t>
      </w:r>
    </w:p>
    <w:p w:rsidR="00A87B95" w:rsidRPr="00315F60" w:rsidRDefault="00252CA3" w:rsidP="00252CA3">
      <w:pPr>
        <w:pStyle w:val="BodyText"/>
      </w:pPr>
      <w:r w:rsidRPr="00315F60">
        <w:t xml:space="preserve">This option could support the Commission to gain a greater understanding of the number and nature of </w:t>
      </w:r>
      <w:r w:rsidR="00A75F38" w:rsidRPr="00315F60">
        <w:t>resident on resident</w:t>
      </w:r>
      <w:r w:rsidRPr="00315F60">
        <w:t xml:space="preserve"> incidents in residential aged care</w:t>
      </w:r>
      <w:r w:rsidR="001952BF" w:rsidRPr="00315F60">
        <w:t xml:space="preserve">. </w:t>
      </w:r>
      <w:r w:rsidRPr="00315F60">
        <w:t>However, the level of insight would depend on the specific data fields which are collected about these incidents. Given the number of incidents that may be reported</w:t>
      </w:r>
      <w:r w:rsidR="00FC5169" w:rsidRPr="00315F60">
        <w:t>,</w:t>
      </w:r>
      <w:r w:rsidRPr="00315F60">
        <w:t xml:space="preserve"> it is likely that fewer data fields and data fields that are more structured would need to be captured</w:t>
      </w:r>
      <w:r w:rsidR="001952BF" w:rsidRPr="00315F60">
        <w:t xml:space="preserve">. </w:t>
      </w:r>
    </w:p>
    <w:p w:rsidR="00252CA3" w:rsidRPr="00315F60" w:rsidRDefault="00252CA3" w:rsidP="00252CA3">
      <w:pPr>
        <w:pStyle w:val="BodyText"/>
      </w:pPr>
      <w:r w:rsidRPr="00315F60">
        <w:lastRenderedPageBreak/>
        <w:t>There are potential secondary benefits to be realised through the availability of additional information about Type 1 incidents. This includes</w:t>
      </w:r>
      <w:r w:rsidR="00FC5169" w:rsidRPr="00315F60">
        <w:t>,</w:t>
      </w:r>
      <w:r w:rsidRPr="00315F60">
        <w:t xml:space="preserve"> for the Commission, access to new data to drive service or system level interventions in response to service specific or systemic risks, and an evidence base to inform the development of guidance or education for services</w:t>
      </w:r>
      <w:r w:rsidR="001952BF" w:rsidRPr="00315F60">
        <w:t xml:space="preserve">. </w:t>
      </w:r>
      <w:r w:rsidRPr="00315F60">
        <w:t>Services</w:t>
      </w:r>
      <w:r w:rsidR="00FC5169" w:rsidRPr="00315F60">
        <w:t>,</w:t>
      </w:r>
      <w:r w:rsidRPr="00315F60">
        <w:t xml:space="preserve"> in turn</w:t>
      </w:r>
      <w:r w:rsidR="00FC5169" w:rsidRPr="00315F60">
        <w:t>,</w:t>
      </w:r>
      <w:r w:rsidRPr="00315F60">
        <w:t xml:space="preserve"> may be able to deliver better quality care through application of this guidance, resulting in improved care for residents and better resident experiences</w:t>
      </w:r>
      <w:r w:rsidR="001952BF" w:rsidRPr="00315F60">
        <w:t xml:space="preserve">. </w:t>
      </w:r>
      <w:r w:rsidRPr="00315F60">
        <w:t>Through stronger oversight, and the establishment of processes to use the reported data effectively, the public confidence in residential aged care services may also improve.</w:t>
      </w:r>
    </w:p>
    <w:p w:rsidR="00252CA3" w:rsidRPr="00315F60" w:rsidRDefault="00252CA3" w:rsidP="00252CA3">
      <w:pPr>
        <w:pStyle w:val="BodyText"/>
      </w:pPr>
      <w:r w:rsidRPr="00315F60">
        <w:t>Implementing this reporting should not be complex. Services are already required to record these incidents and therefore should be able to</w:t>
      </w:r>
      <w:r w:rsidR="00FC5169" w:rsidRPr="00315F60">
        <w:t xml:space="preserve"> easily</w:t>
      </w:r>
      <w:r w:rsidRPr="00315F60">
        <w:t xml:space="preserve"> identify them. </w:t>
      </w:r>
    </w:p>
    <w:p w:rsidR="00252CA3" w:rsidRPr="00315F60" w:rsidRDefault="00252CA3" w:rsidP="0093030E">
      <w:pPr>
        <w:pStyle w:val="Heading6"/>
      </w:pPr>
      <w:r w:rsidRPr="00315F60">
        <w:t>Limitations of this option</w:t>
      </w:r>
    </w:p>
    <w:p w:rsidR="00252CA3" w:rsidRPr="00315F60" w:rsidRDefault="00252CA3" w:rsidP="00252CA3">
      <w:pPr>
        <w:pStyle w:val="BodyText"/>
      </w:pPr>
      <w:r w:rsidRPr="00315F60">
        <w:t xml:space="preserve">This option would result in </w:t>
      </w:r>
      <w:r w:rsidR="00905F0E" w:rsidRPr="00315F60">
        <w:t>services being required to report a higher volume of incidents</w:t>
      </w:r>
      <w:r w:rsidR="001952BF" w:rsidRPr="00315F60">
        <w:t xml:space="preserve">. </w:t>
      </w:r>
      <w:r w:rsidRPr="00315F60">
        <w:t>Where more reports are to be made, there are subsequent costs to services for the resources required to make the reports</w:t>
      </w:r>
      <w:r w:rsidR="001952BF" w:rsidRPr="00315F60">
        <w:t xml:space="preserve">. </w:t>
      </w:r>
      <w:r w:rsidR="00905F0E" w:rsidRPr="00315F60">
        <w:t xml:space="preserve">Time taken to report may </w:t>
      </w:r>
      <w:r w:rsidRPr="00315F60">
        <w:t>displace a different service or provider level activity which may have a larger safety and quality impact than any benefit associated with reporting more incidents.</w:t>
      </w:r>
    </w:p>
    <w:p w:rsidR="00905F0E" w:rsidRPr="00315F60" w:rsidRDefault="00905F0E" w:rsidP="00905F0E">
      <w:pPr>
        <w:pStyle w:val="BodyText"/>
      </w:pPr>
      <w:r w:rsidRPr="00315F60">
        <w:t>The impact of this change would likely be distributed unequally across services. Services with higher volumes of incidents would need to spend more time reporting than those with lower incident volumes. Services with less mature or less automated incident management reporting systems may also experience greater difficulties reporting incidents than those services with automated systems.</w:t>
      </w:r>
    </w:p>
    <w:p w:rsidR="00252CA3" w:rsidRPr="00315F60" w:rsidRDefault="00FC5169" w:rsidP="00252CA3">
      <w:pPr>
        <w:pStyle w:val="BodyText"/>
      </w:pPr>
      <w:r w:rsidRPr="00315F60">
        <w:t>Also, t</w:t>
      </w:r>
      <w:r w:rsidR="00252CA3" w:rsidRPr="00315F60">
        <w:t xml:space="preserve">his option would still </w:t>
      </w:r>
      <w:r w:rsidR="00905F0E" w:rsidRPr="00315F60">
        <w:t xml:space="preserve">increase the </w:t>
      </w:r>
      <w:r w:rsidR="003E75C8" w:rsidRPr="00315F60">
        <w:t>volume of incidents that the Commission would need to analyse and respond to</w:t>
      </w:r>
      <w:r w:rsidR="00252CA3" w:rsidRPr="00315F60">
        <w:t xml:space="preserve">, due to the large additional volume of incidents that would be reported. </w:t>
      </w:r>
      <w:r w:rsidR="00D656A9" w:rsidRPr="00315F60">
        <w:t>The greater the level of analysis and response required, the more resources the Commission may need in order to complete this work.</w:t>
      </w:r>
    </w:p>
    <w:p w:rsidR="00252CA3" w:rsidRPr="00315F60" w:rsidRDefault="00252CA3" w:rsidP="00252CA3">
      <w:pPr>
        <w:pStyle w:val="BodyText"/>
      </w:pPr>
      <w:r w:rsidRPr="00315F60">
        <w:t xml:space="preserve">While this option would capture incidents which cause higher levels of harm, it </w:t>
      </w:r>
      <w:r w:rsidR="00FC5169" w:rsidRPr="00315F60">
        <w:t xml:space="preserve">would </w:t>
      </w:r>
      <w:r w:rsidRPr="00315F60">
        <w:t>also capture other incidents</w:t>
      </w:r>
      <w:r w:rsidR="001952BF" w:rsidRPr="00315F60">
        <w:t xml:space="preserve">. </w:t>
      </w:r>
    </w:p>
    <w:p w:rsidR="00252CA3" w:rsidRPr="00315F60" w:rsidRDefault="00252CA3" w:rsidP="0093030E">
      <w:pPr>
        <w:pStyle w:val="Heading6"/>
      </w:pPr>
      <w:r w:rsidRPr="00315F60">
        <w:t>Summary assessment using principles</w:t>
      </w:r>
    </w:p>
    <w:tbl>
      <w:tblPr>
        <w:tblStyle w:val="TableGrid"/>
        <w:tblW w:w="9636" w:type="dxa"/>
        <w:tblLayout w:type="fixed"/>
        <w:tblLook w:val="04A0" w:firstRow="1" w:lastRow="0" w:firstColumn="1" w:lastColumn="0" w:noHBand="0" w:noVBand="1"/>
        <w:tblDescription w:val="Table showing summary of assessment using principles of reporting all Type 1 incidents only. "/>
      </w:tblPr>
      <w:tblGrid>
        <w:gridCol w:w="2972"/>
        <w:gridCol w:w="1666"/>
        <w:gridCol w:w="1666"/>
        <w:gridCol w:w="1666"/>
        <w:gridCol w:w="1666"/>
      </w:tblGrid>
      <w:tr w:rsidR="00315F60" w:rsidRPr="00315F60" w:rsidTr="00506A16">
        <w:trPr>
          <w:tblHeader/>
        </w:trPr>
        <w:tc>
          <w:tcPr>
            <w:tcW w:w="2972" w:type="dxa"/>
            <w:shd w:val="clear" w:color="auto" w:fill="000000" w:themeFill="text1"/>
          </w:tcPr>
          <w:p w:rsidR="009E7E96" w:rsidRPr="00315F60" w:rsidRDefault="009E7E96" w:rsidP="00FA0BA9">
            <w:pPr>
              <w:pStyle w:val="Tableheading"/>
              <w:rPr>
                <w:color w:val="auto"/>
              </w:rPr>
            </w:pPr>
            <w:r w:rsidRPr="00315F60">
              <w:rPr>
                <w:color w:val="auto"/>
              </w:rPr>
              <w:t xml:space="preserve">Option </w:t>
            </w:r>
          </w:p>
          <w:p w:rsidR="009E7E96" w:rsidRPr="00315F60" w:rsidRDefault="009E7E96" w:rsidP="00FA0BA9">
            <w:pPr>
              <w:pStyle w:val="Tableheading"/>
              <w:rPr>
                <w:color w:val="auto"/>
              </w:rPr>
            </w:pPr>
            <w:r w:rsidRPr="00315F60">
              <w:rPr>
                <w:color w:val="auto"/>
              </w:rPr>
              <w:t>(Modelled annual volume)</w:t>
            </w:r>
          </w:p>
          <w:p w:rsidR="009E7E96" w:rsidRPr="00315F60" w:rsidRDefault="009E7E96" w:rsidP="00FA0BA9">
            <w:pPr>
              <w:pStyle w:val="Tableheading"/>
              <w:rPr>
                <w:color w:val="auto"/>
              </w:rPr>
            </w:pP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Ease of application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Level of reporting by services</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Regulatory response by the Commission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Captures additional information about incidents which cause harm</w:t>
            </w:r>
          </w:p>
        </w:tc>
      </w:tr>
      <w:tr w:rsidR="00315F60" w:rsidRPr="00315F60" w:rsidTr="004841CE">
        <w:tc>
          <w:tcPr>
            <w:tcW w:w="2972" w:type="dxa"/>
          </w:tcPr>
          <w:p w:rsidR="00EC05FB" w:rsidRPr="00315F60" w:rsidRDefault="00EC05FB" w:rsidP="00EC05FB">
            <w:pPr>
              <w:rPr>
                <w:sz w:val="18"/>
                <w:szCs w:val="18"/>
              </w:rPr>
            </w:pPr>
            <w:r w:rsidRPr="00315F60">
              <w:rPr>
                <w:sz w:val="18"/>
                <w:szCs w:val="18"/>
              </w:rPr>
              <w:t>2.1 All Type 1 incidents only</w:t>
            </w:r>
          </w:p>
          <w:p w:rsidR="00EC05FB" w:rsidRPr="00315F60" w:rsidRDefault="00EC05FB" w:rsidP="00EC05FB">
            <w:pPr>
              <w:rPr>
                <w:sz w:val="18"/>
                <w:szCs w:val="18"/>
              </w:rPr>
            </w:pPr>
            <w:r w:rsidRPr="00315F60">
              <w:rPr>
                <w:sz w:val="18"/>
                <w:szCs w:val="18"/>
              </w:rPr>
              <w:t>(38,898 incidents)</w:t>
            </w:r>
          </w:p>
        </w:tc>
        <w:tc>
          <w:tcPr>
            <w:tcW w:w="1666" w:type="dxa"/>
            <w:vAlign w:val="center"/>
          </w:tcPr>
          <w:p w:rsidR="00EC05FB" w:rsidRPr="00315F60" w:rsidRDefault="004841CE" w:rsidP="004841CE">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RDefault="004841CE" w:rsidP="004841CE">
            <w:pPr>
              <w:spacing w:after="0"/>
              <w:jc w:val="center"/>
              <w:rPr>
                <w:noProof/>
                <w:szCs w:val="20"/>
                <w:lang w:eastAsia="en-AU"/>
              </w:rPr>
            </w:pPr>
            <w:r w:rsidRPr="00315F60">
              <w:rPr>
                <w:noProof/>
                <w:szCs w:val="20"/>
                <w:lang w:eastAsia="en-AU"/>
              </w:rPr>
              <w:t>Red</w:t>
            </w:r>
          </w:p>
        </w:tc>
        <w:tc>
          <w:tcPr>
            <w:tcW w:w="1666" w:type="dxa"/>
            <w:vAlign w:val="center"/>
          </w:tcPr>
          <w:p w:rsidR="00EC05FB" w:rsidRPr="00315F60" w:rsidRDefault="004841CE" w:rsidP="004841CE">
            <w:pPr>
              <w:spacing w:after="0"/>
              <w:jc w:val="center"/>
              <w:rPr>
                <w:noProof/>
                <w:szCs w:val="20"/>
                <w:lang w:eastAsia="en-AU"/>
              </w:rPr>
            </w:pPr>
            <w:r w:rsidRPr="00315F60">
              <w:rPr>
                <w:noProof/>
                <w:szCs w:val="20"/>
                <w:lang w:eastAsia="en-AU"/>
              </w:rPr>
              <w:t>Red</w:t>
            </w:r>
          </w:p>
        </w:tc>
        <w:tc>
          <w:tcPr>
            <w:tcW w:w="1666" w:type="dxa"/>
            <w:vAlign w:val="center"/>
          </w:tcPr>
          <w:p w:rsidR="00EC05FB" w:rsidRPr="00315F60" w:rsidRDefault="004841CE" w:rsidP="004841CE">
            <w:pPr>
              <w:spacing w:after="0"/>
              <w:jc w:val="center"/>
              <w:rPr>
                <w:noProof/>
                <w:szCs w:val="20"/>
                <w:lang w:eastAsia="en-AU"/>
              </w:rPr>
            </w:pPr>
            <w:r w:rsidRPr="00315F60">
              <w:rPr>
                <w:noProof/>
                <w:szCs w:val="20"/>
                <w:lang w:eastAsia="en-AU"/>
              </w:rPr>
              <w:t>Amber</w:t>
            </w:r>
          </w:p>
        </w:tc>
      </w:tr>
    </w:tbl>
    <w:p w:rsidR="00252CA3" w:rsidRPr="00315F60" w:rsidRDefault="00252CA3" w:rsidP="00FA0BA9">
      <w:pPr>
        <w:pStyle w:val="Heading5"/>
        <w:rPr>
          <w:color w:val="auto"/>
        </w:rPr>
      </w:pPr>
      <w:r w:rsidRPr="00315F60">
        <w:rPr>
          <w:color w:val="auto"/>
        </w:rPr>
        <w:t>Option 2.</w:t>
      </w:r>
      <w:r w:rsidR="00C90917" w:rsidRPr="00315F60">
        <w:rPr>
          <w:color w:val="auto"/>
        </w:rPr>
        <w:t>2</w:t>
      </w:r>
      <w:r w:rsidRPr="00315F60">
        <w:rPr>
          <w:color w:val="auto"/>
        </w:rPr>
        <w:t>: Report all Type 1 incidents involving unreasonable use of force only</w:t>
      </w:r>
    </w:p>
    <w:p w:rsidR="00252CA3" w:rsidRPr="00315F60" w:rsidRDefault="00252CA3" w:rsidP="0093030E">
      <w:pPr>
        <w:pStyle w:val="Heading6"/>
      </w:pPr>
      <w:r w:rsidRPr="00315F60">
        <w:t>Incidents covered by this option</w:t>
      </w:r>
    </w:p>
    <w:p w:rsidR="00252CA3" w:rsidRPr="00315F60" w:rsidRDefault="00252CA3" w:rsidP="00252CA3">
      <w:pPr>
        <w:pStyle w:val="BodyText"/>
      </w:pPr>
      <w:r w:rsidRPr="00315F60">
        <w:t xml:space="preserve">Under this option, incidents which meet the definition of </w:t>
      </w:r>
      <w:r w:rsidR="007820B2" w:rsidRPr="00315F60">
        <w:t xml:space="preserve">a </w:t>
      </w:r>
      <w:r w:rsidRPr="00315F60">
        <w:t xml:space="preserve">Type 1 incident </w:t>
      </w:r>
      <w:r w:rsidRPr="00315F60">
        <w:rPr>
          <w:b/>
          <w:u w:val="single"/>
        </w:rPr>
        <w:t>and</w:t>
      </w:r>
      <w:r w:rsidRPr="00315F60">
        <w:t xml:space="preserve"> which involve unreasonable use of force would be reported as part of the SIRS. This would be an expansion of the current reportable assaults definition</w:t>
      </w:r>
      <w:r w:rsidR="001952BF" w:rsidRPr="00315F60">
        <w:t xml:space="preserve">. </w:t>
      </w:r>
      <w:r w:rsidRPr="00315F60">
        <w:t xml:space="preserve">Based on modelling undertaken as part of this study, this option could result in an additional </w:t>
      </w:r>
      <w:r w:rsidR="00FB34DD" w:rsidRPr="00315F60">
        <w:t>36,892</w:t>
      </w:r>
      <w:r w:rsidRPr="00315F60">
        <w:t xml:space="preserve"> incidents being reported annually. </w:t>
      </w:r>
    </w:p>
    <w:p w:rsidR="00252CA3" w:rsidRPr="00315F60" w:rsidRDefault="00252CA3" w:rsidP="00252CA3">
      <w:pPr>
        <w:pStyle w:val="BodyText"/>
      </w:pPr>
      <w:r w:rsidRPr="00315F60">
        <w:t>The study identified one incident which involved both unlawful sexual contact and unreasonable use of force</w:t>
      </w:r>
      <w:r w:rsidR="001952BF" w:rsidRPr="00315F60">
        <w:t xml:space="preserve">. </w:t>
      </w:r>
      <w:r w:rsidRPr="00315F60">
        <w:t>While this finding suggests these incidents are uncommon, a decision would need to be made as to whether incidents covering both incident categories would be included under this option.</w:t>
      </w:r>
    </w:p>
    <w:p w:rsidR="00252CA3" w:rsidRPr="00315F60" w:rsidRDefault="00252CA3" w:rsidP="0093030E">
      <w:pPr>
        <w:pStyle w:val="Heading6"/>
      </w:pPr>
      <w:r w:rsidRPr="00315F60">
        <w:t>Benefits of this option</w:t>
      </w:r>
    </w:p>
    <w:p w:rsidR="00252CA3" w:rsidRPr="00315F60" w:rsidRDefault="00252CA3" w:rsidP="00252CA3">
      <w:pPr>
        <w:pStyle w:val="BodyText"/>
      </w:pPr>
      <w:r w:rsidRPr="00315F60">
        <w:t xml:space="preserve">The benefit of this option is that it would direct focus on the most common type of </w:t>
      </w:r>
      <w:r w:rsidR="00A75F38" w:rsidRPr="00315F60">
        <w:t>resident on resident</w:t>
      </w:r>
      <w:r w:rsidRPr="00315F60">
        <w:t xml:space="preserve"> incident identified in the study. This means that the data collected could be used to help the Commission understand more about these incidents. </w:t>
      </w:r>
    </w:p>
    <w:p w:rsidR="00C90917" w:rsidRPr="00315F60" w:rsidRDefault="00252CA3" w:rsidP="00252CA3">
      <w:pPr>
        <w:pStyle w:val="BodyText"/>
      </w:pPr>
      <w:r w:rsidRPr="00315F60">
        <w:lastRenderedPageBreak/>
        <w:t>There are potential secondary benefits to be realised through the availability of additional information about Type 1 incidents involving unreasonable use of force</w:t>
      </w:r>
      <w:r w:rsidR="001952BF" w:rsidRPr="00315F60">
        <w:t xml:space="preserve">. </w:t>
      </w:r>
      <w:r w:rsidRPr="00315F60">
        <w:t>This includes</w:t>
      </w:r>
      <w:r w:rsidR="00FC5169" w:rsidRPr="00315F60">
        <w:t>,</w:t>
      </w:r>
      <w:r w:rsidRPr="00315F60">
        <w:t xml:space="preserve"> for the Commission, access to new data to drive service or system level interventions in response to service specific or systemic risks, and an evidence base to inform the development of guidance or education for services</w:t>
      </w:r>
      <w:r w:rsidR="001952BF" w:rsidRPr="00315F60">
        <w:t xml:space="preserve">. </w:t>
      </w:r>
      <w:r w:rsidRPr="00315F60">
        <w:t>Services</w:t>
      </w:r>
      <w:r w:rsidR="00FC5169" w:rsidRPr="00315F60">
        <w:t>,</w:t>
      </w:r>
      <w:r w:rsidRPr="00315F60">
        <w:t xml:space="preserve"> in turn</w:t>
      </w:r>
      <w:r w:rsidR="00FC5169" w:rsidRPr="00315F60">
        <w:t>,</w:t>
      </w:r>
      <w:r w:rsidRPr="00315F60">
        <w:t xml:space="preserve"> may be able to deliver better quality care</w:t>
      </w:r>
      <w:r w:rsidR="00D656A9" w:rsidRPr="00315F60">
        <w:t xml:space="preserve"> and services</w:t>
      </w:r>
      <w:r w:rsidRPr="00315F60">
        <w:t xml:space="preserve"> through application of this guidance, resulting in improved care for residents and better resident experiences</w:t>
      </w:r>
      <w:r w:rsidR="001952BF" w:rsidRPr="00315F60">
        <w:t xml:space="preserve">. </w:t>
      </w:r>
      <w:r w:rsidRPr="00315F60">
        <w:t xml:space="preserve">Through stronger oversight, and the establishment of processes to </w:t>
      </w:r>
      <w:r w:rsidR="00FC5169" w:rsidRPr="00315F60">
        <w:t xml:space="preserve">effectively </w:t>
      </w:r>
      <w:r w:rsidRPr="00315F60">
        <w:t>use the reported data, the public confidence in residential aged care services may also improve</w:t>
      </w:r>
      <w:r w:rsidR="00FC5169" w:rsidRPr="00315F60">
        <w:t>.</w:t>
      </w:r>
    </w:p>
    <w:p w:rsidR="00252CA3" w:rsidRPr="00315F60" w:rsidRDefault="00252CA3" w:rsidP="00252CA3">
      <w:pPr>
        <w:pStyle w:val="BodyText"/>
      </w:pPr>
      <w:r w:rsidRPr="00315F60">
        <w:t>There is a marginal benefit in this option when compared to collecting information about all Type 1 incidents (Option 2.1) in that there would be a reduction in the volume of incidents and</w:t>
      </w:r>
      <w:r w:rsidR="00D656A9" w:rsidRPr="00315F60">
        <w:t>,</w:t>
      </w:r>
      <w:r w:rsidRPr="00315F60">
        <w:t xml:space="preserve"> in turn</w:t>
      </w:r>
      <w:r w:rsidR="00D656A9" w:rsidRPr="00315F60">
        <w:t>,</w:t>
      </w:r>
      <w:r w:rsidRPr="00315F60">
        <w:t xml:space="preserve"> </w:t>
      </w:r>
      <w:r w:rsidR="00D656A9" w:rsidRPr="00315F60">
        <w:t>the level of reporting required by services</w:t>
      </w:r>
      <w:r w:rsidRPr="00315F60">
        <w:t xml:space="preserve"> and the</w:t>
      </w:r>
      <w:r w:rsidR="00D656A9" w:rsidRPr="00315F60">
        <w:t xml:space="preserve"> response required by the</w:t>
      </w:r>
      <w:r w:rsidRPr="00315F60">
        <w:t xml:space="preserve"> Commission. However, given that unreasonable use of force constitutes 95 per cent of all Type 1 incidents, this benefit is small.</w:t>
      </w:r>
    </w:p>
    <w:p w:rsidR="00A5098B" w:rsidRPr="00315F60" w:rsidRDefault="00252CA3" w:rsidP="00252CA3">
      <w:pPr>
        <w:pStyle w:val="BodyText"/>
      </w:pPr>
      <w:r w:rsidRPr="00315F60">
        <w:t>Implementation of this option should be straightforward. Services are already familiar with these incidents, as they are already required to record informat</w:t>
      </w:r>
      <w:r w:rsidR="00FA0BA9" w:rsidRPr="00315F60">
        <w:t>ion about them.</w:t>
      </w:r>
    </w:p>
    <w:p w:rsidR="00252CA3" w:rsidRPr="00315F60" w:rsidRDefault="00252CA3" w:rsidP="0093030E">
      <w:pPr>
        <w:pStyle w:val="Heading6"/>
      </w:pPr>
      <w:r w:rsidRPr="00315F60">
        <w:t>Limitations of this option</w:t>
      </w:r>
    </w:p>
    <w:p w:rsidR="00252CA3" w:rsidRPr="00315F60" w:rsidRDefault="00252CA3" w:rsidP="00252CA3">
      <w:pPr>
        <w:pStyle w:val="BodyText"/>
      </w:pPr>
      <w:r w:rsidRPr="00315F60">
        <w:t xml:space="preserve">Because these incidents constitute the vast majority of </w:t>
      </w:r>
      <w:r w:rsidR="00A75F38" w:rsidRPr="00315F60">
        <w:t>resident on resident</w:t>
      </w:r>
      <w:r w:rsidRPr="00315F60">
        <w:t xml:space="preserve"> incidents, the volume of incidents reported under this option would still be high. As such, this option would</w:t>
      </w:r>
      <w:r w:rsidR="00D656A9" w:rsidRPr="00315F60">
        <w:t xml:space="preserve"> still</w:t>
      </w:r>
      <w:r w:rsidRPr="00315F60">
        <w:t xml:space="preserve"> result in</w:t>
      </w:r>
      <w:r w:rsidR="00D656A9" w:rsidRPr="00315F60">
        <w:t xml:space="preserve"> services being required to report a higher volume of incidents</w:t>
      </w:r>
      <w:r w:rsidR="001952BF" w:rsidRPr="00315F60">
        <w:t xml:space="preserve">. </w:t>
      </w:r>
      <w:r w:rsidRPr="00315F60">
        <w:t>Where more reports are to be made, there are subsequent costs to services for the resources required to make the reports</w:t>
      </w:r>
      <w:r w:rsidR="001952BF" w:rsidRPr="00315F60">
        <w:t xml:space="preserve">. </w:t>
      </w:r>
      <w:r w:rsidRPr="00315F60">
        <w:t>Further</w:t>
      </w:r>
      <w:r w:rsidR="00FC5169" w:rsidRPr="00315F60">
        <w:t>more</w:t>
      </w:r>
      <w:r w:rsidRPr="00315F60">
        <w:t xml:space="preserve">, </w:t>
      </w:r>
      <w:r w:rsidR="00D656A9" w:rsidRPr="00315F60">
        <w:t xml:space="preserve">time taken to report </w:t>
      </w:r>
      <w:r w:rsidRPr="00315F60">
        <w:t>may displace a different service or provider level activity which may have a larger safety and quality impact than any benefit associated with reporting more incidents. Th</w:t>
      </w:r>
      <w:r w:rsidR="00D656A9" w:rsidRPr="00315F60">
        <w:t xml:space="preserve">e impact of this change </w:t>
      </w:r>
      <w:r w:rsidRPr="00315F60">
        <w:t xml:space="preserve">would likely be distributed unequally across services. </w:t>
      </w:r>
      <w:r w:rsidR="00D656A9" w:rsidRPr="00315F60">
        <w:t>Services with higher volumes of incidents would need to spend more time reporting than those with lower incident volumes. Services with less mature or less automated incident management reporting systems may also experience greater difficulties reporting incidents than those services with automated systems.</w:t>
      </w:r>
    </w:p>
    <w:p w:rsidR="00D656A9" w:rsidRPr="00315F60" w:rsidRDefault="00D656A9" w:rsidP="00D656A9">
      <w:pPr>
        <w:pStyle w:val="BodyText"/>
      </w:pPr>
      <w:r w:rsidRPr="00315F60">
        <w:t xml:space="preserve">Also, this option would still increase the </w:t>
      </w:r>
      <w:r w:rsidR="003E75C8" w:rsidRPr="00315F60">
        <w:t>volume of incidents that the Commission would need to analyse and respond to</w:t>
      </w:r>
      <w:r w:rsidRPr="00315F60">
        <w:t>, due to the large additional volume of incidents that would be reported. The greater the level of analysis and response required, the more resources the Commission may need in order to complete this work.</w:t>
      </w:r>
    </w:p>
    <w:p w:rsidR="00252CA3" w:rsidRPr="00315F60" w:rsidRDefault="00252CA3" w:rsidP="00252CA3">
      <w:pPr>
        <w:pStyle w:val="BodyText"/>
      </w:pPr>
      <w:r w:rsidRPr="00315F60">
        <w:t>Further, by collecting information about unreasonable use of force only, it excludes instances of unlawful sexual contact</w:t>
      </w:r>
      <w:r w:rsidR="001952BF" w:rsidRPr="00315F60">
        <w:t xml:space="preserve">. </w:t>
      </w:r>
      <w:r w:rsidRPr="00315F60">
        <w:t xml:space="preserve">While the study findings indicate that these constitute only a small percentage of </w:t>
      </w:r>
      <w:r w:rsidR="00A75F38" w:rsidRPr="00315F60">
        <w:t>resident on resident</w:t>
      </w:r>
      <w:r w:rsidRPr="00315F60">
        <w:t xml:space="preserve"> incidents, these are still serious incidents (i.e. they meet the definition of a reportable assault)</w:t>
      </w:r>
      <w:r w:rsidR="001952BF" w:rsidRPr="00315F60">
        <w:t xml:space="preserve">. </w:t>
      </w:r>
      <w:r w:rsidRPr="00315F60">
        <w:t xml:space="preserve">Without their inclusion in the dataset, the Commission will not only be unable to keep sight of the prevalence of these, but their absence may contribute to less insight about the nature of these incidents, and therefore </w:t>
      </w:r>
      <w:r w:rsidR="00C159C2" w:rsidRPr="00315F60">
        <w:t xml:space="preserve">less </w:t>
      </w:r>
      <w:r w:rsidRPr="00315F60">
        <w:t>information</w:t>
      </w:r>
      <w:r w:rsidR="00C159C2" w:rsidRPr="00315F60">
        <w:t>,</w:t>
      </w:r>
      <w:r w:rsidRPr="00315F60">
        <w:t xml:space="preserve"> which may help inform strategies to reduce the incidence of unlawful sexual con</w:t>
      </w:r>
      <w:r w:rsidR="00C5303E" w:rsidRPr="00315F60">
        <w:t>tact</w:t>
      </w:r>
      <w:r w:rsidRPr="00315F60">
        <w:t xml:space="preserve"> in </w:t>
      </w:r>
      <w:r w:rsidR="00A75F38" w:rsidRPr="00315F60">
        <w:t>resident on resident</w:t>
      </w:r>
      <w:r w:rsidRPr="00315F60">
        <w:t xml:space="preserve"> incidents in the future. This may have a negative impact on the quality of care and experiences of residents.</w:t>
      </w:r>
    </w:p>
    <w:p w:rsidR="00A87B95" w:rsidRPr="00315F60" w:rsidRDefault="00252CA3" w:rsidP="00252CA3">
      <w:pPr>
        <w:pStyle w:val="BodyText"/>
      </w:pPr>
      <w:r w:rsidRPr="00315F60">
        <w:t xml:space="preserve">While this option would likely capture incidents causing harm, it </w:t>
      </w:r>
      <w:r w:rsidR="00C159C2" w:rsidRPr="00315F60">
        <w:t xml:space="preserve">would </w:t>
      </w:r>
      <w:r w:rsidRPr="00315F60">
        <w:t>also capture incidents associated with lower levels or no harm to the victim</w:t>
      </w:r>
      <w:r w:rsidR="001952BF" w:rsidRPr="00315F60">
        <w:t xml:space="preserve">. </w:t>
      </w:r>
    </w:p>
    <w:p w:rsidR="00252CA3" w:rsidRPr="00315F60" w:rsidRDefault="00252CA3" w:rsidP="0093030E">
      <w:pPr>
        <w:pStyle w:val="Heading6"/>
      </w:pPr>
      <w:r w:rsidRPr="00315F60">
        <w:t>Summary assessment using principles</w:t>
      </w:r>
    </w:p>
    <w:tbl>
      <w:tblPr>
        <w:tblStyle w:val="TableGrid"/>
        <w:tblW w:w="9636" w:type="dxa"/>
        <w:tblLayout w:type="fixed"/>
        <w:tblLook w:val="04A0" w:firstRow="1" w:lastRow="0" w:firstColumn="1" w:lastColumn="0" w:noHBand="0" w:noVBand="1"/>
        <w:tblDescription w:val="Table showing a summary assessment using principles of report all Type 1 incidents involving unreasonable use of force only"/>
      </w:tblPr>
      <w:tblGrid>
        <w:gridCol w:w="2972"/>
        <w:gridCol w:w="1666"/>
        <w:gridCol w:w="1666"/>
        <w:gridCol w:w="1666"/>
        <w:gridCol w:w="1666"/>
      </w:tblGrid>
      <w:tr w:rsidR="00315F60" w:rsidRPr="00315F60" w:rsidTr="00506A16">
        <w:trPr>
          <w:tblHeader/>
        </w:trPr>
        <w:tc>
          <w:tcPr>
            <w:tcW w:w="2972" w:type="dxa"/>
            <w:shd w:val="clear" w:color="auto" w:fill="000000" w:themeFill="text1"/>
          </w:tcPr>
          <w:p w:rsidR="009E7E96" w:rsidRPr="00315F60" w:rsidRDefault="009E7E96" w:rsidP="00FA0BA9">
            <w:pPr>
              <w:pStyle w:val="Tableheading"/>
              <w:rPr>
                <w:color w:val="auto"/>
              </w:rPr>
            </w:pPr>
            <w:r w:rsidRPr="00315F60">
              <w:rPr>
                <w:color w:val="auto"/>
              </w:rPr>
              <w:t xml:space="preserve">Option </w:t>
            </w:r>
          </w:p>
          <w:p w:rsidR="009E7E96" w:rsidRPr="00315F60" w:rsidRDefault="009E7E96" w:rsidP="00FA0BA9">
            <w:pPr>
              <w:pStyle w:val="Tableheading"/>
              <w:rPr>
                <w:color w:val="auto"/>
              </w:rPr>
            </w:pPr>
            <w:r w:rsidRPr="00315F60">
              <w:rPr>
                <w:color w:val="auto"/>
              </w:rPr>
              <w:t>(Modelled annual volume)</w:t>
            </w:r>
          </w:p>
          <w:p w:rsidR="009E7E96" w:rsidRPr="00315F60" w:rsidRDefault="009E7E96" w:rsidP="00FA0BA9">
            <w:pPr>
              <w:pStyle w:val="Tableheading"/>
              <w:rPr>
                <w:color w:val="auto"/>
              </w:rPr>
            </w:pP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Ease of application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Level of reporting by services</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Regulatory response by the Commission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Captures additional information about incidents which cause harm</w:t>
            </w:r>
          </w:p>
        </w:tc>
      </w:tr>
      <w:tr w:rsidR="00315F60" w:rsidRPr="00315F60" w:rsidTr="00C917CE">
        <w:tc>
          <w:tcPr>
            <w:tcW w:w="2972" w:type="dxa"/>
          </w:tcPr>
          <w:p w:rsidR="00EC05FB" w:rsidRPr="00315F60" w:rsidRDefault="00EC05FB" w:rsidP="00EC05FB">
            <w:pPr>
              <w:rPr>
                <w:sz w:val="18"/>
                <w:szCs w:val="18"/>
              </w:rPr>
            </w:pPr>
            <w:r w:rsidRPr="00315F60">
              <w:rPr>
                <w:sz w:val="18"/>
                <w:szCs w:val="18"/>
              </w:rPr>
              <w:t>2.2 Type 1, unreasonable use of force only</w:t>
            </w:r>
          </w:p>
          <w:p w:rsidR="00EC05FB" w:rsidRPr="00315F60" w:rsidRDefault="00EC05FB" w:rsidP="00EC05FB">
            <w:pPr>
              <w:rPr>
                <w:sz w:val="18"/>
                <w:szCs w:val="18"/>
              </w:rPr>
            </w:pPr>
            <w:r w:rsidRPr="00315F60">
              <w:rPr>
                <w:sz w:val="18"/>
                <w:szCs w:val="18"/>
              </w:rPr>
              <w:t>(</w:t>
            </w:r>
            <w:r w:rsidR="00FB34DD" w:rsidRPr="00315F60">
              <w:rPr>
                <w:sz w:val="18"/>
                <w:szCs w:val="18"/>
              </w:rPr>
              <w:t>36,892</w:t>
            </w:r>
            <w:r w:rsidRPr="00315F60">
              <w:rPr>
                <w:sz w:val="18"/>
                <w:szCs w:val="18"/>
              </w:rPr>
              <w:t xml:space="preserve"> Incidents)</w:t>
            </w:r>
          </w:p>
        </w:tc>
        <w:tc>
          <w:tcPr>
            <w:tcW w:w="1666" w:type="dxa"/>
            <w:vAlign w:val="center"/>
          </w:tcPr>
          <w:p w:rsidR="00EC05FB" w:rsidRPr="00315F60" w:rsidRDefault="00C917CE" w:rsidP="00C917CE">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RDefault="00C917CE" w:rsidP="00C917CE">
            <w:pPr>
              <w:spacing w:after="0"/>
              <w:jc w:val="center"/>
              <w:rPr>
                <w:noProof/>
                <w:szCs w:val="20"/>
                <w:lang w:eastAsia="en-AU"/>
              </w:rPr>
            </w:pPr>
            <w:r w:rsidRPr="00315F60">
              <w:rPr>
                <w:noProof/>
                <w:szCs w:val="20"/>
                <w:lang w:eastAsia="en-AU"/>
              </w:rPr>
              <w:t>Red</w:t>
            </w:r>
          </w:p>
        </w:tc>
        <w:tc>
          <w:tcPr>
            <w:tcW w:w="1666" w:type="dxa"/>
            <w:vAlign w:val="center"/>
          </w:tcPr>
          <w:p w:rsidR="00EC05FB" w:rsidRPr="00315F60" w:rsidRDefault="00C917CE" w:rsidP="00C917CE">
            <w:pPr>
              <w:spacing w:after="0"/>
              <w:jc w:val="center"/>
              <w:rPr>
                <w:noProof/>
                <w:szCs w:val="20"/>
                <w:lang w:eastAsia="en-AU"/>
              </w:rPr>
            </w:pPr>
            <w:r w:rsidRPr="00315F60">
              <w:rPr>
                <w:noProof/>
                <w:szCs w:val="20"/>
                <w:lang w:eastAsia="en-AU"/>
              </w:rPr>
              <w:t>Red</w:t>
            </w:r>
          </w:p>
        </w:tc>
        <w:tc>
          <w:tcPr>
            <w:tcW w:w="1666" w:type="dxa"/>
            <w:vAlign w:val="center"/>
          </w:tcPr>
          <w:p w:rsidR="00EC05FB" w:rsidRPr="00315F60" w:rsidRDefault="00C917CE" w:rsidP="00C917CE">
            <w:pPr>
              <w:spacing w:after="0"/>
              <w:jc w:val="center"/>
              <w:rPr>
                <w:noProof/>
                <w:szCs w:val="20"/>
                <w:lang w:eastAsia="en-AU"/>
              </w:rPr>
            </w:pPr>
            <w:r w:rsidRPr="00315F60">
              <w:rPr>
                <w:noProof/>
                <w:szCs w:val="20"/>
                <w:lang w:eastAsia="en-AU"/>
              </w:rPr>
              <w:t>Amber</w:t>
            </w:r>
          </w:p>
        </w:tc>
      </w:tr>
    </w:tbl>
    <w:p w:rsidR="00252CA3" w:rsidRPr="00315F60" w:rsidRDefault="00252CA3" w:rsidP="00FA0BA9">
      <w:pPr>
        <w:pStyle w:val="Heading5"/>
        <w:rPr>
          <w:color w:val="auto"/>
        </w:rPr>
      </w:pPr>
      <w:r w:rsidRPr="00315F60">
        <w:rPr>
          <w:color w:val="auto"/>
        </w:rPr>
        <w:lastRenderedPageBreak/>
        <w:t>Option 2.</w:t>
      </w:r>
      <w:r w:rsidR="00C90917" w:rsidRPr="00315F60">
        <w:rPr>
          <w:color w:val="auto"/>
        </w:rPr>
        <w:t>3</w:t>
      </w:r>
      <w:r w:rsidRPr="00315F60">
        <w:rPr>
          <w:color w:val="auto"/>
        </w:rPr>
        <w:t xml:space="preserve">: Report all Type 1 incidents involving unlawful sexual </w:t>
      </w:r>
      <w:r w:rsidR="00C5303E" w:rsidRPr="00315F60">
        <w:rPr>
          <w:color w:val="auto"/>
        </w:rPr>
        <w:t xml:space="preserve">contact </w:t>
      </w:r>
      <w:r w:rsidRPr="00315F60">
        <w:rPr>
          <w:color w:val="auto"/>
        </w:rPr>
        <w:t>only</w:t>
      </w:r>
    </w:p>
    <w:p w:rsidR="00252CA3" w:rsidRPr="00315F60" w:rsidRDefault="00252CA3" w:rsidP="0093030E">
      <w:pPr>
        <w:pStyle w:val="Heading6"/>
      </w:pPr>
      <w:r w:rsidRPr="00315F60">
        <w:t>Incidents covered by this option</w:t>
      </w:r>
    </w:p>
    <w:p w:rsidR="00252CA3" w:rsidRPr="00315F60" w:rsidRDefault="00252CA3" w:rsidP="00252CA3">
      <w:pPr>
        <w:pStyle w:val="BodyText"/>
      </w:pPr>
      <w:r w:rsidRPr="00315F60">
        <w:t xml:space="preserve">Under this option, incidents which meet the definition of </w:t>
      </w:r>
      <w:r w:rsidR="007820B2" w:rsidRPr="00315F60">
        <w:t xml:space="preserve">a </w:t>
      </w:r>
      <w:r w:rsidRPr="00315F60">
        <w:t xml:space="preserve">Type 1 incident </w:t>
      </w:r>
      <w:r w:rsidRPr="00315F60">
        <w:rPr>
          <w:b/>
          <w:u w:val="single"/>
        </w:rPr>
        <w:t>and</w:t>
      </w:r>
      <w:r w:rsidRPr="00315F60">
        <w:t xml:space="preserve"> which involve unlawful sexual </w:t>
      </w:r>
      <w:r w:rsidR="00C5303E" w:rsidRPr="00315F60">
        <w:t xml:space="preserve">contact </w:t>
      </w:r>
      <w:r w:rsidRPr="00315F60">
        <w:t>would be reported as part of the SIRS</w:t>
      </w:r>
      <w:r w:rsidR="001952BF" w:rsidRPr="00315F60">
        <w:t xml:space="preserve">. </w:t>
      </w:r>
      <w:r w:rsidRPr="00315F60">
        <w:t>This would be an expansion of the current reportable assaults definition</w:t>
      </w:r>
      <w:r w:rsidR="001952BF" w:rsidRPr="00315F60">
        <w:t xml:space="preserve">. </w:t>
      </w:r>
      <w:r w:rsidRPr="00315F60">
        <w:t>Based on modelling undertaken as part of this study, this could result in 1,730 additional incidents being reported.</w:t>
      </w:r>
    </w:p>
    <w:p w:rsidR="00252CA3" w:rsidRPr="00315F60" w:rsidRDefault="00252CA3" w:rsidP="00252CA3">
      <w:pPr>
        <w:pStyle w:val="BodyText"/>
      </w:pPr>
      <w:r w:rsidRPr="00315F60">
        <w:t xml:space="preserve">The study identified one incident which involved both unlawful sexual contact and unreasonable use of force. </w:t>
      </w:r>
      <w:r w:rsidR="0030612B" w:rsidRPr="00315F60">
        <w:t xml:space="preserve">Similar to </w:t>
      </w:r>
      <w:r w:rsidRPr="00315F60">
        <w:t>Option 2.</w:t>
      </w:r>
      <w:r w:rsidR="00C90917" w:rsidRPr="00315F60">
        <w:t>2</w:t>
      </w:r>
      <w:r w:rsidRPr="00315F60">
        <w:t>, while this finding suggests these incidents are uncommon, a decision would need to be made to determine whether incidents covering both incident categories would be included under this option.</w:t>
      </w:r>
    </w:p>
    <w:p w:rsidR="00252CA3" w:rsidRPr="00315F60" w:rsidRDefault="00252CA3" w:rsidP="0093030E">
      <w:pPr>
        <w:pStyle w:val="Heading6"/>
      </w:pPr>
      <w:r w:rsidRPr="00315F60">
        <w:t>Benefits of this option</w:t>
      </w:r>
    </w:p>
    <w:p w:rsidR="00252CA3" w:rsidRPr="00315F60" w:rsidRDefault="00252CA3" w:rsidP="00252CA3">
      <w:pPr>
        <w:pStyle w:val="BodyText"/>
      </w:pPr>
      <w:r w:rsidRPr="00315F60">
        <w:t xml:space="preserve">As outlined in Section </w:t>
      </w:r>
      <w:r w:rsidRPr="00315F60">
        <w:fldChar w:fldCharType="begin"/>
      </w:r>
      <w:r w:rsidRPr="00315F60">
        <w:instrText xml:space="preserve"> REF _Ref23367632 \r \h  \* MERGEFORMAT </w:instrText>
      </w:r>
      <w:r w:rsidRPr="00315F60">
        <w:fldChar w:fldCharType="separate"/>
      </w:r>
      <w:r w:rsidR="004355CA" w:rsidRPr="00315F60">
        <w:t>3.2.4</w:t>
      </w:r>
      <w:r w:rsidRPr="00315F60">
        <w:fldChar w:fldCharType="end"/>
      </w:r>
      <w:r w:rsidRPr="00315F60">
        <w:t xml:space="preserve">, Type 1 incidents involving unlawful sexual </w:t>
      </w:r>
      <w:r w:rsidR="00C5303E" w:rsidRPr="00315F60">
        <w:t xml:space="preserve">contact </w:t>
      </w:r>
      <w:r w:rsidRPr="00315F60">
        <w:t xml:space="preserve">comprise </w:t>
      </w:r>
      <w:r w:rsidR="0030612B" w:rsidRPr="00315F60">
        <w:t xml:space="preserve">only </w:t>
      </w:r>
      <w:r w:rsidRPr="00315F60">
        <w:t>4.4 per cent of Type 1 incidents</w:t>
      </w:r>
      <w:r w:rsidR="001952BF" w:rsidRPr="00315F60">
        <w:t xml:space="preserve">. </w:t>
      </w:r>
      <w:r w:rsidRPr="00315F60">
        <w:t>As such, one of the key benefits of this option is that the additional volume of incidents that would be reported would be comparatively small</w:t>
      </w:r>
      <w:r w:rsidR="001952BF" w:rsidRPr="00315F60">
        <w:t xml:space="preserve">. </w:t>
      </w:r>
      <w:r w:rsidRPr="00315F60">
        <w:t xml:space="preserve">In turn, the additional </w:t>
      </w:r>
      <w:r w:rsidR="003C480F" w:rsidRPr="00315F60">
        <w:t>level of reporting by</w:t>
      </w:r>
      <w:r w:rsidRPr="00315F60">
        <w:t xml:space="preserve"> services and </w:t>
      </w:r>
      <w:r w:rsidR="003E75C8" w:rsidRPr="00315F60">
        <w:t xml:space="preserve">the volume of incidents that the Commission would need to analyse and respond to </w:t>
      </w:r>
      <w:r w:rsidRPr="00315F60">
        <w:t>would be much lower than if the threshold was set to collect all Type 1 incidents (Option 2.1), or Type 1 incidents involving unreasonable use of force (Option 2.</w:t>
      </w:r>
      <w:r w:rsidR="00C90917" w:rsidRPr="00315F60">
        <w:t>2</w:t>
      </w:r>
      <w:r w:rsidRPr="00315F60">
        <w:t>)</w:t>
      </w:r>
      <w:r w:rsidR="001952BF" w:rsidRPr="00315F60">
        <w:t xml:space="preserve">. </w:t>
      </w:r>
    </w:p>
    <w:p w:rsidR="00252CA3" w:rsidRPr="00315F60" w:rsidRDefault="00252CA3" w:rsidP="00252CA3">
      <w:pPr>
        <w:pStyle w:val="BodyText"/>
      </w:pPr>
      <w:r w:rsidRPr="00315F60">
        <w:t xml:space="preserve">Collecting information about Type 1 incidents which involve unlawful sexual </w:t>
      </w:r>
      <w:r w:rsidR="00C5303E" w:rsidRPr="00315F60">
        <w:t xml:space="preserve">contact </w:t>
      </w:r>
      <w:r w:rsidRPr="00315F60">
        <w:t xml:space="preserve">would support better understanding of the nature </w:t>
      </w:r>
      <w:r w:rsidR="003C480F" w:rsidRPr="00315F60">
        <w:t>and</w:t>
      </w:r>
      <w:r w:rsidRPr="00315F60">
        <w:t xml:space="preserve"> prevalence of these types of serious incidents</w:t>
      </w:r>
      <w:r w:rsidR="001952BF" w:rsidRPr="00315F60">
        <w:t xml:space="preserve">. </w:t>
      </w:r>
      <w:r w:rsidRPr="00315F60">
        <w:t>This could contribute to helping the Commission take effective action in reducing their prevalence in the future such as through regulatory, guidance and education measures</w:t>
      </w:r>
      <w:r w:rsidR="001952BF" w:rsidRPr="00315F60">
        <w:t xml:space="preserve">. </w:t>
      </w:r>
      <w:r w:rsidRPr="00315F60">
        <w:t>In turn, services may be able to use this guidance to improve their care</w:t>
      </w:r>
      <w:r w:rsidR="003C480F" w:rsidRPr="00315F60">
        <w:t xml:space="preserve"> and services</w:t>
      </w:r>
      <w:r w:rsidRPr="00315F60">
        <w:t>, resulting in the receipt of higher quality care for residents and better resident experiences.</w:t>
      </w:r>
    </w:p>
    <w:p w:rsidR="00252CA3" w:rsidRPr="00315F60" w:rsidRDefault="00252CA3" w:rsidP="00252CA3">
      <w:pPr>
        <w:pStyle w:val="BodyText"/>
      </w:pPr>
      <w:r w:rsidRPr="00315F60">
        <w:t>Implementation of this option should be straightforward. Services are already familiar with these incidents, as they are already required to record information about them.</w:t>
      </w:r>
    </w:p>
    <w:p w:rsidR="00252CA3" w:rsidRPr="00315F60" w:rsidRDefault="00252CA3" w:rsidP="0093030E">
      <w:pPr>
        <w:pStyle w:val="Heading6"/>
      </w:pPr>
      <w:r w:rsidRPr="00315F60">
        <w:t>Limitations of this option</w:t>
      </w:r>
    </w:p>
    <w:p w:rsidR="00252CA3" w:rsidRPr="00315F60" w:rsidRDefault="00252CA3" w:rsidP="00252CA3">
      <w:pPr>
        <w:pStyle w:val="BodyText"/>
      </w:pPr>
      <w:r w:rsidRPr="00315F60">
        <w:t>Excluding Type 1 incidents involving unreasonable use of force means that information about most incidents that meet the definition of a reportable assault</w:t>
      </w:r>
      <w:r w:rsidR="0030612B" w:rsidRPr="00315F60">
        <w:t>,</w:t>
      </w:r>
      <w:r w:rsidRPr="00315F60">
        <w:t xml:space="preserve"> but are currently not reported, is not shared with the Commission. Without information about these incidents, the Commission will have less information to inform targeted action, such as education, guidance material, or </w:t>
      </w:r>
      <w:r w:rsidR="0030612B" w:rsidRPr="00315F60">
        <w:t xml:space="preserve">to </w:t>
      </w:r>
      <w:r w:rsidRPr="00315F60">
        <w:t>conduct investigations if required</w:t>
      </w:r>
      <w:r w:rsidR="001952BF" w:rsidRPr="00315F60">
        <w:t xml:space="preserve">. </w:t>
      </w:r>
    </w:p>
    <w:p w:rsidR="00252CA3" w:rsidRPr="00315F60" w:rsidRDefault="00252CA3" w:rsidP="00252CA3">
      <w:pPr>
        <w:pStyle w:val="BodyText"/>
      </w:pPr>
      <w:r w:rsidRPr="00315F60">
        <w:t xml:space="preserve">Given the volume of Type 1 incidents of the category </w:t>
      </w:r>
      <w:r w:rsidR="0030612B" w:rsidRPr="00315F60">
        <w:t xml:space="preserve">of </w:t>
      </w:r>
      <w:r w:rsidRPr="00315F60">
        <w:t>unreasonable use of force, it is likely that at least some of these incidents which are excluded are those which cause harm to the victim. Therefore</w:t>
      </w:r>
      <w:r w:rsidR="0030612B" w:rsidRPr="00315F60">
        <w:t>,</w:t>
      </w:r>
      <w:r w:rsidRPr="00315F60">
        <w:t xml:space="preserve"> excluding all incidents involving unreasonable use of force from the data collection may mean that important information about these incidents </w:t>
      </w:r>
      <w:r w:rsidR="0030612B" w:rsidRPr="00315F60">
        <w:t xml:space="preserve">will be </w:t>
      </w:r>
      <w:r w:rsidRPr="00315F60">
        <w:t xml:space="preserve">missed. </w:t>
      </w:r>
    </w:p>
    <w:p w:rsidR="00252CA3" w:rsidRPr="00315F60" w:rsidRDefault="00252CA3" w:rsidP="0093030E">
      <w:pPr>
        <w:pStyle w:val="Heading6"/>
      </w:pPr>
      <w:r w:rsidRPr="00315F60">
        <w:t>Summary assessment using principles</w:t>
      </w:r>
    </w:p>
    <w:tbl>
      <w:tblPr>
        <w:tblStyle w:val="TableGrid"/>
        <w:tblW w:w="9636" w:type="dxa"/>
        <w:tblLayout w:type="fixed"/>
        <w:tblLook w:val="04A0" w:firstRow="1" w:lastRow="0" w:firstColumn="1" w:lastColumn="0" w:noHBand="0" w:noVBand="1"/>
        <w:tblDescription w:val="Table showing a summary assessment using principles of reporting all Type 1 unlawful sexual contact only. "/>
      </w:tblPr>
      <w:tblGrid>
        <w:gridCol w:w="2972"/>
        <w:gridCol w:w="1666"/>
        <w:gridCol w:w="1666"/>
        <w:gridCol w:w="1666"/>
        <w:gridCol w:w="1666"/>
      </w:tblGrid>
      <w:tr w:rsidR="00315F60" w:rsidRPr="00315F60" w:rsidTr="00506A16">
        <w:trPr>
          <w:tblHeader/>
        </w:trPr>
        <w:tc>
          <w:tcPr>
            <w:tcW w:w="2972" w:type="dxa"/>
            <w:shd w:val="clear" w:color="auto" w:fill="000000" w:themeFill="text1"/>
          </w:tcPr>
          <w:p w:rsidR="009E7E96" w:rsidRPr="00315F60" w:rsidRDefault="009E7E96" w:rsidP="00FA0BA9">
            <w:pPr>
              <w:pStyle w:val="Tableheading"/>
              <w:rPr>
                <w:color w:val="auto"/>
              </w:rPr>
            </w:pPr>
            <w:r w:rsidRPr="00315F60">
              <w:rPr>
                <w:color w:val="auto"/>
              </w:rPr>
              <w:t xml:space="preserve">Option </w:t>
            </w:r>
          </w:p>
          <w:p w:rsidR="009E7E96" w:rsidRPr="00315F60" w:rsidRDefault="009E7E96" w:rsidP="00FA0BA9">
            <w:pPr>
              <w:pStyle w:val="Tableheading"/>
              <w:rPr>
                <w:color w:val="auto"/>
              </w:rPr>
            </w:pPr>
            <w:r w:rsidRPr="00315F60">
              <w:rPr>
                <w:color w:val="auto"/>
              </w:rPr>
              <w:t>(Modelled annual volume)</w:t>
            </w:r>
          </w:p>
          <w:p w:rsidR="009E7E96" w:rsidRPr="00315F60" w:rsidRDefault="009E7E96" w:rsidP="00FA0BA9">
            <w:pPr>
              <w:pStyle w:val="Tableheading"/>
              <w:rPr>
                <w:color w:val="auto"/>
              </w:rPr>
            </w:pP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Ease of application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Level of reporting by services</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Regulatory response by the Commission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Captures additional information about incidents which cause harm</w:t>
            </w:r>
          </w:p>
        </w:tc>
      </w:tr>
      <w:tr w:rsidR="00315F60" w:rsidRPr="00315F60" w:rsidTr="00C917CE">
        <w:tc>
          <w:tcPr>
            <w:tcW w:w="2972" w:type="dxa"/>
          </w:tcPr>
          <w:p w:rsidR="00EC05FB" w:rsidRPr="00315F60" w:rsidRDefault="00EC05FB" w:rsidP="00EC05FB">
            <w:pPr>
              <w:rPr>
                <w:sz w:val="18"/>
                <w:szCs w:val="18"/>
              </w:rPr>
            </w:pPr>
            <w:r w:rsidRPr="00315F60">
              <w:rPr>
                <w:sz w:val="18"/>
                <w:szCs w:val="18"/>
              </w:rPr>
              <w:t>2.3 Type 1, unlawful sexual contact only</w:t>
            </w:r>
          </w:p>
          <w:p w:rsidR="00EC05FB" w:rsidRPr="00315F60" w:rsidRDefault="00EC05FB" w:rsidP="00EC05FB">
            <w:pPr>
              <w:rPr>
                <w:sz w:val="18"/>
                <w:szCs w:val="18"/>
              </w:rPr>
            </w:pPr>
            <w:r w:rsidRPr="00315F60">
              <w:rPr>
                <w:sz w:val="18"/>
                <w:szCs w:val="18"/>
              </w:rPr>
              <w:t>(1,730 incidents)</w:t>
            </w:r>
          </w:p>
        </w:tc>
        <w:tc>
          <w:tcPr>
            <w:tcW w:w="1666" w:type="dxa"/>
            <w:vAlign w:val="center"/>
          </w:tcPr>
          <w:p w:rsidR="00EC05FB" w:rsidRPr="00315F60" w:rsidDel="00FD74B0" w:rsidRDefault="00C917CE" w:rsidP="00C917CE">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RDefault="00C917CE" w:rsidP="00C917CE">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Del="00FD74B0" w:rsidRDefault="00C917CE" w:rsidP="00C917CE">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Del="00FD74B0" w:rsidRDefault="00C917CE" w:rsidP="00C917CE">
            <w:pPr>
              <w:spacing w:after="0"/>
              <w:jc w:val="center"/>
              <w:rPr>
                <w:noProof/>
                <w:szCs w:val="20"/>
                <w:lang w:eastAsia="en-AU"/>
              </w:rPr>
            </w:pPr>
            <w:r w:rsidRPr="00315F60">
              <w:rPr>
                <w:noProof/>
                <w:szCs w:val="20"/>
                <w:lang w:eastAsia="en-AU"/>
              </w:rPr>
              <w:t>Red</w:t>
            </w:r>
          </w:p>
        </w:tc>
      </w:tr>
    </w:tbl>
    <w:p w:rsidR="00252CA3" w:rsidRPr="00315F60" w:rsidRDefault="00252CA3" w:rsidP="00FA0BA9">
      <w:pPr>
        <w:pStyle w:val="Heading5"/>
        <w:rPr>
          <w:color w:val="auto"/>
        </w:rPr>
      </w:pPr>
      <w:r w:rsidRPr="00315F60">
        <w:rPr>
          <w:color w:val="auto"/>
        </w:rPr>
        <w:lastRenderedPageBreak/>
        <w:t>Option 2.</w:t>
      </w:r>
      <w:r w:rsidR="00C90917" w:rsidRPr="00315F60">
        <w:rPr>
          <w:color w:val="auto"/>
        </w:rPr>
        <w:t>4</w:t>
      </w:r>
      <w:r w:rsidRPr="00315F60">
        <w:rPr>
          <w:color w:val="auto"/>
        </w:rPr>
        <w:t>: Report all Type 1 incidents resulting in higher levels of impact</w:t>
      </w:r>
    </w:p>
    <w:p w:rsidR="00252CA3" w:rsidRPr="00315F60" w:rsidRDefault="00252CA3" w:rsidP="0093030E">
      <w:pPr>
        <w:pStyle w:val="Heading6"/>
      </w:pPr>
      <w:r w:rsidRPr="00315F60">
        <w:t>Incidents covered by this option</w:t>
      </w:r>
    </w:p>
    <w:p w:rsidR="00252CA3" w:rsidRPr="00315F60" w:rsidRDefault="00252CA3" w:rsidP="00252CA3">
      <w:pPr>
        <w:pStyle w:val="BodyText"/>
      </w:pPr>
      <w:r w:rsidRPr="00315F60">
        <w:t xml:space="preserve">Under this option, incidents which meet the definition of </w:t>
      </w:r>
      <w:r w:rsidR="007820B2" w:rsidRPr="00315F60">
        <w:t xml:space="preserve">a </w:t>
      </w:r>
      <w:r w:rsidRPr="00315F60">
        <w:t xml:space="preserve">Type 1 incident </w:t>
      </w:r>
      <w:r w:rsidRPr="00315F60">
        <w:rPr>
          <w:b/>
          <w:u w:val="single"/>
        </w:rPr>
        <w:t>and</w:t>
      </w:r>
      <w:r w:rsidRPr="00315F60">
        <w:t xml:space="preserve"> which are associated with higher levels of harm to the victim would be reported as part of the SIRS</w:t>
      </w:r>
      <w:r w:rsidR="001952BF" w:rsidRPr="00315F60">
        <w:t xml:space="preserve">. </w:t>
      </w:r>
      <w:r w:rsidRPr="00315F60">
        <w:t xml:space="preserve">The volume of incidents that would be reported would depend on how the threshold for ‘higher levels of harm’ </w:t>
      </w:r>
      <w:r w:rsidR="007820B2" w:rsidRPr="00315F60">
        <w:t>i</w:t>
      </w:r>
      <w:r w:rsidRPr="00315F60">
        <w:t>s set</w:t>
      </w:r>
      <w:r w:rsidR="001952BF" w:rsidRPr="00315F60">
        <w:t xml:space="preserve">. </w:t>
      </w:r>
    </w:p>
    <w:p w:rsidR="00252CA3" w:rsidRPr="00315F60" w:rsidRDefault="00252CA3" w:rsidP="00FA0BA9">
      <w:pPr>
        <w:pStyle w:val="BodyTextkeepwithnext"/>
      </w:pPr>
      <w:r w:rsidRPr="00315F60">
        <w:t>This would be an expansion of the current reportable assaults definition. Based on modelling undertaken as part of this study, this could result in 1,545 additional incidents being reported, if incidents meeting any of the following victim impact thresholds were included:</w:t>
      </w:r>
    </w:p>
    <w:p w:rsidR="00252CA3" w:rsidRPr="00315F60" w:rsidRDefault="00252CA3" w:rsidP="007F13A4">
      <w:pPr>
        <w:pStyle w:val="Bullet1stlevel"/>
      </w:pPr>
      <w:r w:rsidRPr="00315F60">
        <w:t>Fatality of severe permanent physical or psychological impairment</w:t>
      </w:r>
    </w:p>
    <w:p w:rsidR="00252CA3" w:rsidRPr="00315F60" w:rsidRDefault="00252CA3" w:rsidP="007F13A4">
      <w:pPr>
        <w:pStyle w:val="Bullet1stlevel"/>
      </w:pPr>
      <w:r w:rsidRPr="00315F60">
        <w:t>Permanent physical or psychological impairment</w:t>
      </w:r>
    </w:p>
    <w:p w:rsidR="00252CA3" w:rsidRPr="00315F60" w:rsidRDefault="00252CA3" w:rsidP="007F13A4">
      <w:pPr>
        <w:pStyle w:val="Bullet1stlevel"/>
      </w:pPr>
      <w:r w:rsidRPr="00315F60">
        <w:t>Physical or psychological injury or illness requiring a hospital admission (but not permanent)</w:t>
      </w:r>
    </w:p>
    <w:p w:rsidR="00252CA3" w:rsidRPr="00315F60" w:rsidRDefault="00252CA3" w:rsidP="007F13A4">
      <w:pPr>
        <w:pStyle w:val="Bullet1stlevel"/>
      </w:pPr>
      <w:r w:rsidRPr="00315F60">
        <w:t>Physical or psychological injury or illness requiring onsite medical or psychological treatment.</w:t>
      </w:r>
    </w:p>
    <w:p w:rsidR="00252CA3" w:rsidRPr="00315F60" w:rsidRDefault="00252CA3" w:rsidP="0093030E">
      <w:pPr>
        <w:pStyle w:val="Heading6"/>
      </w:pPr>
      <w:r w:rsidRPr="00315F60">
        <w:t>Benefits of this option</w:t>
      </w:r>
    </w:p>
    <w:p w:rsidR="00252CA3" w:rsidRPr="00315F60" w:rsidRDefault="00252CA3" w:rsidP="00252CA3">
      <w:pPr>
        <w:pStyle w:val="BodyText"/>
      </w:pPr>
      <w:r w:rsidRPr="00315F60">
        <w:t xml:space="preserve">The key benefit of this option is that it may assist in focusing the reporting of incidents on those </w:t>
      </w:r>
      <w:r w:rsidR="00BE4F6C" w:rsidRPr="00315F60">
        <w:t xml:space="preserve">incidents </w:t>
      </w:r>
      <w:r w:rsidRPr="00315F60">
        <w:t>which are associated with the greatest level of impact (harm) to the victim</w:t>
      </w:r>
      <w:r w:rsidR="001952BF" w:rsidRPr="00315F60">
        <w:t xml:space="preserve">. </w:t>
      </w:r>
      <w:r w:rsidRPr="00315F60">
        <w:t>This</w:t>
      </w:r>
      <w:r w:rsidR="00BE4F6C" w:rsidRPr="00315F60">
        <w:t>,</w:t>
      </w:r>
      <w:r w:rsidRPr="00315F60">
        <w:t xml:space="preserve"> in turn</w:t>
      </w:r>
      <w:r w:rsidR="00BE4F6C" w:rsidRPr="00315F60">
        <w:t>,</w:t>
      </w:r>
      <w:r w:rsidRPr="00315F60">
        <w:t xml:space="preserve"> may assist the Commission in taking action to support the reduction of serious incidents in the future. In turn, services may be able to use this guidance to improve their care</w:t>
      </w:r>
      <w:r w:rsidR="007820B2" w:rsidRPr="00315F60">
        <w:t xml:space="preserve"> and services</w:t>
      </w:r>
      <w:r w:rsidRPr="00315F60">
        <w:t>, resulting in the receipt of higher quality care for residents and better resident experiences.</w:t>
      </w:r>
    </w:p>
    <w:p w:rsidR="00252CA3" w:rsidRPr="00315F60" w:rsidRDefault="00252CA3" w:rsidP="00252CA3">
      <w:pPr>
        <w:pStyle w:val="BodyText"/>
      </w:pPr>
      <w:r w:rsidRPr="00315F60">
        <w:t xml:space="preserve">This option is associated with a much lower </w:t>
      </w:r>
      <w:r w:rsidR="003E75C8" w:rsidRPr="00315F60">
        <w:t xml:space="preserve">volume of incidents for services to report and a lower volume of incidents for the Commission to analyse and respond to </w:t>
      </w:r>
      <w:r w:rsidRPr="00315F60">
        <w:t>when compared to collecting all Type 1 incidents (Option 2.1) or all Type 1 incidents involving the use of unreasonable force (Option 2.</w:t>
      </w:r>
      <w:r w:rsidR="00C90917" w:rsidRPr="00315F60">
        <w:t>2</w:t>
      </w:r>
      <w:r w:rsidRPr="00315F60">
        <w:t>).</w:t>
      </w:r>
    </w:p>
    <w:p w:rsidR="00252CA3" w:rsidRPr="00315F60" w:rsidRDefault="00252CA3" w:rsidP="00252CA3">
      <w:pPr>
        <w:pStyle w:val="BodyText"/>
      </w:pPr>
      <w:r w:rsidRPr="00315F60">
        <w:t>Furthe</w:t>
      </w:r>
      <w:r w:rsidR="008F43E6" w:rsidRPr="00315F60">
        <w:t>r</w:t>
      </w:r>
      <w:r w:rsidRPr="00315F60">
        <w:t xml:space="preserve">, this option does not exclude incidents based on their category (i.e. unreasonable use of force or </w:t>
      </w:r>
      <w:r w:rsidR="000A5A9E" w:rsidRPr="00315F60">
        <w:t>unlawful sexual contact</w:t>
      </w:r>
      <w:r w:rsidRPr="00315F60">
        <w:t>, i.e. Options 2.</w:t>
      </w:r>
      <w:r w:rsidR="00C90917" w:rsidRPr="00315F60">
        <w:t>2</w:t>
      </w:r>
      <w:r w:rsidRPr="00315F60">
        <w:t xml:space="preserve"> and 2.</w:t>
      </w:r>
      <w:r w:rsidR="00C90917" w:rsidRPr="00315F60">
        <w:t>3</w:t>
      </w:r>
      <w:r w:rsidRPr="00315F60">
        <w:t>). Excluding incidents based on their category may mean that incidents which have a significant impact or cause harm to a resident are not captured.</w:t>
      </w:r>
    </w:p>
    <w:p w:rsidR="00252CA3" w:rsidRPr="00315F60" w:rsidRDefault="00252CA3" w:rsidP="0093030E">
      <w:pPr>
        <w:pStyle w:val="Heading6"/>
      </w:pPr>
      <w:r w:rsidRPr="00315F60">
        <w:t>Limitations of this option</w:t>
      </w:r>
    </w:p>
    <w:p w:rsidR="00252CA3" w:rsidRPr="00315F60" w:rsidRDefault="00252CA3" w:rsidP="00252CA3">
      <w:pPr>
        <w:pStyle w:val="BodyText"/>
      </w:pPr>
      <w:r w:rsidRPr="00315F60">
        <w:t xml:space="preserve">The main limitation of this option is that it assumes that the service is able to accurately assess the harm incurred </w:t>
      </w:r>
      <w:r w:rsidR="00BE4F6C" w:rsidRPr="00315F60">
        <w:t xml:space="preserve">by </w:t>
      </w:r>
      <w:r w:rsidRPr="00315F60">
        <w:t>a resident. This may be particularly challenging in relation to the assessment of psychological injuries and the assessment of the impact of an incident on residents with cognitive impairment</w:t>
      </w:r>
      <w:r w:rsidR="001952BF" w:rsidRPr="00315F60">
        <w:t xml:space="preserve">. </w:t>
      </w:r>
      <w:r w:rsidRPr="00315F60">
        <w:t>Having a valid tool for services to use to identify and report on harm would be an important consideration for this option.</w:t>
      </w:r>
    </w:p>
    <w:p w:rsidR="00252CA3" w:rsidRPr="00315F60" w:rsidRDefault="00252CA3" w:rsidP="0093030E">
      <w:pPr>
        <w:pStyle w:val="Heading6"/>
      </w:pPr>
      <w:r w:rsidRPr="00315F60">
        <w:t>Summary assessment using principles</w:t>
      </w:r>
    </w:p>
    <w:tbl>
      <w:tblPr>
        <w:tblStyle w:val="TableGrid"/>
        <w:tblW w:w="9636" w:type="dxa"/>
        <w:tblLayout w:type="fixed"/>
        <w:tblLook w:val="04A0" w:firstRow="1" w:lastRow="0" w:firstColumn="1" w:lastColumn="0" w:noHBand="0" w:noVBand="1"/>
        <w:tblDescription w:val="Table showing a summary assessment using principles of reporting all Type 1 incidents of 'higher' level of impact only. "/>
      </w:tblPr>
      <w:tblGrid>
        <w:gridCol w:w="2972"/>
        <w:gridCol w:w="1666"/>
        <w:gridCol w:w="1666"/>
        <w:gridCol w:w="1666"/>
        <w:gridCol w:w="1666"/>
      </w:tblGrid>
      <w:tr w:rsidR="00315F60" w:rsidRPr="00315F60" w:rsidTr="00506A16">
        <w:trPr>
          <w:tblHeader/>
        </w:trPr>
        <w:tc>
          <w:tcPr>
            <w:tcW w:w="2972" w:type="dxa"/>
            <w:shd w:val="clear" w:color="auto" w:fill="000000" w:themeFill="text1"/>
          </w:tcPr>
          <w:p w:rsidR="009E7E96" w:rsidRPr="00315F60" w:rsidRDefault="009E7E96" w:rsidP="00FA0BA9">
            <w:pPr>
              <w:pStyle w:val="Tableheading"/>
              <w:rPr>
                <w:color w:val="auto"/>
              </w:rPr>
            </w:pPr>
            <w:r w:rsidRPr="00315F60">
              <w:rPr>
                <w:color w:val="auto"/>
              </w:rPr>
              <w:t xml:space="preserve">Option </w:t>
            </w:r>
          </w:p>
          <w:p w:rsidR="009E7E96" w:rsidRPr="00315F60" w:rsidRDefault="009E7E96" w:rsidP="00FA0BA9">
            <w:pPr>
              <w:pStyle w:val="Tableheading"/>
              <w:rPr>
                <w:color w:val="auto"/>
              </w:rPr>
            </w:pPr>
            <w:r w:rsidRPr="00315F60">
              <w:rPr>
                <w:color w:val="auto"/>
              </w:rPr>
              <w:t>(Modelled annual volume)</w:t>
            </w:r>
          </w:p>
          <w:p w:rsidR="009E7E96" w:rsidRPr="00315F60" w:rsidRDefault="009E7E96" w:rsidP="00FA0BA9">
            <w:pPr>
              <w:pStyle w:val="Tableheading"/>
              <w:rPr>
                <w:color w:val="auto"/>
              </w:rPr>
            </w:pP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Ease of application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Level of reporting by services</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Regulatory response by the Commission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Captures additional information about incidents which cause harm</w:t>
            </w:r>
          </w:p>
        </w:tc>
      </w:tr>
      <w:tr w:rsidR="00315F60" w:rsidRPr="00315F60" w:rsidTr="009F1F87">
        <w:trPr>
          <w:trHeight w:val="1020"/>
        </w:trPr>
        <w:tc>
          <w:tcPr>
            <w:tcW w:w="2972" w:type="dxa"/>
          </w:tcPr>
          <w:p w:rsidR="00EC05FB" w:rsidRPr="00315F60" w:rsidRDefault="00EC05FB" w:rsidP="00EC05FB">
            <w:pPr>
              <w:rPr>
                <w:sz w:val="18"/>
                <w:szCs w:val="18"/>
              </w:rPr>
            </w:pPr>
            <w:r w:rsidRPr="00315F60">
              <w:rPr>
                <w:sz w:val="18"/>
                <w:szCs w:val="18"/>
              </w:rPr>
              <w:t xml:space="preserve">2.4 Type 1, incidents of ‘higher’ level of impact only </w:t>
            </w:r>
          </w:p>
          <w:p w:rsidR="00EC05FB" w:rsidRPr="00315F60" w:rsidRDefault="00EC05FB" w:rsidP="00EC05FB">
            <w:pPr>
              <w:rPr>
                <w:sz w:val="18"/>
                <w:szCs w:val="18"/>
              </w:rPr>
            </w:pPr>
            <w:r w:rsidRPr="00315F60">
              <w:rPr>
                <w:sz w:val="18"/>
                <w:szCs w:val="18"/>
              </w:rPr>
              <w:t>(1,545 incidents)</w:t>
            </w:r>
          </w:p>
        </w:tc>
        <w:tc>
          <w:tcPr>
            <w:tcW w:w="1666" w:type="dxa"/>
            <w:vAlign w:val="center"/>
          </w:tcPr>
          <w:p w:rsidR="00EC05FB" w:rsidRPr="00315F60" w:rsidRDefault="00C917CE" w:rsidP="00EC05FB">
            <w:pPr>
              <w:spacing w:after="0"/>
              <w:rPr>
                <w:noProof/>
                <w:szCs w:val="20"/>
                <w:lang w:eastAsia="en-AU"/>
              </w:rPr>
            </w:pPr>
            <w:r w:rsidRPr="00315F60">
              <w:rPr>
                <w:noProof/>
                <w:szCs w:val="20"/>
                <w:lang w:eastAsia="en-AU"/>
              </w:rPr>
              <w:t>Amber</w:t>
            </w:r>
          </w:p>
        </w:tc>
        <w:tc>
          <w:tcPr>
            <w:tcW w:w="1666" w:type="dxa"/>
            <w:vAlign w:val="center"/>
          </w:tcPr>
          <w:p w:rsidR="00EC05FB" w:rsidRPr="00315F60" w:rsidRDefault="00C917CE" w:rsidP="00EC05FB">
            <w:pPr>
              <w:spacing w:after="0"/>
              <w:rPr>
                <w:noProof/>
                <w:szCs w:val="20"/>
                <w:lang w:eastAsia="en-AU"/>
              </w:rPr>
            </w:pPr>
            <w:r w:rsidRPr="00315F60">
              <w:rPr>
                <w:noProof/>
                <w:szCs w:val="20"/>
                <w:lang w:eastAsia="en-AU"/>
              </w:rPr>
              <w:t>Green</w:t>
            </w:r>
          </w:p>
        </w:tc>
        <w:tc>
          <w:tcPr>
            <w:tcW w:w="1666" w:type="dxa"/>
            <w:vAlign w:val="center"/>
          </w:tcPr>
          <w:p w:rsidR="00EC05FB" w:rsidRPr="00315F60" w:rsidRDefault="00C917CE" w:rsidP="00EC05FB">
            <w:pPr>
              <w:spacing w:after="0"/>
              <w:rPr>
                <w:noProof/>
                <w:szCs w:val="20"/>
                <w:lang w:eastAsia="en-AU"/>
              </w:rPr>
            </w:pPr>
            <w:r w:rsidRPr="00315F60">
              <w:rPr>
                <w:noProof/>
                <w:szCs w:val="20"/>
                <w:lang w:eastAsia="en-AU"/>
              </w:rPr>
              <w:t>Green</w:t>
            </w:r>
          </w:p>
        </w:tc>
        <w:tc>
          <w:tcPr>
            <w:tcW w:w="1666" w:type="dxa"/>
            <w:vAlign w:val="center"/>
          </w:tcPr>
          <w:p w:rsidR="00EC05FB" w:rsidRPr="00315F60" w:rsidRDefault="00C917CE" w:rsidP="00EC05FB">
            <w:pPr>
              <w:spacing w:after="0"/>
              <w:rPr>
                <w:noProof/>
                <w:szCs w:val="20"/>
                <w:lang w:eastAsia="en-AU"/>
              </w:rPr>
            </w:pPr>
            <w:r w:rsidRPr="00315F60">
              <w:rPr>
                <w:noProof/>
                <w:szCs w:val="20"/>
                <w:lang w:eastAsia="en-AU"/>
              </w:rPr>
              <w:t>Green</w:t>
            </w:r>
          </w:p>
        </w:tc>
      </w:tr>
    </w:tbl>
    <w:p w:rsidR="00252CA3" w:rsidRPr="00315F60" w:rsidRDefault="00252CA3" w:rsidP="00FA0BA9">
      <w:pPr>
        <w:pStyle w:val="Heading5"/>
        <w:rPr>
          <w:color w:val="auto"/>
        </w:rPr>
      </w:pPr>
      <w:bookmarkStart w:id="446" w:name="OLE_LINK1"/>
      <w:r w:rsidRPr="00315F60">
        <w:rPr>
          <w:color w:val="auto"/>
        </w:rPr>
        <w:lastRenderedPageBreak/>
        <w:t>Option 2.</w:t>
      </w:r>
      <w:r w:rsidR="009E7E96" w:rsidRPr="00315F60">
        <w:rPr>
          <w:color w:val="auto"/>
        </w:rPr>
        <w:t>5</w:t>
      </w:r>
      <w:r w:rsidRPr="00315F60">
        <w:rPr>
          <w:color w:val="auto"/>
        </w:rPr>
        <w:t>: Report all Type 1 incidents triggering particular types of service responses only</w:t>
      </w:r>
    </w:p>
    <w:bookmarkEnd w:id="446"/>
    <w:p w:rsidR="00252CA3" w:rsidRPr="00315F60" w:rsidRDefault="00252CA3" w:rsidP="0093030E">
      <w:pPr>
        <w:pStyle w:val="Heading6"/>
      </w:pPr>
      <w:r w:rsidRPr="00315F60">
        <w:t>Incidents covered by this option</w:t>
      </w:r>
    </w:p>
    <w:p w:rsidR="00252CA3" w:rsidRPr="00315F60" w:rsidRDefault="00252CA3" w:rsidP="00BE4F6C">
      <w:pPr>
        <w:pStyle w:val="BodyText"/>
        <w:keepLines/>
      </w:pPr>
      <w:r w:rsidRPr="00315F60">
        <w:t xml:space="preserve">Under this option, incidents which meet the definition of </w:t>
      </w:r>
      <w:r w:rsidR="007820B2" w:rsidRPr="00315F60">
        <w:t xml:space="preserve">a </w:t>
      </w:r>
      <w:r w:rsidRPr="00315F60">
        <w:t xml:space="preserve">Type 1 incident </w:t>
      </w:r>
      <w:r w:rsidRPr="00315F60">
        <w:rPr>
          <w:b/>
          <w:u w:val="single"/>
        </w:rPr>
        <w:t>and</w:t>
      </w:r>
      <w:r w:rsidRPr="00315F60">
        <w:t xml:space="preserve"> which are associated with particular types of service responses would be reported as part of the SIRS</w:t>
      </w:r>
      <w:r w:rsidR="001952BF" w:rsidRPr="00315F60">
        <w:t xml:space="preserve">. </w:t>
      </w:r>
      <w:r w:rsidRPr="00315F60">
        <w:t>The volume of incidents that would be reported would depend on which responses were of interest to the Commission</w:t>
      </w:r>
      <w:r w:rsidR="001952BF" w:rsidRPr="00315F60">
        <w:t xml:space="preserve">. </w:t>
      </w:r>
      <w:r w:rsidRPr="00315F60">
        <w:t xml:space="preserve">If the Commission is interested in those incidents which trigger more ‘significant’ responses by the service then examples of potential responses which could be in scope include the following: </w:t>
      </w:r>
    </w:p>
    <w:p w:rsidR="00252CA3" w:rsidRPr="00315F60" w:rsidRDefault="00252CA3" w:rsidP="00FA0BA9">
      <w:pPr>
        <w:pStyle w:val="ListBullet"/>
      </w:pPr>
      <w:bookmarkStart w:id="447" w:name="OLE_LINK2"/>
      <w:r w:rsidRPr="00315F60">
        <w:t>Onsite medical treatment provid</w:t>
      </w:r>
      <w:r w:rsidR="00A87B95" w:rsidRPr="00315F60">
        <w:t>ed to the victim OR perpetrator</w:t>
      </w:r>
    </w:p>
    <w:p w:rsidR="00252CA3" w:rsidRPr="00315F60" w:rsidRDefault="00252CA3" w:rsidP="00FA0BA9">
      <w:pPr>
        <w:pStyle w:val="ListBullet"/>
      </w:pPr>
      <w:r w:rsidRPr="00315F60">
        <w:t xml:space="preserve">Hospital admission for the victim OR </w:t>
      </w:r>
      <w:r w:rsidR="00A87B95" w:rsidRPr="00315F60">
        <w:t>perpetrator</w:t>
      </w:r>
    </w:p>
    <w:p w:rsidR="00252CA3" w:rsidRPr="00315F60" w:rsidRDefault="00252CA3" w:rsidP="00FA0BA9">
      <w:pPr>
        <w:pStyle w:val="ListBullet"/>
      </w:pPr>
      <w:r w:rsidRPr="00315F60">
        <w:t xml:space="preserve">Referral made to the </w:t>
      </w:r>
      <w:r w:rsidR="00A87B95" w:rsidRPr="00315F60">
        <w:t>DBMAS</w:t>
      </w:r>
    </w:p>
    <w:p w:rsidR="00252CA3" w:rsidRPr="00315F60" w:rsidRDefault="00252CA3" w:rsidP="00FA0BA9">
      <w:pPr>
        <w:pStyle w:val="ListBullet"/>
      </w:pPr>
      <w:r w:rsidRPr="00315F60">
        <w:t xml:space="preserve">Report made to </w:t>
      </w:r>
      <w:r w:rsidR="000A5A9E" w:rsidRPr="00315F60">
        <w:t xml:space="preserve">the </w:t>
      </w:r>
      <w:r w:rsidRPr="00315F60">
        <w:t>police.</w:t>
      </w:r>
    </w:p>
    <w:bookmarkEnd w:id="447"/>
    <w:p w:rsidR="00252CA3" w:rsidRPr="00315F60" w:rsidRDefault="00252CA3" w:rsidP="00252CA3">
      <w:pPr>
        <w:pStyle w:val="BodyText"/>
      </w:pPr>
      <w:r w:rsidRPr="00315F60">
        <w:t>Regardless of the specific responses which are of interest, this would be an expansion of the current reportable assaults definition. There were 244 of the 1,259 Type 1 incidents that undertook at least one of the above actions (19.4 per cent). Based on modelling undertaken as part of this study, this could result in 7,539 additional incidents being reported per annum, if incidents triggering any of the above criteria were included. If ‘referral made to GP’ was included, the volume of incidents would be similar to Option 2.1 (all Type 1 incidents).</w:t>
      </w:r>
    </w:p>
    <w:p w:rsidR="00252CA3" w:rsidRPr="00315F60" w:rsidRDefault="00252CA3" w:rsidP="0093030E">
      <w:pPr>
        <w:pStyle w:val="Heading6"/>
      </w:pPr>
      <w:r w:rsidRPr="00315F60">
        <w:t>Benefits of this option</w:t>
      </w:r>
    </w:p>
    <w:p w:rsidR="00252CA3" w:rsidRPr="00315F60" w:rsidRDefault="00252CA3" w:rsidP="00252CA3">
      <w:pPr>
        <w:pStyle w:val="BodyText"/>
      </w:pPr>
      <w:r w:rsidRPr="00315F60">
        <w:t xml:space="preserve">This option </w:t>
      </w:r>
      <w:r w:rsidR="000A5A9E" w:rsidRPr="00315F60">
        <w:t xml:space="preserve">would be </w:t>
      </w:r>
      <w:r w:rsidRPr="00315F60">
        <w:t xml:space="preserve">associated with a lower </w:t>
      </w:r>
      <w:r w:rsidR="003E75C8" w:rsidRPr="00315F60">
        <w:t>volume of incidents for services to report</w:t>
      </w:r>
      <w:r w:rsidRPr="00315F60">
        <w:t xml:space="preserve"> and</w:t>
      </w:r>
      <w:r w:rsidR="003E75C8" w:rsidRPr="00315F60">
        <w:t xml:space="preserve"> a lower volume of incidents for the Commission to analyse and respond to</w:t>
      </w:r>
      <w:r w:rsidRPr="00315F60">
        <w:t xml:space="preserve"> when compared to collecting all Type 1 incidents (Option 2.1) or all </w:t>
      </w:r>
      <w:r w:rsidR="00BE4F6C" w:rsidRPr="00315F60">
        <w:t>T</w:t>
      </w:r>
      <w:r w:rsidRPr="00315F60">
        <w:t>ype 1 incidents involving the use of unreasonable force (Option 2.</w:t>
      </w:r>
      <w:r w:rsidR="00C90917" w:rsidRPr="00315F60">
        <w:t>2</w:t>
      </w:r>
      <w:r w:rsidRPr="00315F60">
        <w:t>)</w:t>
      </w:r>
      <w:r w:rsidR="001952BF" w:rsidRPr="00315F60">
        <w:t xml:space="preserve">. </w:t>
      </w:r>
      <w:r w:rsidRPr="00315F60">
        <w:t xml:space="preserve">However the volume of incidents is still more significant </w:t>
      </w:r>
      <w:r w:rsidR="00BE4F6C" w:rsidRPr="00315F60">
        <w:t xml:space="preserve">than </w:t>
      </w:r>
      <w:r w:rsidRPr="00315F60">
        <w:t>some other options</w:t>
      </w:r>
      <w:r w:rsidR="00BE4F6C" w:rsidRPr="00315F60">
        <w:t>,</w:t>
      </w:r>
      <w:r w:rsidRPr="00315F60">
        <w:t xml:space="preserve"> such as</w:t>
      </w:r>
      <w:r w:rsidR="00BE4F6C" w:rsidRPr="00315F60">
        <w:t xml:space="preserve"> Options</w:t>
      </w:r>
      <w:r w:rsidRPr="00315F60">
        <w:t xml:space="preserve"> 2.</w:t>
      </w:r>
      <w:r w:rsidR="00C90917" w:rsidRPr="00315F60">
        <w:t>4</w:t>
      </w:r>
      <w:r w:rsidRPr="00315F60">
        <w:t xml:space="preserve"> or 2.</w:t>
      </w:r>
      <w:r w:rsidR="00C90917" w:rsidRPr="00315F60">
        <w:t>6</w:t>
      </w:r>
      <w:r w:rsidRPr="00315F60">
        <w:t xml:space="preserve"> and therefore, particularly for the Commission, will still be associated with a greater response option.</w:t>
      </w:r>
    </w:p>
    <w:p w:rsidR="00252CA3" w:rsidRPr="00315F60" w:rsidRDefault="00252CA3" w:rsidP="0093030E">
      <w:pPr>
        <w:pStyle w:val="Heading6"/>
      </w:pPr>
      <w:r w:rsidRPr="00315F60">
        <w:t>Limitations of this option</w:t>
      </w:r>
    </w:p>
    <w:p w:rsidR="00252CA3" w:rsidRPr="00315F60" w:rsidRDefault="00252CA3" w:rsidP="00252CA3">
      <w:pPr>
        <w:pStyle w:val="BodyText"/>
      </w:pPr>
      <w:r w:rsidRPr="00315F60">
        <w:t xml:space="preserve">The key limitation of this option is that it is unclear whether or not incidents which trigger particular types of responses from services are those which are associated with more harm. Using provider response as </w:t>
      </w:r>
      <w:r w:rsidR="00BE4F6C" w:rsidRPr="00315F60">
        <w:t xml:space="preserve">a </w:t>
      </w:r>
      <w:r w:rsidRPr="00315F60">
        <w:t>proxy for the level of harm incurred by an incident relies on both:</w:t>
      </w:r>
    </w:p>
    <w:p w:rsidR="00252CA3" w:rsidRPr="00315F60" w:rsidRDefault="00252CA3" w:rsidP="007F13A4">
      <w:pPr>
        <w:pStyle w:val="Bullet1stlevel"/>
      </w:pPr>
      <w:r w:rsidRPr="00315F60">
        <w:t xml:space="preserve">Identifying which responses are positively associated with greater harm </w:t>
      </w:r>
    </w:p>
    <w:p w:rsidR="00252CA3" w:rsidRPr="00315F60" w:rsidRDefault="00252CA3" w:rsidP="007F13A4">
      <w:pPr>
        <w:pStyle w:val="Bullet1stlevel"/>
      </w:pPr>
      <w:r w:rsidRPr="00315F60">
        <w:t>Service</w:t>
      </w:r>
      <w:r w:rsidR="00BE4F6C" w:rsidRPr="00315F60">
        <w:t>s</w:t>
      </w:r>
      <w:r w:rsidRPr="00315F60">
        <w:t xml:space="preserve"> being consistent in their responses to a given level of harm.</w:t>
      </w:r>
    </w:p>
    <w:p w:rsidR="00252CA3" w:rsidRPr="00315F60" w:rsidRDefault="00252CA3" w:rsidP="0093030E">
      <w:pPr>
        <w:pStyle w:val="Heading6"/>
      </w:pPr>
      <w:r w:rsidRPr="00315F60">
        <w:t>Summary assessment using principles</w:t>
      </w:r>
    </w:p>
    <w:tbl>
      <w:tblPr>
        <w:tblStyle w:val="TableGrid"/>
        <w:tblW w:w="9636" w:type="dxa"/>
        <w:tblLayout w:type="fixed"/>
        <w:tblLook w:val="04A0" w:firstRow="1" w:lastRow="0" w:firstColumn="1" w:lastColumn="0" w:noHBand="0" w:noVBand="1"/>
        <w:tblDescription w:val="Table showing a summary assessment using principles of reporting all Type 1 incidents triggering particular types of service responses only. "/>
      </w:tblPr>
      <w:tblGrid>
        <w:gridCol w:w="2972"/>
        <w:gridCol w:w="1666"/>
        <w:gridCol w:w="1666"/>
        <w:gridCol w:w="1666"/>
        <w:gridCol w:w="1666"/>
      </w:tblGrid>
      <w:tr w:rsidR="00315F60" w:rsidRPr="00315F60" w:rsidTr="00506A16">
        <w:trPr>
          <w:tblHeader/>
        </w:trPr>
        <w:tc>
          <w:tcPr>
            <w:tcW w:w="2972" w:type="dxa"/>
            <w:shd w:val="clear" w:color="auto" w:fill="000000" w:themeFill="text1"/>
          </w:tcPr>
          <w:p w:rsidR="009E7E96" w:rsidRPr="00315F60" w:rsidRDefault="009E7E96" w:rsidP="00FA0BA9">
            <w:pPr>
              <w:pStyle w:val="Tableheading"/>
              <w:rPr>
                <w:color w:val="auto"/>
              </w:rPr>
            </w:pPr>
            <w:r w:rsidRPr="00315F60">
              <w:rPr>
                <w:color w:val="auto"/>
              </w:rPr>
              <w:t xml:space="preserve">Option </w:t>
            </w:r>
          </w:p>
          <w:p w:rsidR="009E7E96" w:rsidRPr="00315F60" w:rsidRDefault="009E7E96" w:rsidP="00FA0BA9">
            <w:pPr>
              <w:pStyle w:val="Tableheading"/>
              <w:rPr>
                <w:color w:val="auto"/>
              </w:rPr>
            </w:pPr>
            <w:r w:rsidRPr="00315F60">
              <w:rPr>
                <w:color w:val="auto"/>
              </w:rPr>
              <w:t>(Modelled annual volume)</w:t>
            </w:r>
          </w:p>
          <w:p w:rsidR="009E7E96" w:rsidRPr="00315F60" w:rsidRDefault="009E7E96" w:rsidP="00FA0BA9">
            <w:pPr>
              <w:pStyle w:val="Tableheading"/>
              <w:rPr>
                <w:color w:val="auto"/>
              </w:rPr>
            </w:pP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Ease of application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Level of reporting by services</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Regulatory response by the Commission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Captures additional information about incidents which cause harm</w:t>
            </w:r>
          </w:p>
        </w:tc>
      </w:tr>
      <w:tr w:rsidR="00315F60" w:rsidRPr="00315F60" w:rsidTr="0070733A">
        <w:trPr>
          <w:trHeight w:val="1020"/>
        </w:trPr>
        <w:tc>
          <w:tcPr>
            <w:tcW w:w="2972" w:type="dxa"/>
          </w:tcPr>
          <w:p w:rsidR="00EC05FB" w:rsidRPr="00315F60" w:rsidRDefault="00EC05FB" w:rsidP="00EC05FB">
            <w:pPr>
              <w:rPr>
                <w:sz w:val="18"/>
                <w:szCs w:val="18"/>
              </w:rPr>
            </w:pPr>
            <w:r w:rsidRPr="00315F60">
              <w:rPr>
                <w:sz w:val="18"/>
                <w:szCs w:val="18"/>
              </w:rPr>
              <w:t>2.5 Type 1, incidents triggering particular types of service responses only</w:t>
            </w:r>
          </w:p>
          <w:p w:rsidR="00EC05FB" w:rsidRPr="00315F60" w:rsidRDefault="00EC05FB" w:rsidP="00EC05FB">
            <w:pPr>
              <w:rPr>
                <w:sz w:val="18"/>
                <w:szCs w:val="18"/>
              </w:rPr>
            </w:pPr>
            <w:r w:rsidRPr="00315F60">
              <w:rPr>
                <w:sz w:val="18"/>
                <w:szCs w:val="18"/>
              </w:rPr>
              <w:t>7,539 incidents)</w:t>
            </w:r>
          </w:p>
        </w:tc>
        <w:tc>
          <w:tcPr>
            <w:tcW w:w="1666" w:type="dxa"/>
            <w:vAlign w:val="center"/>
          </w:tcPr>
          <w:p w:rsidR="00EC05FB" w:rsidRPr="00315F60" w:rsidDel="007B7849" w:rsidRDefault="0070733A" w:rsidP="0070733A">
            <w:pPr>
              <w:spacing w:after="0"/>
              <w:jc w:val="center"/>
              <w:rPr>
                <w:noProof/>
                <w:szCs w:val="20"/>
                <w:lang w:eastAsia="en-AU"/>
              </w:rPr>
            </w:pPr>
            <w:r w:rsidRPr="00315F60">
              <w:rPr>
                <w:noProof/>
                <w:szCs w:val="20"/>
                <w:lang w:eastAsia="en-AU"/>
              </w:rPr>
              <w:t>Amber</w:t>
            </w:r>
          </w:p>
        </w:tc>
        <w:tc>
          <w:tcPr>
            <w:tcW w:w="1666" w:type="dxa"/>
            <w:vAlign w:val="center"/>
          </w:tcPr>
          <w:p w:rsidR="00EC05FB" w:rsidRPr="00315F60" w:rsidDel="007B7849" w:rsidRDefault="0070733A" w:rsidP="0070733A">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Del="007B7849" w:rsidRDefault="0070733A" w:rsidP="0070733A">
            <w:pPr>
              <w:spacing w:after="0"/>
              <w:jc w:val="center"/>
              <w:rPr>
                <w:noProof/>
                <w:szCs w:val="20"/>
                <w:lang w:eastAsia="en-AU"/>
              </w:rPr>
            </w:pPr>
            <w:r w:rsidRPr="00315F60">
              <w:rPr>
                <w:noProof/>
                <w:szCs w:val="20"/>
                <w:lang w:eastAsia="en-AU"/>
              </w:rPr>
              <w:t>Amber</w:t>
            </w:r>
          </w:p>
        </w:tc>
        <w:tc>
          <w:tcPr>
            <w:tcW w:w="1666" w:type="dxa"/>
            <w:vAlign w:val="center"/>
          </w:tcPr>
          <w:p w:rsidR="00EC05FB" w:rsidRPr="00315F60" w:rsidRDefault="0070733A" w:rsidP="0070733A">
            <w:pPr>
              <w:spacing w:after="0"/>
              <w:jc w:val="center"/>
              <w:rPr>
                <w:noProof/>
                <w:szCs w:val="20"/>
                <w:lang w:eastAsia="en-AU"/>
              </w:rPr>
            </w:pPr>
            <w:r w:rsidRPr="00315F60">
              <w:rPr>
                <w:noProof/>
                <w:szCs w:val="20"/>
                <w:lang w:eastAsia="en-AU"/>
              </w:rPr>
              <w:t>Red</w:t>
            </w:r>
          </w:p>
        </w:tc>
      </w:tr>
    </w:tbl>
    <w:p w:rsidR="00252CA3" w:rsidRPr="00315F60" w:rsidRDefault="00252CA3" w:rsidP="00FA0BA9">
      <w:pPr>
        <w:pStyle w:val="Heading5"/>
        <w:rPr>
          <w:color w:val="auto"/>
        </w:rPr>
      </w:pPr>
      <w:r w:rsidRPr="00315F60">
        <w:rPr>
          <w:color w:val="auto"/>
        </w:rPr>
        <w:lastRenderedPageBreak/>
        <w:t>Option 2.</w:t>
      </w:r>
      <w:r w:rsidR="00C90917" w:rsidRPr="00315F60">
        <w:rPr>
          <w:color w:val="auto"/>
        </w:rPr>
        <w:t>6</w:t>
      </w:r>
      <w:r w:rsidRPr="00315F60">
        <w:rPr>
          <w:color w:val="auto"/>
        </w:rPr>
        <w:t xml:space="preserve">: Report all Type 1 incidents involving unlawful sexual </w:t>
      </w:r>
      <w:r w:rsidR="000A5A9E" w:rsidRPr="00315F60">
        <w:rPr>
          <w:color w:val="auto"/>
        </w:rPr>
        <w:t xml:space="preserve">contact </w:t>
      </w:r>
      <w:r w:rsidRPr="00315F60">
        <w:rPr>
          <w:color w:val="auto"/>
        </w:rPr>
        <w:t>and Type 1 incidents involving unreasonable use of force and higher levels of harm to the victim only</w:t>
      </w:r>
    </w:p>
    <w:p w:rsidR="00252CA3" w:rsidRPr="00315F60" w:rsidRDefault="00252CA3" w:rsidP="0093030E">
      <w:pPr>
        <w:pStyle w:val="Heading6"/>
      </w:pPr>
      <w:r w:rsidRPr="00315F60">
        <w:t>Incidents covered by this option</w:t>
      </w:r>
    </w:p>
    <w:p w:rsidR="00252CA3" w:rsidRPr="00315F60" w:rsidRDefault="00252CA3" w:rsidP="00252CA3">
      <w:pPr>
        <w:pStyle w:val="BodyText"/>
      </w:pPr>
      <w:r w:rsidRPr="00315F60">
        <w:t>This option refers to reporting a specific subset of incidents</w:t>
      </w:r>
      <w:r w:rsidR="001952BF" w:rsidRPr="00315F60">
        <w:t xml:space="preserve">. </w:t>
      </w:r>
      <w:r w:rsidRPr="00315F60">
        <w:t>Under this option, the following incidents would be reported:</w:t>
      </w:r>
    </w:p>
    <w:p w:rsidR="00252CA3" w:rsidRPr="00315F60" w:rsidRDefault="00252CA3" w:rsidP="007F13A4">
      <w:pPr>
        <w:pStyle w:val="Bullet1stlevel"/>
      </w:pPr>
      <w:r w:rsidRPr="00315F60">
        <w:t>Type 1 incidents of the category unlawful sexual con</w:t>
      </w:r>
      <w:r w:rsidR="00C5303E" w:rsidRPr="00315F60">
        <w:t>tact</w:t>
      </w:r>
    </w:p>
    <w:p w:rsidR="00252CA3" w:rsidRPr="00315F60" w:rsidRDefault="00252CA3" w:rsidP="007F13A4">
      <w:pPr>
        <w:pStyle w:val="Bullet1stlevel"/>
      </w:pPr>
      <w:r w:rsidRPr="00315F60">
        <w:t>Type 1 incidents of the category unreasonable use of force and which result in a higher level of victim impact</w:t>
      </w:r>
      <w:r w:rsidR="00A87B95" w:rsidRPr="00315F60">
        <w:t>.</w:t>
      </w:r>
    </w:p>
    <w:p w:rsidR="005006BD" w:rsidRPr="00315F60" w:rsidRDefault="00252CA3" w:rsidP="005006BD">
      <w:pPr>
        <w:pStyle w:val="BodyTextkeepwithnext"/>
      </w:pPr>
      <w:r w:rsidRPr="00315F60">
        <w:t>This would be an expansion of the current reportable assaults definition. The number of additional incidents reported would be 3,191 incidents</w:t>
      </w:r>
      <w:r w:rsidR="005006BD" w:rsidRPr="00315F60">
        <w:t>, if incidents meeting any of the following victim impact thresholds were included:</w:t>
      </w:r>
    </w:p>
    <w:p w:rsidR="005006BD" w:rsidRPr="00315F60" w:rsidRDefault="005006BD" w:rsidP="007F13A4">
      <w:pPr>
        <w:pStyle w:val="Bullet1stlevel"/>
      </w:pPr>
      <w:r w:rsidRPr="00315F60">
        <w:t>Fatality of severe permanent physical or psychological impairment</w:t>
      </w:r>
    </w:p>
    <w:p w:rsidR="005006BD" w:rsidRPr="00315F60" w:rsidRDefault="005006BD" w:rsidP="007F13A4">
      <w:pPr>
        <w:pStyle w:val="Bullet1stlevel"/>
      </w:pPr>
      <w:r w:rsidRPr="00315F60">
        <w:t>Permanent physical or psychological impairment</w:t>
      </w:r>
    </w:p>
    <w:p w:rsidR="005006BD" w:rsidRPr="00315F60" w:rsidRDefault="005006BD" w:rsidP="007F13A4">
      <w:pPr>
        <w:pStyle w:val="Bullet1stlevel"/>
      </w:pPr>
      <w:r w:rsidRPr="00315F60">
        <w:t>Physical or psychological injury or illness requiring a hospital admission (but not permanent)</w:t>
      </w:r>
    </w:p>
    <w:p w:rsidR="00252CA3" w:rsidRPr="00315F60" w:rsidRDefault="005006BD" w:rsidP="007F13A4">
      <w:pPr>
        <w:pStyle w:val="Bullet1stlevel"/>
      </w:pPr>
      <w:r w:rsidRPr="00315F60">
        <w:t>Physical or psychological injury or illness requiring onsite medical or psychological treatment.</w:t>
      </w:r>
    </w:p>
    <w:p w:rsidR="00252CA3" w:rsidRPr="00315F60" w:rsidRDefault="00252CA3" w:rsidP="0093030E">
      <w:pPr>
        <w:pStyle w:val="Heading6"/>
      </w:pPr>
      <w:r w:rsidRPr="00315F60">
        <w:t>Benefits of this option</w:t>
      </w:r>
    </w:p>
    <w:p w:rsidR="00252CA3" w:rsidRPr="00315F60" w:rsidRDefault="00252CA3" w:rsidP="00252CA3">
      <w:pPr>
        <w:pStyle w:val="BodyText"/>
      </w:pPr>
      <w:r w:rsidRPr="00315F60">
        <w:t xml:space="preserve">A key benefit of this option is a lower </w:t>
      </w:r>
      <w:r w:rsidR="003E75C8" w:rsidRPr="00315F60">
        <w:t xml:space="preserve">level of reporting </w:t>
      </w:r>
      <w:r w:rsidRPr="00315F60">
        <w:t xml:space="preserve">for services and </w:t>
      </w:r>
      <w:r w:rsidR="003E75C8" w:rsidRPr="00315F60">
        <w:t xml:space="preserve">a lower level of analysis and response for </w:t>
      </w:r>
      <w:r w:rsidRPr="00315F60">
        <w:t>the Commission when compared to collecting other types of incidents</w:t>
      </w:r>
      <w:r w:rsidR="001952BF" w:rsidRPr="00315F60">
        <w:t xml:space="preserve">. </w:t>
      </w:r>
    </w:p>
    <w:p w:rsidR="00252CA3" w:rsidRPr="00315F60" w:rsidRDefault="00252CA3" w:rsidP="00252CA3">
      <w:pPr>
        <w:pStyle w:val="BodyText"/>
      </w:pPr>
      <w:r w:rsidRPr="00315F60">
        <w:t>This option would also focus on collecting data which is focused on incidents associated with the most significant impact or harm to the victim</w:t>
      </w:r>
      <w:r w:rsidR="001952BF" w:rsidRPr="00315F60">
        <w:t xml:space="preserve">. </w:t>
      </w:r>
      <w:r w:rsidRPr="00315F60">
        <w:t>This</w:t>
      </w:r>
      <w:r w:rsidR="00BE4F6C" w:rsidRPr="00315F60">
        <w:t>,</w:t>
      </w:r>
      <w:r w:rsidRPr="00315F60">
        <w:t xml:space="preserve"> in turn</w:t>
      </w:r>
      <w:r w:rsidR="00BE4F6C" w:rsidRPr="00315F60">
        <w:t>,</w:t>
      </w:r>
      <w:r w:rsidRPr="00315F60">
        <w:t xml:space="preserve"> may assist the Commission in taking action to support the reduction of serious incidents in the future. In turn, services may be able to use this guidance to improve their care</w:t>
      </w:r>
      <w:r w:rsidR="003E75C8" w:rsidRPr="00315F60">
        <w:t xml:space="preserve"> and services</w:t>
      </w:r>
      <w:r w:rsidRPr="00315F60">
        <w:t>, resulting in the receipt of higher quality care for residents and better resident experiences.</w:t>
      </w:r>
    </w:p>
    <w:p w:rsidR="00252CA3" w:rsidRPr="00315F60" w:rsidRDefault="00252CA3" w:rsidP="0093030E">
      <w:pPr>
        <w:pStyle w:val="Heading6"/>
      </w:pPr>
      <w:r w:rsidRPr="00315F60">
        <w:t>Limitations of this option</w:t>
      </w:r>
    </w:p>
    <w:p w:rsidR="00252CA3" w:rsidRPr="00315F60" w:rsidRDefault="00252CA3" w:rsidP="00252CA3">
      <w:pPr>
        <w:pStyle w:val="BodyText"/>
      </w:pPr>
      <w:r w:rsidRPr="00315F60">
        <w:t>This option would be associated with greater complexity for implementation</w:t>
      </w:r>
      <w:r w:rsidR="001952BF" w:rsidRPr="00315F60">
        <w:t xml:space="preserve">. </w:t>
      </w:r>
      <w:r w:rsidRPr="00315F60">
        <w:t>To support the submission of accurate data, services need to understand which incidents must be reported</w:t>
      </w:r>
      <w:r w:rsidR="001952BF" w:rsidRPr="00315F60">
        <w:t xml:space="preserve">. </w:t>
      </w:r>
      <w:r w:rsidRPr="00315F60">
        <w:t>Where incidents must meet multiple criteria in order to be considered ‘reportable’</w:t>
      </w:r>
      <w:r w:rsidR="00BE4F6C" w:rsidRPr="00315F60">
        <w:t>,</w:t>
      </w:r>
      <w:r w:rsidRPr="00315F60">
        <w:t xml:space="preserve"> this increases the complexity of identifying in scope incidents and</w:t>
      </w:r>
      <w:r w:rsidR="00BE4F6C" w:rsidRPr="00315F60">
        <w:t>,</w:t>
      </w:r>
      <w:r w:rsidRPr="00315F60">
        <w:t xml:space="preserve"> in turn</w:t>
      </w:r>
      <w:r w:rsidR="00BE4F6C" w:rsidRPr="00315F60">
        <w:t>,</w:t>
      </w:r>
      <w:r w:rsidRPr="00315F60">
        <w:t xml:space="preserve"> the likelihood that the wrong incidents are inadvertently reported as part of the SIRS</w:t>
      </w:r>
      <w:r w:rsidR="001952BF" w:rsidRPr="00315F60">
        <w:t xml:space="preserve">. </w:t>
      </w:r>
      <w:r w:rsidRPr="00315F60">
        <w:t>This may lead to a reduction in the ability of the Commission to use the dataset to inform service specific and system level interventions, and enable services to use this to deliver higher quality care and better experiences for residents.</w:t>
      </w:r>
    </w:p>
    <w:p w:rsidR="00252CA3" w:rsidRPr="00315F60" w:rsidRDefault="00252CA3" w:rsidP="0093030E">
      <w:pPr>
        <w:pStyle w:val="Heading6"/>
      </w:pPr>
      <w:r w:rsidRPr="00315F60">
        <w:t>Summary assessment using principles</w:t>
      </w:r>
    </w:p>
    <w:tbl>
      <w:tblPr>
        <w:tblStyle w:val="TableGrid"/>
        <w:tblW w:w="9636" w:type="dxa"/>
        <w:tblLayout w:type="fixed"/>
        <w:tblLook w:val="04A0" w:firstRow="1" w:lastRow="0" w:firstColumn="1" w:lastColumn="0" w:noHBand="0" w:noVBand="1"/>
        <w:tblDescription w:val="Table showing a summary assessment using principles of reporting all Type 1 incidents involving unlawful sexual contact and unreasonable use of force that result in higher levels of harm to the victim only.  "/>
      </w:tblPr>
      <w:tblGrid>
        <w:gridCol w:w="2972"/>
        <w:gridCol w:w="1666"/>
        <w:gridCol w:w="1666"/>
        <w:gridCol w:w="1666"/>
        <w:gridCol w:w="1666"/>
      </w:tblGrid>
      <w:tr w:rsidR="00315F60" w:rsidRPr="00315F60" w:rsidTr="00506A16">
        <w:trPr>
          <w:tblHeader/>
        </w:trPr>
        <w:tc>
          <w:tcPr>
            <w:tcW w:w="2972" w:type="dxa"/>
            <w:shd w:val="clear" w:color="auto" w:fill="000000" w:themeFill="text1"/>
          </w:tcPr>
          <w:p w:rsidR="009E7E96" w:rsidRPr="00315F60" w:rsidRDefault="009E7E96" w:rsidP="00FA0BA9">
            <w:pPr>
              <w:pStyle w:val="Tableheading"/>
              <w:rPr>
                <w:color w:val="auto"/>
              </w:rPr>
            </w:pPr>
            <w:r w:rsidRPr="00315F60">
              <w:rPr>
                <w:color w:val="auto"/>
              </w:rPr>
              <w:t xml:space="preserve">Option </w:t>
            </w:r>
          </w:p>
          <w:p w:rsidR="009E7E96" w:rsidRPr="00315F60" w:rsidRDefault="009E7E96" w:rsidP="00FA0BA9">
            <w:pPr>
              <w:pStyle w:val="Tableheading"/>
              <w:rPr>
                <w:color w:val="auto"/>
              </w:rPr>
            </w:pPr>
            <w:r w:rsidRPr="00315F60">
              <w:rPr>
                <w:color w:val="auto"/>
              </w:rPr>
              <w:t>(Modelled annual volume)</w:t>
            </w:r>
          </w:p>
          <w:p w:rsidR="009E7E96" w:rsidRPr="00315F60" w:rsidRDefault="009E7E96" w:rsidP="00FA0BA9">
            <w:pPr>
              <w:pStyle w:val="Tableheading"/>
              <w:rPr>
                <w:color w:val="auto"/>
              </w:rPr>
            </w:pP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Ease of application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Level of reporting by services</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Regulatory response by the Commission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Captures additional information about incidents which cause harm</w:t>
            </w:r>
          </w:p>
        </w:tc>
      </w:tr>
      <w:tr w:rsidR="00315F60" w:rsidRPr="00315F60" w:rsidTr="0070733A">
        <w:trPr>
          <w:trHeight w:val="1020"/>
        </w:trPr>
        <w:tc>
          <w:tcPr>
            <w:tcW w:w="2972" w:type="dxa"/>
          </w:tcPr>
          <w:p w:rsidR="00EC05FB" w:rsidRPr="00315F60" w:rsidRDefault="00EC05FB" w:rsidP="00EC05FB">
            <w:pPr>
              <w:rPr>
                <w:sz w:val="18"/>
                <w:szCs w:val="18"/>
              </w:rPr>
            </w:pPr>
            <w:r w:rsidRPr="00315F60">
              <w:rPr>
                <w:sz w:val="18"/>
                <w:szCs w:val="18"/>
              </w:rPr>
              <w:t xml:space="preserve">2.6 – All Type 1 incidents involving unlawful sexual </w:t>
            </w:r>
            <w:r w:rsidR="000A5A9E" w:rsidRPr="00315F60">
              <w:rPr>
                <w:sz w:val="18"/>
                <w:szCs w:val="18"/>
              </w:rPr>
              <w:t>contact</w:t>
            </w:r>
            <w:r w:rsidRPr="00315F60">
              <w:rPr>
                <w:sz w:val="18"/>
                <w:szCs w:val="18"/>
              </w:rPr>
              <w:t xml:space="preserve"> and Type 1 incidents involving unreasonable use of force that result in higher levels of harm to the victim only</w:t>
            </w:r>
          </w:p>
          <w:p w:rsidR="00EC05FB" w:rsidRPr="00315F60" w:rsidRDefault="00EC05FB" w:rsidP="00EC05FB">
            <w:pPr>
              <w:rPr>
                <w:sz w:val="18"/>
                <w:szCs w:val="18"/>
              </w:rPr>
            </w:pPr>
            <w:r w:rsidRPr="00315F60">
              <w:rPr>
                <w:sz w:val="18"/>
                <w:szCs w:val="18"/>
              </w:rPr>
              <w:t>(3,191 incidents)</w:t>
            </w:r>
          </w:p>
        </w:tc>
        <w:tc>
          <w:tcPr>
            <w:tcW w:w="1666" w:type="dxa"/>
            <w:vAlign w:val="center"/>
          </w:tcPr>
          <w:p w:rsidR="00EC05FB" w:rsidRPr="00315F60" w:rsidDel="00C87D19" w:rsidRDefault="0070733A" w:rsidP="0070733A">
            <w:pPr>
              <w:spacing w:after="0"/>
              <w:jc w:val="center"/>
              <w:rPr>
                <w:noProof/>
                <w:szCs w:val="20"/>
                <w:lang w:eastAsia="en-AU"/>
              </w:rPr>
            </w:pPr>
            <w:r w:rsidRPr="00315F60">
              <w:rPr>
                <w:noProof/>
                <w:szCs w:val="20"/>
                <w:lang w:eastAsia="en-AU"/>
              </w:rPr>
              <w:t>Amber</w:t>
            </w:r>
          </w:p>
        </w:tc>
        <w:tc>
          <w:tcPr>
            <w:tcW w:w="1666" w:type="dxa"/>
            <w:vAlign w:val="center"/>
          </w:tcPr>
          <w:p w:rsidR="00EC05FB" w:rsidRPr="00315F60" w:rsidDel="00C87D19" w:rsidRDefault="0070733A" w:rsidP="0070733A">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Del="00C87D19" w:rsidRDefault="0070733A" w:rsidP="0070733A">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RDefault="0070733A" w:rsidP="0070733A">
            <w:pPr>
              <w:spacing w:after="0"/>
              <w:jc w:val="center"/>
              <w:rPr>
                <w:noProof/>
                <w:szCs w:val="20"/>
                <w:lang w:eastAsia="en-AU"/>
              </w:rPr>
            </w:pPr>
            <w:r w:rsidRPr="00315F60">
              <w:rPr>
                <w:noProof/>
                <w:szCs w:val="20"/>
                <w:lang w:eastAsia="en-AU"/>
              </w:rPr>
              <w:t>Green</w:t>
            </w:r>
          </w:p>
        </w:tc>
      </w:tr>
    </w:tbl>
    <w:p w:rsidR="00252CA3" w:rsidRPr="00315F60" w:rsidRDefault="00252CA3" w:rsidP="002F54AD">
      <w:pPr>
        <w:pStyle w:val="Heading4"/>
        <w:rPr>
          <w:color w:val="auto"/>
        </w:rPr>
      </w:pPr>
      <w:r w:rsidRPr="00315F60">
        <w:rPr>
          <w:color w:val="auto"/>
        </w:rPr>
        <w:lastRenderedPageBreak/>
        <w:t>Option 3: Make no change to the current reporting arrangements</w:t>
      </w:r>
    </w:p>
    <w:p w:rsidR="00252CA3" w:rsidRPr="00315F60" w:rsidRDefault="00252CA3" w:rsidP="0093030E">
      <w:pPr>
        <w:pStyle w:val="Heading6"/>
      </w:pPr>
      <w:r w:rsidRPr="00315F60">
        <w:t>Incidents covered by this option</w:t>
      </w:r>
    </w:p>
    <w:p w:rsidR="00252CA3" w:rsidRPr="00315F60" w:rsidRDefault="00252CA3" w:rsidP="00252CA3">
      <w:pPr>
        <w:pStyle w:val="BodyText"/>
      </w:pPr>
      <w:r w:rsidRPr="00315F60">
        <w:t xml:space="preserve">Under this option, incidents which would be reported would be only those which meet the </w:t>
      </w:r>
      <w:r w:rsidR="003E75C8" w:rsidRPr="00315F60">
        <w:t xml:space="preserve">current </w:t>
      </w:r>
      <w:r w:rsidRPr="00315F60">
        <w:t xml:space="preserve">criteria for a reportable assault, and are not subject to </w:t>
      </w:r>
      <w:r w:rsidR="003E75C8" w:rsidRPr="00315F60">
        <w:t xml:space="preserve">the existing </w:t>
      </w:r>
      <w:r w:rsidRPr="00315F60">
        <w:t>exclusion criteria for reporting</w:t>
      </w:r>
      <w:r w:rsidR="001952BF" w:rsidRPr="00315F60">
        <w:t xml:space="preserve">. </w:t>
      </w:r>
    </w:p>
    <w:p w:rsidR="00252CA3" w:rsidRPr="00315F60" w:rsidRDefault="00252CA3" w:rsidP="0093030E">
      <w:pPr>
        <w:pStyle w:val="Heading6"/>
      </w:pPr>
      <w:r w:rsidRPr="00315F60">
        <w:t>Benefits of this option</w:t>
      </w:r>
    </w:p>
    <w:p w:rsidR="00252CA3" w:rsidRPr="00315F60" w:rsidRDefault="00252CA3" w:rsidP="00252CA3">
      <w:pPr>
        <w:pStyle w:val="BodyText"/>
      </w:pPr>
      <w:r w:rsidRPr="00315F60">
        <w:t>The key benefit of this option is that there would be no additional</w:t>
      </w:r>
      <w:r w:rsidR="003E75C8" w:rsidRPr="00315F60">
        <w:t xml:space="preserve"> reporting required by services and additional regulatory responses (both analysis and response) required by the Commission,</w:t>
      </w:r>
      <w:r w:rsidRPr="00315F60">
        <w:t xml:space="preserve"> compared to the current </w:t>
      </w:r>
      <w:r w:rsidR="003E75C8" w:rsidRPr="00315F60">
        <w:t>arrangements</w:t>
      </w:r>
      <w:r w:rsidR="001952BF" w:rsidRPr="00315F60">
        <w:t xml:space="preserve">. </w:t>
      </w:r>
    </w:p>
    <w:p w:rsidR="00252CA3" w:rsidRPr="00315F60" w:rsidRDefault="00252CA3" w:rsidP="0093030E">
      <w:pPr>
        <w:pStyle w:val="Heading6"/>
      </w:pPr>
      <w:r w:rsidRPr="00315F60">
        <w:t>Limitations of this option</w:t>
      </w:r>
    </w:p>
    <w:p w:rsidR="00252CA3" w:rsidRPr="00315F60" w:rsidRDefault="00252CA3" w:rsidP="00252CA3">
      <w:pPr>
        <w:pStyle w:val="BodyText"/>
      </w:pPr>
      <w:r w:rsidRPr="00315F60">
        <w:t xml:space="preserve">The limitations of this option are that no additional reports about </w:t>
      </w:r>
      <w:r w:rsidR="00A75F38" w:rsidRPr="00315F60">
        <w:t>resident on resident</w:t>
      </w:r>
      <w:r w:rsidRPr="00315F60">
        <w:t xml:space="preserve"> incidents would be available. This would limit the Commission’s understanding of the prevalence of these incidents and</w:t>
      </w:r>
      <w:r w:rsidR="00BE4F6C" w:rsidRPr="00315F60">
        <w:t>,</w:t>
      </w:r>
      <w:r w:rsidRPr="00315F60">
        <w:t xml:space="preserve"> in turn</w:t>
      </w:r>
      <w:r w:rsidR="00BE4F6C" w:rsidRPr="00315F60">
        <w:t>,</w:t>
      </w:r>
      <w:r w:rsidRPr="00315F60">
        <w:t xml:space="preserve"> their ability to intervene at a system or individual service level to support improvements in the quality of care</w:t>
      </w:r>
      <w:r w:rsidR="003E75C8" w:rsidRPr="00315F60">
        <w:t xml:space="preserve"> and services</w:t>
      </w:r>
      <w:r w:rsidR="001952BF" w:rsidRPr="00315F60">
        <w:t xml:space="preserve">. </w:t>
      </w:r>
      <w:r w:rsidRPr="00315F60">
        <w:t>Without service specific and system level interventions, services will not be able to access the guidance which could assist in improving the quality of their services for residents and improving resident experiences.</w:t>
      </w:r>
    </w:p>
    <w:p w:rsidR="00252CA3" w:rsidRPr="00315F60" w:rsidRDefault="00252CA3" w:rsidP="00252CA3">
      <w:pPr>
        <w:pStyle w:val="BodyText"/>
      </w:pPr>
      <w:r w:rsidRPr="00315F60">
        <w:t>This option does not have a specific focus on incidents which cause harm</w:t>
      </w:r>
      <w:r w:rsidR="001952BF" w:rsidRPr="00315F60">
        <w:t xml:space="preserve">. </w:t>
      </w:r>
      <w:r w:rsidRPr="00315F60">
        <w:t>Impact or harm incurred to the resident who is the victim is not a consideration in the current reporting threshold.</w:t>
      </w:r>
    </w:p>
    <w:p w:rsidR="00252CA3" w:rsidRPr="00315F60" w:rsidRDefault="00252CA3" w:rsidP="0093030E">
      <w:pPr>
        <w:pStyle w:val="Heading6"/>
      </w:pPr>
      <w:r w:rsidRPr="00315F60">
        <w:t>Summary assessment using principles</w:t>
      </w:r>
    </w:p>
    <w:tbl>
      <w:tblPr>
        <w:tblStyle w:val="TableGrid"/>
        <w:tblW w:w="9636" w:type="dxa"/>
        <w:tblLayout w:type="fixed"/>
        <w:tblLook w:val="04A0" w:firstRow="1" w:lastRow="0" w:firstColumn="1" w:lastColumn="0" w:noHBand="0" w:noVBand="1"/>
        <w:tblDescription w:val="Table showing a summary assessment using principles of having no change to the current reporting requirements."/>
      </w:tblPr>
      <w:tblGrid>
        <w:gridCol w:w="2972"/>
        <w:gridCol w:w="1666"/>
        <w:gridCol w:w="1666"/>
        <w:gridCol w:w="1666"/>
        <w:gridCol w:w="1666"/>
      </w:tblGrid>
      <w:tr w:rsidR="00315F60" w:rsidRPr="00315F60" w:rsidTr="00506A16">
        <w:trPr>
          <w:tblHeader/>
        </w:trPr>
        <w:tc>
          <w:tcPr>
            <w:tcW w:w="2972" w:type="dxa"/>
            <w:shd w:val="clear" w:color="auto" w:fill="000000" w:themeFill="text1"/>
          </w:tcPr>
          <w:p w:rsidR="009E7E96" w:rsidRPr="00315F60" w:rsidRDefault="009E7E96" w:rsidP="00FA0BA9">
            <w:pPr>
              <w:pStyle w:val="Tableheading"/>
              <w:rPr>
                <w:color w:val="auto"/>
              </w:rPr>
            </w:pPr>
            <w:r w:rsidRPr="00315F60">
              <w:rPr>
                <w:color w:val="auto"/>
              </w:rPr>
              <w:t xml:space="preserve">Option </w:t>
            </w:r>
          </w:p>
          <w:p w:rsidR="009E7E96" w:rsidRPr="00315F60" w:rsidRDefault="009E7E96" w:rsidP="00FA0BA9">
            <w:pPr>
              <w:pStyle w:val="Tableheading"/>
              <w:rPr>
                <w:color w:val="auto"/>
              </w:rPr>
            </w:pPr>
            <w:r w:rsidRPr="00315F60">
              <w:rPr>
                <w:color w:val="auto"/>
              </w:rPr>
              <w:t>(Modelled annual volume)</w:t>
            </w:r>
          </w:p>
          <w:p w:rsidR="009E7E96" w:rsidRPr="00315F60" w:rsidRDefault="009E7E96" w:rsidP="00FA0BA9">
            <w:pPr>
              <w:pStyle w:val="Tableheading"/>
              <w:rPr>
                <w:color w:val="auto"/>
              </w:rPr>
            </w:pP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Ease of application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Level of reporting by services</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Regulatory response by the Commission</w:t>
            </w:r>
          </w:p>
        </w:tc>
        <w:tc>
          <w:tcPr>
            <w:tcW w:w="1666" w:type="dxa"/>
            <w:shd w:val="clear" w:color="auto" w:fill="000000" w:themeFill="text1"/>
          </w:tcPr>
          <w:p w:rsidR="009E7E96" w:rsidRPr="00315F60" w:rsidRDefault="009E7E96" w:rsidP="00FA0BA9">
            <w:pPr>
              <w:pStyle w:val="Tableheading"/>
              <w:rPr>
                <w:color w:val="auto"/>
              </w:rPr>
            </w:pPr>
            <w:r w:rsidRPr="00315F60">
              <w:rPr>
                <w:color w:val="auto"/>
              </w:rPr>
              <w:t>Captures additional information about incidents which cause harm</w:t>
            </w:r>
          </w:p>
        </w:tc>
      </w:tr>
      <w:tr w:rsidR="00EC05FB" w:rsidRPr="00315F60" w:rsidTr="0070733A">
        <w:trPr>
          <w:trHeight w:val="1020"/>
        </w:trPr>
        <w:tc>
          <w:tcPr>
            <w:tcW w:w="2972" w:type="dxa"/>
          </w:tcPr>
          <w:p w:rsidR="00EC05FB" w:rsidRPr="00315F60" w:rsidRDefault="00EC05FB" w:rsidP="00EC05FB">
            <w:pPr>
              <w:rPr>
                <w:sz w:val="18"/>
                <w:szCs w:val="18"/>
              </w:rPr>
            </w:pPr>
            <w:r w:rsidRPr="00315F60">
              <w:rPr>
                <w:sz w:val="18"/>
                <w:szCs w:val="18"/>
              </w:rPr>
              <w:t>Option 3 – no change to the current reporting requirements</w:t>
            </w:r>
          </w:p>
          <w:p w:rsidR="00EC05FB" w:rsidRPr="00315F60" w:rsidRDefault="00EC05FB" w:rsidP="00EC05FB">
            <w:pPr>
              <w:rPr>
                <w:sz w:val="18"/>
                <w:szCs w:val="18"/>
              </w:rPr>
            </w:pPr>
            <w:r w:rsidRPr="00315F60">
              <w:rPr>
                <w:sz w:val="18"/>
                <w:szCs w:val="18"/>
              </w:rPr>
              <w:t>(Zero Type 1 incidents and zero Type 2 incidents)</w:t>
            </w:r>
          </w:p>
        </w:tc>
        <w:tc>
          <w:tcPr>
            <w:tcW w:w="1666" w:type="dxa"/>
            <w:vAlign w:val="center"/>
          </w:tcPr>
          <w:p w:rsidR="00EC05FB" w:rsidRPr="00315F60" w:rsidRDefault="0070733A" w:rsidP="0070733A">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RDefault="0070733A" w:rsidP="0070733A">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RDefault="0070733A" w:rsidP="0070733A">
            <w:pPr>
              <w:spacing w:after="0"/>
              <w:jc w:val="center"/>
              <w:rPr>
                <w:noProof/>
                <w:szCs w:val="20"/>
                <w:lang w:eastAsia="en-AU"/>
              </w:rPr>
            </w:pPr>
            <w:r w:rsidRPr="00315F60">
              <w:rPr>
                <w:noProof/>
                <w:szCs w:val="20"/>
                <w:lang w:eastAsia="en-AU"/>
              </w:rPr>
              <w:t>Green</w:t>
            </w:r>
          </w:p>
        </w:tc>
        <w:tc>
          <w:tcPr>
            <w:tcW w:w="1666" w:type="dxa"/>
            <w:vAlign w:val="center"/>
          </w:tcPr>
          <w:p w:rsidR="00EC05FB" w:rsidRPr="00315F60" w:rsidRDefault="0070733A" w:rsidP="0070733A">
            <w:pPr>
              <w:spacing w:after="0"/>
              <w:jc w:val="center"/>
              <w:rPr>
                <w:noProof/>
                <w:szCs w:val="20"/>
                <w:lang w:eastAsia="en-AU"/>
              </w:rPr>
            </w:pPr>
            <w:r w:rsidRPr="00315F60">
              <w:rPr>
                <w:noProof/>
                <w:szCs w:val="20"/>
                <w:lang w:eastAsia="en-AU"/>
              </w:rPr>
              <w:t>Red</w:t>
            </w:r>
          </w:p>
        </w:tc>
      </w:tr>
    </w:tbl>
    <w:p w:rsidR="00A87B95" w:rsidRPr="00315F60" w:rsidRDefault="00A87B95" w:rsidP="00252CA3">
      <w:pPr>
        <w:tabs>
          <w:tab w:val="left" w:pos="3733"/>
        </w:tabs>
      </w:pPr>
    </w:p>
    <w:p w:rsidR="00252CA3" w:rsidRPr="00315F60" w:rsidRDefault="00252CA3" w:rsidP="00252CA3">
      <w:pPr>
        <w:pStyle w:val="Heading3"/>
        <w:rPr>
          <w:color w:val="auto"/>
        </w:rPr>
      </w:pPr>
      <w:r w:rsidRPr="00315F60">
        <w:rPr>
          <w:color w:val="auto"/>
        </w:rPr>
        <w:t>Outcomes of the option assessment</w:t>
      </w:r>
    </w:p>
    <w:p w:rsidR="00252CA3" w:rsidRPr="00315F60" w:rsidRDefault="00252CA3" w:rsidP="00FA0BA9">
      <w:pPr>
        <w:pStyle w:val="BodyTextkeepwithnext"/>
      </w:pPr>
      <w:r w:rsidRPr="00315F60">
        <w:t xml:space="preserve">Based on the option assessment described in section </w:t>
      </w:r>
      <w:r w:rsidR="00BE4F6C" w:rsidRPr="00315F60">
        <w:fldChar w:fldCharType="begin"/>
      </w:r>
      <w:r w:rsidR="00BE4F6C" w:rsidRPr="00315F60">
        <w:instrText xml:space="preserve"> REF _Ref25424707 \w \h </w:instrText>
      </w:r>
      <w:r w:rsidR="00BE4F6C" w:rsidRPr="00315F60">
        <w:fldChar w:fldCharType="separate"/>
      </w:r>
      <w:r w:rsidR="004355CA" w:rsidRPr="00315F60">
        <w:t>3.1</w:t>
      </w:r>
      <w:r w:rsidR="00BE4F6C" w:rsidRPr="00315F60">
        <w:fldChar w:fldCharType="end"/>
      </w:r>
      <w:r w:rsidRPr="00315F60">
        <w:t>, two options were rated most positively</w:t>
      </w:r>
      <w:r w:rsidR="001952BF" w:rsidRPr="00315F60">
        <w:t xml:space="preserve">. </w:t>
      </w:r>
      <w:r w:rsidRPr="00315F60">
        <w:t xml:space="preserve">These </w:t>
      </w:r>
      <w:r w:rsidR="003E75C8" w:rsidRPr="00315F60">
        <w:t>are</w:t>
      </w:r>
      <w:r w:rsidRPr="00315F60">
        <w:t>:</w:t>
      </w:r>
    </w:p>
    <w:p w:rsidR="00252CA3" w:rsidRPr="00315F60" w:rsidRDefault="00252CA3" w:rsidP="007F13A4">
      <w:pPr>
        <w:pStyle w:val="Bullet1stlevel"/>
      </w:pPr>
      <w:r w:rsidRPr="00315F60">
        <w:t>Option 2.</w:t>
      </w:r>
      <w:r w:rsidR="006354F4" w:rsidRPr="00315F60">
        <w:t>4</w:t>
      </w:r>
      <w:r w:rsidRPr="00315F60">
        <w:t>: Reporting all Type 1 incidents resulting in higher levels of impact</w:t>
      </w:r>
    </w:p>
    <w:p w:rsidR="00252CA3" w:rsidRPr="00315F60" w:rsidRDefault="00252CA3" w:rsidP="007F13A4">
      <w:pPr>
        <w:pStyle w:val="Bullet1stlevel"/>
      </w:pPr>
      <w:r w:rsidRPr="00315F60">
        <w:t>Option 2.</w:t>
      </w:r>
      <w:r w:rsidR="006354F4" w:rsidRPr="00315F60">
        <w:t>6</w:t>
      </w:r>
      <w:r w:rsidRPr="00315F60">
        <w:t xml:space="preserve">: Reporting all Type 1 incidents involving unlawful sexual </w:t>
      </w:r>
      <w:r w:rsidR="000A5A9E" w:rsidRPr="00315F60">
        <w:t xml:space="preserve">contact </w:t>
      </w:r>
      <w:r w:rsidRPr="00315F60">
        <w:t>and Type 1 incidents involving unreasonable use of force and higher levels of harm to the victim only.</w:t>
      </w:r>
    </w:p>
    <w:p w:rsidR="00252CA3" w:rsidRPr="00315F60" w:rsidRDefault="00252CA3" w:rsidP="00252CA3">
      <w:r w:rsidRPr="00315F60">
        <w:t>Benefits associated with both these options include:</w:t>
      </w:r>
    </w:p>
    <w:p w:rsidR="00252CA3" w:rsidRPr="00315F60" w:rsidRDefault="00252CA3" w:rsidP="007F13A4">
      <w:pPr>
        <w:pStyle w:val="Bullet1stlevel"/>
      </w:pPr>
      <w:r w:rsidRPr="00315F60">
        <w:t xml:space="preserve">They both collect additional information about serious </w:t>
      </w:r>
      <w:r w:rsidR="00A75F38" w:rsidRPr="00315F60">
        <w:t>resident on resident</w:t>
      </w:r>
      <w:r w:rsidRPr="00315F60">
        <w:t xml:space="preserve"> incidents which is not currently available, in turn contributing to addressing the gaps identified in the ALRC report.</w:t>
      </w:r>
    </w:p>
    <w:p w:rsidR="00252CA3" w:rsidRPr="00315F60" w:rsidRDefault="00252CA3" w:rsidP="007F13A4">
      <w:pPr>
        <w:pStyle w:val="Bullet1stlevel"/>
      </w:pPr>
      <w:r w:rsidRPr="00315F60">
        <w:t xml:space="preserve">Both target reporting to those incidents which are associated with greater impact on the residents who were </w:t>
      </w:r>
      <w:r w:rsidR="00BE4F6C" w:rsidRPr="00315F60">
        <w:t xml:space="preserve">the </w:t>
      </w:r>
      <w:r w:rsidRPr="00315F60">
        <w:t>victim</w:t>
      </w:r>
      <w:r w:rsidR="001952BF" w:rsidRPr="00315F60">
        <w:t xml:space="preserve">. </w:t>
      </w:r>
      <w:r w:rsidRPr="00315F60">
        <w:t>This facilitates the collection of data which can, in a more targeted way, inform system level and service specific interventions by the Commission and</w:t>
      </w:r>
      <w:r w:rsidR="00BE4F6C" w:rsidRPr="00315F60">
        <w:t>,</w:t>
      </w:r>
      <w:r w:rsidRPr="00315F60">
        <w:t xml:space="preserve"> in turn</w:t>
      </w:r>
      <w:r w:rsidR="00BE4F6C" w:rsidRPr="00315F60">
        <w:t>,</w:t>
      </w:r>
      <w:r w:rsidRPr="00315F60">
        <w:t xml:space="preserve"> enable</w:t>
      </w:r>
      <w:r w:rsidR="003E75C8" w:rsidRPr="00315F60">
        <w:t>s</w:t>
      </w:r>
      <w:r w:rsidRPr="00315F60">
        <w:t xml:space="preserve"> services to deliver better quality care</w:t>
      </w:r>
      <w:r w:rsidR="003E75C8" w:rsidRPr="00315F60">
        <w:t xml:space="preserve"> and services</w:t>
      </w:r>
      <w:r w:rsidRPr="00315F60">
        <w:t xml:space="preserve"> that enhances the experience and wellbeing of residents.</w:t>
      </w:r>
    </w:p>
    <w:p w:rsidR="00252CA3" w:rsidRPr="00315F60" w:rsidRDefault="00252CA3" w:rsidP="007F13A4">
      <w:pPr>
        <w:pStyle w:val="Bullet1stlevel"/>
      </w:pPr>
      <w:r w:rsidRPr="00315F60">
        <w:lastRenderedPageBreak/>
        <w:t>Both options present</w:t>
      </w:r>
      <w:r w:rsidR="003E75C8" w:rsidRPr="00315F60">
        <w:t xml:space="preserve"> a lower volume of incidents for the Commission to respond and analyse to </w:t>
      </w:r>
      <w:r w:rsidRPr="00315F60">
        <w:t xml:space="preserve">when compared to most of the other options requiring a broader set of incidents to be reported, in turn, limiting the resources required to administer the </w:t>
      </w:r>
      <w:r w:rsidR="00BE4F6C" w:rsidRPr="00315F60">
        <w:t>SIRS</w:t>
      </w:r>
      <w:r w:rsidRPr="00315F60">
        <w:t>.</w:t>
      </w:r>
    </w:p>
    <w:p w:rsidR="00252CA3" w:rsidRPr="00315F60" w:rsidRDefault="00252CA3" w:rsidP="007F13A4">
      <w:pPr>
        <w:pStyle w:val="Bullet1stlevel"/>
      </w:pPr>
      <w:r w:rsidRPr="00315F60">
        <w:t xml:space="preserve">Both present a </w:t>
      </w:r>
      <w:r w:rsidR="003E75C8" w:rsidRPr="00315F60">
        <w:t>lower volume of incidents for services to report</w:t>
      </w:r>
      <w:r w:rsidRPr="00315F60">
        <w:t xml:space="preserve"> when compared to most of the other options to expand the threshold and</w:t>
      </w:r>
      <w:r w:rsidR="00BE4F6C" w:rsidRPr="00315F60">
        <w:t>,</w:t>
      </w:r>
      <w:r w:rsidRPr="00315F60">
        <w:t xml:space="preserve"> as such</w:t>
      </w:r>
      <w:r w:rsidR="00BE4F6C" w:rsidRPr="00315F60">
        <w:t>,</w:t>
      </w:r>
      <w:r w:rsidRPr="00315F60">
        <w:t xml:space="preserve"> are associated with a lesser need for resources which are focused on making reports</w:t>
      </w:r>
      <w:r w:rsidR="001952BF" w:rsidRPr="00315F60">
        <w:t xml:space="preserve">. </w:t>
      </w:r>
      <w:r w:rsidRPr="00315F60">
        <w:t>This may free up resources to focus on local or service-specific efforts to improve the quality of care.</w:t>
      </w:r>
    </w:p>
    <w:p w:rsidR="00252CA3" w:rsidRPr="00315F60" w:rsidRDefault="00252CA3" w:rsidP="00252CA3">
      <w:pPr>
        <w:pStyle w:val="BodyText"/>
      </w:pPr>
      <w:r w:rsidRPr="00315F60">
        <w:t>The key challenge with both options relates to the ease of application of these thresholds</w:t>
      </w:r>
      <w:r w:rsidR="001952BF" w:rsidRPr="00315F60">
        <w:t xml:space="preserve">. </w:t>
      </w:r>
      <w:r w:rsidRPr="00315F60">
        <w:t>Both options would require services to be clear as to which specific incidents are in scope for reporting</w:t>
      </w:r>
      <w:r w:rsidR="001952BF" w:rsidRPr="00315F60">
        <w:t xml:space="preserve">. </w:t>
      </w:r>
      <w:r w:rsidRPr="00315F60">
        <w:t>As such, there will be a need for clear and simple tools and resources to help services understand new requirements, and education to embed the new practices should either of these options be implemented.</w:t>
      </w:r>
    </w:p>
    <w:p w:rsidR="00252CA3" w:rsidRPr="00315F60" w:rsidRDefault="00252CA3" w:rsidP="00252CA3">
      <w:pPr>
        <w:pStyle w:val="BodyText"/>
      </w:pPr>
      <w:r w:rsidRPr="00315F60">
        <w:t xml:space="preserve">In making a decision about the future threshold for reporting of </w:t>
      </w:r>
      <w:r w:rsidR="00A75F38" w:rsidRPr="00315F60">
        <w:t>resident on resident</w:t>
      </w:r>
      <w:r w:rsidRPr="00315F60">
        <w:t xml:space="preserve"> incidents, the level of maturity of this data collection should be considered</w:t>
      </w:r>
      <w:r w:rsidR="001952BF" w:rsidRPr="00315F60">
        <w:t xml:space="preserve">. </w:t>
      </w:r>
      <w:r w:rsidRPr="00315F60">
        <w:t xml:space="preserve">This report outlines the findings from the first prevalence study for </w:t>
      </w:r>
      <w:r w:rsidR="00A75F38" w:rsidRPr="00315F60">
        <w:t>resident on resident</w:t>
      </w:r>
      <w:r w:rsidRPr="00315F60">
        <w:t xml:space="preserve"> incidents in Australia and</w:t>
      </w:r>
      <w:r w:rsidR="00BE4F6C" w:rsidRPr="00315F60">
        <w:t>,</w:t>
      </w:r>
      <w:r w:rsidRPr="00315F60">
        <w:t xml:space="preserve"> as such</w:t>
      </w:r>
      <w:r w:rsidR="00BE4F6C" w:rsidRPr="00315F60">
        <w:t>,</w:t>
      </w:r>
      <w:r w:rsidRPr="00315F60">
        <w:t xml:space="preserve"> is the first step in both understanding how frequently such incidents occur as well as the nature of these incidents</w:t>
      </w:r>
      <w:r w:rsidR="001952BF" w:rsidRPr="00315F60">
        <w:t xml:space="preserve">. </w:t>
      </w:r>
      <w:r w:rsidRPr="00315F60">
        <w:t>As further data is collected, more information will become available to guide ongoing reporting</w:t>
      </w:r>
      <w:r w:rsidR="001952BF" w:rsidRPr="00315F60">
        <w:t xml:space="preserve">. </w:t>
      </w:r>
      <w:r w:rsidRPr="00315F60">
        <w:t>In turn, this will assist in refining both reporting thresholds and the data fields for the future, in turn ensur</w:t>
      </w:r>
      <w:r w:rsidR="00646641" w:rsidRPr="00315F60">
        <w:t>ing</w:t>
      </w:r>
      <w:r w:rsidRPr="00315F60">
        <w:t xml:space="preserve"> that the </w:t>
      </w:r>
      <w:r w:rsidR="00646641" w:rsidRPr="00315F60">
        <w:t xml:space="preserve">SIRS </w:t>
      </w:r>
      <w:r w:rsidRPr="00315F60">
        <w:t>remains fit for purpose in its aim to strengthen the quality of care for older Australians.</w:t>
      </w:r>
    </w:p>
    <w:tbl>
      <w:tblPr>
        <w:tblStyle w:val="TableGrid"/>
        <w:tblW w:w="0" w:type="auto"/>
        <w:shd w:val="clear" w:color="auto" w:fill="C4EBFF" w:themeFill="accent2" w:themeFillTint="33"/>
        <w:tblLook w:val="04A0" w:firstRow="1" w:lastRow="0" w:firstColumn="1" w:lastColumn="0" w:noHBand="0" w:noVBand="1"/>
        <w:tblDescription w:val="Call-out box with a summary of key findings. "/>
      </w:tblPr>
      <w:tblGrid>
        <w:gridCol w:w="9060"/>
      </w:tblGrid>
      <w:tr w:rsidR="00315F60" w:rsidRPr="00315F60" w:rsidTr="0008252F">
        <w:tc>
          <w:tcPr>
            <w:tcW w:w="9060" w:type="dxa"/>
            <w:shd w:val="clear" w:color="auto" w:fill="FFFFFF" w:themeFill="background1"/>
          </w:tcPr>
          <w:p w:rsidR="006226B0" w:rsidRPr="00315F60" w:rsidRDefault="006226B0" w:rsidP="00C7186C">
            <w:pPr>
              <w:pStyle w:val="BodyText"/>
              <w:rPr>
                <w:b/>
              </w:rPr>
            </w:pPr>
            <w:r w:rsidRPr="00315F60">
              <w:rPr>
                <w:b/>
              </w:rPr>
              <w:t xml:space="preserve">Summary of key findings </w:t>
            </w:r>
          </w:p>
          <w:p w:rsidR="006226B0" w:rsidRPr="00315F60" w:rsidRDefault="006226B0" w:rsidP="00C7186C">
            <w:pPr>
              <w:pStyle w:val="Bullet1stlevel"/>
            </w:pPr>
            <w:r w:rsidRPr="00315F60">
              <w:t>Eight options for the future reporting of resident on resident incidents in a SIRS were presented, and analysed, including:</w:t>
            </w:r>
          </w:p>
          <w:p w:rsidR="006226B0" w:rsidRPr="00315F60" w:rsidRDefault="006226B0" w:rsidP="00C7186C">
            <w:pPr>
              <w:pStyle w:val="ListBullet2"/>
            </w:pPr>
            <w:r w:rsidRPr="00315F60">
              <w:t>Option 1: Report all Type 1 and Type 2 incidents</w:t>
            </w:r>
          </w:p>
          <w:p w:rsidR="006226B0" w:rsidRPr="00315F60" w:rsidRDefault="006226B0" w:rsidP="00C7186C">
            <w:pPr>
              <w:pStyle w:val="ListBullet2"/>
            </w:pPr>
            <w:r w:rsidRPr="00315F60">
              <w:t>Option 2.1: Report All Type 1 incidents only</w:t>
            </w:r>
          </w:p>
          <w:p w:rsidR="006226B0" w:rsidRPr="00315F60" w:rsidRDefault="006226B0" w:rsidP="00C7186C">
            <w:pPr>
              <w:pStyle w:val="ListBullet2"/>
            </w:pPr>
            <w:r w:rsidRPr="00315F60">
              <w:t>Option 2.2: Report all Type1 unreasonable use of force only</w:t>
            </w:r>
          </w:p>
          <w:p w:rsidR="006226B0" w:rsidRPr="00315F60" w:rsidRDefault="006226B0" w:rsidP="00C7186C">
            <w:pPr>
              <w:pStyle w:val="ListBullet2"/>
            </w:pPr>
            <w:r w:rsidRPr="00315F60">
              <w:t>Option 2.3: Report Type 1, unlawful sexual contact only</w:t>
            </w:r>
          </w:p>
          <w:p w:rsidR="006226B0" w:rsidRPr="00315F60" w:rsidRDefault="006226B0" w:rsidP="00C7186C">
            <w:pPr>
              <w:pStyle w:val="ListBullet2"/>
            </w:pPr>
            <w:r w:rsidRPr="00315F60">
              <w:t>Option 2.4: Report Type 1, incidents of a ‘higher’ level of impact only</w:t>
            </w:r>
          </w:p>
          <w:p w:rsidR="006226B0" w:rsidRPr="00315F60" w:rsidRDefault="006226B0" w:rsidP="00C7186C">
            <w:pPr>
              <w:pStyle w:val="ListBullet2"/>
            </w:pPr>
            <w:r w:rsidRPr="00315F60">
              <w:t>Option 2.5: Report all Type 1, incidents triggering particular types of provider responses only</w:t>
            </w:r>
          </w:p>
          <w:p w:rsidR="006226B0" w:rsidRPr="00315F60" w:rsidRDefault="006226B0" w:rsidP="00C7186C">
            <w:pPr>
              <w:pStyle w:val="ListBullet2"/>
            </w:pPr>
            <w:r w:rsidRPr="00315F60">
              <w:t>Option 2.6: Report all Type 1 unlawful sexual contact and all Type 1 unreasonable use of force associated with a higher level of impact only</w:t>
            </w:r>
          </w:p>
          <w:p w:rsidR="006226B0" w:rsidRPr="00315F60" w:rsidRDefault="006226B0" w:rsidP="00C7186C">
            <w:pPr>
              <w:pStyle w:val="ListBullet2"/>
            </w:pPr>
            <w:r w:rsidRPr="00315F60">
              <w:t>Option 3: No change to the reporting requirements.</w:t>
            </w:r>
          </w:p>
          <w:p w:rsidR="006226B0" w:rsidRPr="00315F60" w:rsidRDefault="006226B0" w:rsidP="00C7186C">
            <w:pPr>
              <w:pStyle w:val="Bullet1stlevel"/>
            </w:pPr>
            <w:r w:rsidRPr="00315F60">
              <w:t>Each option was analysed, using the assessment principles of ease of application, level of reporting by services, regulatory response by the Commission, and the extent to which the option supported the capture of additional information on those incidents associated with the most harm.</w:t>
            </w:r>
          </w:p>
          <w:p w:rsidR="006226B0" w:rsidRPr="00315F60" w:rsidRDefault="006226B0" w:rsidP="00C7186C">
            <w:pPr>
              <w:pStyle w:val="Bullet1stlevel"/>
            </w:pPr>
            <w:r w:rsidRPr="00315F60">
              <w:t>Based on this assessment, two preferred options were identified. These were Option 2.4 and Option 2.6. Benefits associated with both of these options include:</w:t>
            </w:r>
          </w:p>
          <w:p w:rsidR="006226B0" w:rsidRPr="00315F60" w:rsidRDefault="006226B0" w:rsidP="00C7186C">
            <w:pPr>
              <w:pStyle w:val="ListBullet2"/>
            </w:pPr>
            <w:r w:rsidRPr="00315F60">
              <w:t>They both collect additional information about serious resident on resident incidents which is not currently available</w:t>
            </w:r>
          </w:p>
          <w:p w:rsidR="006226B0" w:rsidRPr="00315F60" w:rsidRDefault="006226B0" w:rsidP="00C7186C">
            <w:pPr>
              <w:pStyle w:val="ListBullet2"/>
            </w:pPr>
            <w:r w:rsidRPr="00315F60">
              <w:t>Both options target reporting to those incidents that are associated with the greatest impact on the resident who is the victim; this may facilitate the collection of data which can, in a more targeted way, inform system level and service-specific interventions by the Commission and, in turn, enable services to deliver better quality care that enhances the experience and wellbeing of residents</w:t>
            </w:r>
          </w:p>
          <w:p w:rsidR="006226B0" w:rsidRPr="00315F60" w:rsidRDefault="006226B0" w:rsidP="00C7186C">
            <w:pPr>
              <w:pStyle w:val="ListBullet2"/>
            </w:pPr>
            <w:r w:rsidRPr="00315F60">
              <w:t>Both options present a lower volume of incidents for the Commission to analyse  and respond to when compared to most of the other options</w:t>
            </w:r>
          </w:p>
          <w:p w:rsidR="006226B0" w:rsidRPr="00315F60" w:rsidRDefault="006226B0" w:rsidP="00C7186C">
            <w:pPr>
              <w:pStyle w:val="ListBullet2"/>
            </w:pPr>
            <w:r w:rsidRPr="00315F60">
              <w:t xml:space="preserve">Both options present a lower volume of incidents for services to report when compared to most of the other options to expand the threshold and, as such, are associated with a lesser </w:t>
            </w:r>
            <w:r w:rsidRPr="00315F60">
              <w:lastRenderedPageBreak/>
              <w:t>need for resources which are focused on making reports. This may free up resources to focus on local or service-specific efforts to improve the quality of care.</w:t>
            </w:r>
          </w:p>
          <w:p w:rsidR="006226B0" w:rsidRPr="00315F60" w:rsidRDefault="006226B0" w:rsidP="00C7186C">
            <w:pPr>
              <w:pStyle w:val="Bullet1stlevel"/>
            </w:pPr>
            <w:r w:rsidRPr="00315F60">
              <w:t>The key challenge with both of these options relates to the ease of application of these thresholds. Both options would require services to be clear as to which specific incidents are in scope for reporting. As such, there will be a need for clear and simple tools and resources to help services understand new requirements, and education to embed the new practices should either of these options be implemented.</w:t>
            </w:r>
          </w:p>
          <w:p w:rsidR="006226B0" w:rsidRPr="00315F60" w:rsidRDefault="006226B0" w:rsidP="00C7186C">
            <w:pPr>
              <w:pStyle w:val="Bullet1stlevel"/>
            </w:pPr>
            <w:r w:rsidRPr="00315F60">
              <w:t xml:space="preserve">In making a decision about the future threshold for reporting of resident on resident incidents, the level of maturity of this data collection should be considered. As further data is collected, more information will become available to guide ongoing reporting. </w:t>
            </w:r>
          </w:p>
        </w:tc>
      </w:tr>
    </w:tbl>
    <w:p w:rsidR="00400984" w:rsidRPr="00315F60" w:rsidRDefault="00400984" w:rsidP="002E7D8E">
      <w:pPr>
        <w:pStyle w:val="Heading2"/>
        <w:rPr>
          <w:color w:val="auto"/>
        </w:rPr>
      </w:pPr>
      <w:bookmarkStart w:id="448" w:name="_Toc23254348"/>
      <w:bookmarkStart w:id="449" w:name="_Ref23413855"/>
      <w:bookmarkStart w:id="450" w:name="_Toc26979141"/>
      <w:r w:rsidRPr="00315F60">
        <w:rPr>
          <w:color w:val="auto"/>
        </w:rPr>
        <w:lastRenderedPageBreak/>
        <w:t>Other considerations</w:t>
      </w:r>
      <w:bookmarkEnd w:id="448"/>
      <w:bookmarkEnd w:id="449"/>
      <w:bookmarkEnd w:id="450"/>
    </w:p>
    <w:p w:rsidR="0011136A" w:rsidRPr="00315F60" w:rsidRDefault="0011136A" w:rsidP="009F1F87">
      <w:pPr>
        <w:pStyle w:val="BodyTextkeepwithnext"/>
        <w:keepLines/>
      </w:pPr>
      <w:r w:rsidRPr="00315F60">
        <w:t xml:space="preserve">This study focused on understanding the prevalence of </w:t>
      </w:r>
      <w:r w:rsidR="00A75F38" w:rsidRPr="00315F60">
        <w:t>resident on resident</w:t>
      </w:r>
      <w:r w:rsidRPr="00315F60">
        <w:t xml:space="preserve"> incidents nationally. This included gathering data related to the type and frequency of </w:t>
      </w:r>
      <w:r w:rsidR="00A75F38" w:rsidRPr="00315F60">
        <w:t>resident on resident</w:t>
      </w:r>
      <w:r w:rsidRPr="00315F60">
        <w:t xml:space="preserve"> incidents that occur in residential aged care. However, there are a range of other aspects of a SIRS and the broader regulatory framework of aged care that are important to consider in setting the threshold of </w:t>
      </w:r>
      <w:r w:rsidR="00A75F38" w:rsidRPr="00315F60">
        <w:t>resident on resident</w:t>
      </w:r>
      <w:r w:rsidRPr="00315F60">
        <w:t xml:space="preserve"> reporting under a SIRS</w:t>
      </w:r>
      <w:r w:rsidR="004B3407" w:rsidRPr="00315F60">
        <w:t>, including</w:t>
      </w:r>
      <w:r w:rsidRPr="00315F60">
        <w:t>:</w:t>
      </w:r>
    </w:p>
    <w:p w:rsidR="0011136A" w:rsidRPr="00315F60" w:rsidRDefault="0011136A" w:rsidP="007F13A4">
      <w:pPr>
        <w:pStyle w:val="Bullet1stlevel"/>
      </w:pPr>
      <w:r w:rsidRPr="00315F60">
        <w:t>Other design aspects of a SIRS, such as roles and responsibilities of the Commission and providers, as well as the threshold set for other types of incidents</w:t>
      </w:r>
    </w:p>
    <w:p w:rsidR="0011136A" w:rsidRPr="00315F60" w:rsidRDefault="0011136A" w:rsidP="007F13A4">
      <w:pPr>
        <w:pStyle w:val="Bullet1stlevel"/>
      </w:pPr>
      <w:r w:rsidRPr="00315F60">
        <w:t xml:space="preserve">Other policy levers that are in place or that could be implemented to respond to or prevent </w:t>
      </w:r>
      <w:r w:rsidR="00A75F38" w:rsidRPr="00315F60">
        <w:t>resident on resident</w:t>
      </w:r>
      <w:r w:rsidRPr="00315F60">
        <w:t xml:space="preserve"> incidents from occurring, or mitigating the harm associated with these incidents</w:t>
      </w:r>
    </w:p>
    <w:p w:rsidR="0011136A" w:rsidRPr="00315F60" w:rsidRDefault="0011136A" w:rsidP="007F13A4">
      <w:pPr>
        <w:pStyle w:val="Bullet1stlevel"/>
      </w:pPr>
      <w:r w:rsidRPr="00315F60">
        <w:t>The broader quality and safety framework that is in place and how this complements or interfaces with a SIRS</w:t>
      </w:r>
      <w:r w:rsidR="005E5E1D" w:rsidRPr="00315F60">
        <w:t>, including the Aged Care Quality Standards, the Charter of Aged Care Rights, quality compliance, and open disclosure</w:t>
      </w:r>
      <w:r w:rsidRPr="00315F60">
        <w:t>.</w:t>
      </w:r>
    </w:p>
    <w:p w:rsidR="0011136A" w:rsidRPr="00315F60" w:rsidRDefault="00847504" w:rsidP="00D9569C">
      <w:pPr>
        <w:pStyle w:val="BodyText"/>
      </w:pPr>
      <w:r w:rsidRPr="00315F60">
        <w:t>W</w:t>
      </w:r>
      <w:r w:rsidR="0011136A" w:rsidRPr="00315F60">
        <w:t xml:space="preserve">hile this study has gathered information about the type and frequency of </w:t>
      </w:r>
      <w:r w:rsidR="00A75F38" w:rsidRPr="00315F60">
        <w:t>resident on resident</w:t>
      </w:r>
      <w:r w:rsidR="0011136A" w:rsidRPr="00315F60">
        <w:t xml:space="preserve"> incidents that are not currently reported to the Department for the first time, information gaps still remain regarding these incidents. Specifically, there are gaps regarding:</w:t>
      </w:r>
    </w:p>
    <w:p w:rsidR="0011136A" w:rsidRPr="00315F60" w:rsidRDefault="0011136A" w:rsidP="007F13A4">
      <w:pPr>
        <w:pStyle w:val="Bullet1stlevel"/>
      </w:pPr>
      <w:r w:rsidRPr="00315F60">
        <w:t xml:space="preserve">The nature of </w:t>
      </w:r>
      <w:r w:rsidR="00A75F38" w:rsidRPr="00315F60">
        <w:t>resident on resident</w:t>
      </w:r>
      <w:r w:rsidRPr="00315F60">
        <w:t xml:space="preserve"> incidents, particularly Type 2 incidents</w:t>
      </w:r>
    </w:p>
    <w:p w:rsidR="0011136A" w:rsidRPr="00315F60" w:rsidRDefault="0011136A" w:rsidP="007F13A4">
      <w:pPr>
        <w:pStyle w:val="Bullet1stlevel"/>
      </w:pPr>
      <w:r w:rsidRPr="00315F60">
        <w:t>Provider behaviour with regards to responding to these incidents and record keeping</w:t>
      </w:r>
    </w:p>
    <w:p w:rsidR="0011136A" w:rsidRPr="00315F60" w:rsidRDefault="0011136A" w:rsidP="007F13A4">
      <w:pPr>
        <w:pStyle w:val="Bullet1stlevel"/>
      </w:pPr>
      <w:r w:rsidRPr="00315F60">
        <w:t xml:space="preserve">The efficacy of different interventions in responding to incidents and preventing them from occurring. </w:t>
      </w:r>
    </w:p>
    <w:p w:rsidR="0011136A" w:rsidRPr="00315F60" w:rsidRDefault="0011136A" w:rsidP="00D9569C">
      <w:pPr>
        <w:pStyle w:val="BodyText"/>
      </w:pPr>
      <w:r w:rsidRPr="00315F60">
        <w:t xml:space="preserve">There is a need for further research into these areas to better support future decision making for regulatory and policy responses to </w:t>
      </w:r>
      <w:r w:rsidR="00A75F38" w:rsidRPr="00315F60">
        <w:t>resident on resident</w:t>
      </w:r>
      <w:r w:rsidRPr="00315F60">
        <w:t xml:space="preserve"> incidents. In the absence of detailed data across these areas, the introduction of a SIRS offers the Department an opportunity to collect data and better understand certain </w:t>
      </w:r>
      <w:r w:rsidR="00A75F38" w:rsidRPr="00315F60">
        <w:t>resident on resident</w:t>
      </w:r>
      <w:r w:rsidRPr="00315F60">
        <w:t xml:space="preserve"> incidents. In addition, performance of a SIRS can be monitored and evaluated throughout implementation to refine the threshold of </w:t>
      </w:r>
      <w:r w:rsidR="00A75F38" w:rsidRPr="00315F60">
        <w:t>resident on resident</w:t>
      </w:r>
      <w:r w:rsidRPr="00315F60">
        <w:t xml:space="preserve"> incidents that are captured and to improve its effectiveness.</w:t>
      </w:r>
    </w:p>
    <w:p w:rsidR="0011136A" w:rsidRPr="00315F60" w:rsidRDefault="0011136A" w:rsidP="00D9569C">
      <w:pPr>
        <w:pStyle w:val="BodyText"/>
        <w:rPr>
          <w:szCs w:val="20"/>
        </w:rPr>
      </w:pPr>
      <w:r w:rsidRPr="00315F60">
        <w:t>This section further details these considerations.</w:t>
      </w:r>
    </w:p>
    <w:p w:rsidR="0011136A" w:rsidRPr="00315F60" w:rsidRDefault="0011136A" w:rsidP="00D9569C">
      <w:pPr>
        <w:pStyle w:val="Heading3"/>
        <w:rPr>
          <w:color w:val="auto"/>
        </w:rPr>
      </w:pPr>
      <w:bookmarkStart w:id="451" w:name="_Toc23247223"/>
      <w:bookmarkStart w:id="452" w:name="_Toc23254349"/>
      <w:r w:rsidRPr="00315F60">
        <w:rPr>
          <w:color w:val="auto"/>
        </w:rPr>
        <w:t>Design aspects of a SIRS</w:t>
      </w:r>
      <w:bookmarkEnd w:id="451"/>
      <w:bookmarkEnd w:id="452"/>
    </w:p>
    <w:p w:rsidR="0011136A" w:rsidRPr="00315F60" w:rsidRDefault="0011136A" w:rsidP="00FA0BA9">
      <w:pPr>
        <w:pStyle w:val="BodyText"/>
      </w:pPr>
      <w:r w:rsidRPr="00315F60">
        <w:t xml:space="preserve">As noted above, the purpose of this study was to understand the prevalence of </w:t>
      </w:r>
      <w:r w:rsidR="00A75F38" w:rsidRPr="00315F60">
        <w:t>resident on resident</w:t>
      </w:r>
      <w:r w:rsidRPr="00315F60">
        <w:t xml:space="preserve"> incidents nationally. It did not consider the other design aspects of a SIRS which would influence decision making regarding the threshold of </w:t>
      </w:r>
      <w:r w:rsidR="00A75F38" w:rsidRPr="00315F60">
        <w:t>resident on resident</w:t>
      </w:r>
      <w:r w:rsidRPr="00315F60">
        <w:t xml:space="preserve"> incidents which should be reported. These other aspects include, but are not necessarily limited to:</w:t>
      </w:r>
    </w:p>
    <w:p w:rsidR="0011136A" w:rsidRPr="00315F60" w:rsidRDefault="0011136A" w:rsidP="007F13A4">
      <w:pPr>
        <w:pStyle w:val="Bullet1stlevel"/>
      </w:pPr>
      <w:r w:rsidRPr="00315F60">
        <w:rPr>
          <w:b/>
        </w:rPr>
        <w:lastRenderedPageBreak/>
        <w:t>The threshold set for the reporting of other incidents of abuse and aggression</w:t>
      </w:r>
      <w:r w:rsidRPr="00315F60">
        <w:t xml:space="preserve">: Setting a lower threshold for the reporting of other incidents of abuse and aggression will increase the number of incidents reported to the Commission and the ability of the Commission to resource and respond to </w:t>
      </w:r>
      <w:r w:rsidR="00A75F38" w:rsidRPr="00315F60">
        <w:t>resident on resident</w:t>
      </w:r>
      <w:r w:rsidRPr="00315F60">
        <w:t xml:space="preserve"> incidents.</w:t>
      </w:r>
    </w:p>
    <w:p w:rsidR="0011136A" w:rsidRPr="00315F60" w:rsidRDefault="0011136A" w:rsidP="007F13A4">
      <w:pPr>
        <w:pStyle w:val="Bullet1stlevel"/>
        <w:rPr>
          <w:b/>
        </w:rPr>
      </w:pPr>
      <w:r w:rsidRPr="00315F60">
        <w:rPr>
          <w:b/>
        </w:rPr>
        <w:t xml:space="preserve">The </w:t>
      </w:r>
      <w:r w:rsidR="00532166" w:rsidRPr="00315F60">
        <w:rPr>
          <w:b/>
        </w:rPr>
        <w:t>role and response by</w:t>
      </w:r>
      <w:r w:rsidRPr="00315F60">
        <w:rPr>
          <w:b/>
        </w:rPr>
        <w:t xml:space="preserve"> the Commission</w:t>
      </w:r>
      <w:r w:rsidRPr="00315F60">
        <w:t xml:space="preserve">: One of the main issues identified by recent reviews and reports was the oversight arrangements in place to assess the adequacy of responses by aged care services and to identify risks in the system. The impact of </w:t>
      </w:r>
      <w:r w:rsidR="002624FF" w:rsidRPr="00315F60">
        <w:t xml:space="preserve">a threshold set for </w:t>
      </w:r>
      <w:r w:rsidR="00A75F38" w:rsidRPr="00315F60">
        <w:t>resident on resident</w:t>
      </w:r>
      <w:r w:rsidRPr="00315F60">
        <w:t xml:space="preserve"> incidents will be dependent on the roles and functions given to the Commission</w:t>
      </w:r>
      <w:r w:rsidR="002624FF" w:rsidRPr="00315F60">
        <w:t>, including the</w:t>
      </w:r>
      <w:r w:rsidRPr="00315F60">
        <w:t xml:space="preserve"> </w:t>
      </w:r>
      <w:r w:rsidR="00532166" w:rsidRPr="00315F60">
        <w:t xml:space="preserve">response taken by the Commission and the response a Commission may require a service to take when an incident is reported. </w:t>
      </w:r>
    </w:p>
    <w:p w:rsidR="0011136A" w:rsidRPr="00315F60" w:rsidRDefault="0011136A" w:rsidP="007F13A4">
      <w:pPr>
        <w:pStyle w:val="Bullet1stlevel"/>
      </w:pPr>
      <w:r w:rsidRPr="00315F60">
        <w:rPr>
          <w:b/>
        </w:rPr>
        <w:t>Level of detail required to be reported for each incident</w:t>
      </w:r>
      <w:r w:rsidRPr="00315F60">
        <w:t xml:space="preserve">: The level of information required to be reported to the Commission about </w:t>
      </w:r>
      <w:r w:rsidR="00A75F38" w:rsidRPr="00315F60">
        <w:t>resident on resident</w:t>
      </w:r>
      <w:r w:rsidRPr="00315F60">
        <w:t xml:space="preserve"> incidents will impact the time and resources required by services to make reports</w:t>
      </w:r>
      <w:r w:rsidR="001952BF" w:rsidRPr="00315F60">
        <w:t xml:space="preserve">. </w:t>
      </w:r>
      <w:r w:rsidRPr="00315F60">
        <w:t>This will also impact the volume of information which the Commission must analyse and respond to.</w:t>
      </w:r>
    </w:p>
    <w:p w:rsidR="0011136A" w:rsidRPr="00315F60" w:rsidRDefault="0011136A" w:rsidP="00FA0BA9">
      <w:pPr>
        <w:pStyle w:val="BodyText"/>
      </w:pPr>
      <w:r w:rsidRPr="00315F60">
        <w:t xml:space="preserve">Each of these design aspects of a SIRS influence the regulatory </w:t>
      </w:r>
      <w:r w:rsidR="00532166" w:rsidRPr="00315F60">
        <w:t xml:space="preserve">impact </w:t>
      </w:r>
      <w:r w:rsidRPr="00315F60">
        <w:t xml:space="preserve">on providers and the Commission and how easily a SIRS could be introduced. </w:t>
      </w:r>
    </w:p>
    <w:p w:rsidR="0011136A" w:rsidRPr="00315F60" w:rsidRDefault="0011136A" w:rsidP="00FA0BA9">
      <w:pPr>
        <w:pStyle w:val="BodyText"/>
      </w:pPr>
      <w:r w:rsidRPr="00315F60">
        <w:t xml:space="preserve">Other arrangements could also be introduced by the Commission (outside of setting a threshold) to reduce the volume of incidents that are to be reported and increase the ability of the Commission to receive and respond to reports of </w:t>
      </w:r>
      <w:r w:rsidR="00A75F38" w:rsidRPr="00315F60">
        <w:t>resident on resident</w:t>
      </w:r>
      <w:r w:rsidRPr="00315F60">
        <w:t xml:space="preserve"> incidents. For example, the 2018 report, ‘Strengthening protections for older Australians’, noted that reporting exemptions could be introduced to exempt certain incidents from being reportable by agreement with service providers if the Commission is satisfied the exemption would not increase the risk of harm to residents.</w:t>
      </w:r>
      <w:r w:rsidR="00310B07" w:rsidRPr="00315F60">
        <w:rPr>
          <w:rStyle w:val="FootnoteReference"/>
          <w:sz w:val="20"/>
        </w:rPr>
        <w:footnoteReference w:id="31"/>
      </w:r>
      <w:r w:rsidRPr="00315F60">
        <w:t xml:space="preserve"> If such a power is introduced, it would provide flexibility for the Commission to decide which incidents are reportable, or indeed which providers are required to report to the Commission based on the level of risk.</w:t>
      </w:r>
    </w:p>
    <w:p w:rsidR="0011136A" w:rsidRPr="00315F60" w:rsidRDefault="0011136A" w:rsidP="00D9569C">
      <w:pPr>
        <w:jc w:val="both"/>
        <w:rPr>
          <w:rFonts w:cs="Arial"/>
          <w:szCs w:val="20"/>
        </w:rPr>
      </w:pPr>
      <w:r w:rsidRPr="00315F60">
        <w:rPr>
          <w:rFonts w:cs="Arial"/>
          <w:szCs w:val="20"/>
        </w:rPr>
        <w:t xml:space="preserve">It will be important to consider each of these design aspects of a SIRS holistically in setting the threshold of </w:t>
      </w:r>
      <w:r w:rsidR="00A75F38" w:rsidRPr="00315F60">
        <w:rPr>
          <w:rFonts w:cs="Arial"/>
          <w:szCs w:val="20"/>
        </w:rPr>
        <w:t>resident on resident</w:t>
      </w:r>
      <w:r w:rsidRPr="00315F60">
        <w:rPr>
          <w:rFonts w:cs="Arial"/>
          <w:szCs w:val="20"/>
        </w:rPr>
        <w:t xml:space="preserve"> incidents captured by a SIRS and indeed the breadth of other incidents that may be captured.</w:t>
      </w:r>
    </w:p>
    <w:p w:rsidR="0011136A" w:rsidRPr="00315F60" w:rsidRDefault="0011136A" w:rsidP="00D9569C">
      <w:pPr>
        <w:pStyle w:val="Heading3"/>
        <w:rPr>
          <w:color w:val="auto"/>
        </w:rPr>
      </w:pPr>
      <w:bookmarkStart w:id="453" w:name="_Toc23247224"/>
      <w:bookmarkStart w:id="454" w:name="_Toc23254350"/>
      <w:r w:rsidRPr="00315F60">
        <w:rPr>
          <w:color w:val="auto"/>
        </w:rPr>
        <w:t xml:space="preserve">Other policy levers that could be used to address the issue of </w:t>
      </w:r>
      <w:r w:rsidR="00A75F38" w:rsidRPr="00315F60">
        <w:rPr>
          <w:color w:val="auto"/>
        </w:rPr>
        <w:t>resident on resident</w:t>
      </w:r>
      <w:r w:rsidRPr="00315F60">
        <w:rPr>
          <w:color w:val="auto"/>
        </w:rPr>
        <w:t xml:space="preserve"> incidents</w:t>
      </w:r>
      <w:bookmarkEnd w:id="453"/>
      <w:bookmarkEnd w:id="454"/>
    </w:p>
    <w:p w:rsidR="0011136A" w:rsidRPr="00315F60" w:rsidRDefault="0011136A" w:rsidP="00D9569C">
      <w:pPr>
        <w:pStyle w:val="BodyText0"/>
        <w:jc w:val="both"/>
      </w:pPr>
      <w:r w:rsidRPr="00315F60">
        <w:t xml:space="preserve">Recent research has identified a number of recommendations – other than regulatory oversight – to address the issue of </w:t>
      </w:r>
      <w:r w:rsidR="00A75F38" w:rsidRPr="00315F60">
        <w:t>resident on resident</w:t>
      </w:r>
      <w:r w:rsidRPr="00315F60">
        <w:t xml:space="preserve"> incidents, and that should be considered in setting the threshold for reporting,</w:t>
      </w:r>
      <w:r w:rsidRPr="00315F60">
        <w:rPr>
          <w:rStyle w:val="FootnoteReference"/>
          <w:sz w:val="20"/>
        </w:rPr>
        <w:footnoteReference w:id="32"/>
      </w:r>
      <w:r w:rsidRPr="00315F60">
        <w:t xml:space="preserve"> including that:</w:t>
      </w:r>
    </w:p>
    <w:p w:rsidR="0011136A" w:rsidRPr="00315F60" w:rsidRDefault="0011136A" w:rsidP="00310B07">
      <w:pPr>
        <w:pStyle w:val="Bullet1stlevel"/>
      </w:pPr>
      <w:r w:rsidRPr="00315F60">
        <w:t xml:space="preserve">Mandatory training for residential aged care staff be extended to include training on the fundamentals of dementia and aggression and abuse between residents, potentially building on the training available through Dementia Training Australia. The ALRC report considered education and advice to be important in managing and preventing </w:t>
      </w:r>
      <w:r w:rsidR="00A75F38" w:rsidRPr="00315F60">
        <w:t>resident on resident</w:t>
      </w:r>
      <w:r w:rsidRPr="00315F60">
        <w:t xml:space="preserve"> incidents, and that a report to a SIRS may prompt access to such education and advice.</w:t>
      </w:r>
      <w:r w:rsidRPr="00315F60">
        <w:rPr>
          <w:rStyle w:val="FootnoteReference"/>
          <w:sz w:val="20"/>
        </w:rPr>
        <w:footnoteReference w:id="33"/>
      </w:r>
    </w:p>
    <w:p w:rsidR="0011136A" w:rsidRPr="00315F60" w:rsidRDefault="0011136A" w:rsidP="00310B07">
      <w:pPr>
        <w:pStyle w:val="Bullet1stlevel"/>
      </w:pPr>
      <w:r w:rsidRPr="00315F60">
        <w:lastRenderedPageBreak/>
        <w:t xml:space="preserve">Aged care providers introduce zero tolerance policies in residential aged care settings for violence against staff, residents and visitors. </w:t>
      </w:r>
    </w:p>
    <w:p w:rsidR="0011136A" w:rsidRPr="00315F60" w:rsidRDefault="0011136A" w:rsidP="00310B07">
      <w:pPr>
        <w:pStyle w:val="Bullet1stlevel"/>
      </w:pPr>
      <w:r w:rsidRPr="00315F60">
        <w:t>The physical environment of residential aged care be designed and used in a way that enables</w:t>
      </w:r>
      <w:r w:rsidR="004B3407" w:rsidRPr="00315F60">
        <w:t>,</w:t>
      </w:r>
      <w:r w:rsidRPr="00315F60">
        <w:t xml:space="preserve"> rather than disables</w:t>
      </w:r>
      <w:r w:rsidR="004B3407" w:rsidRPr="00315F60">
        <w:t>,</w:t>
      </w:r>
      <w:r w:rsidRPr="00315F60">
        <w:t xml:space="preserve"> residents with cognitive impairment. </w:t>
      </w:r>
    </w:p>
    <w:p w:rsidR="0011136A" w:rsidRPr="00315F60" w:rsidRDefault="0011136A" w:rsidP="00310B07">
      <w:pPr>
        <w:pStyle w:val="Bullet1stlevel"/>
      </w:pPr>
      <w:r w:rsidRPr="00315F60">
        <w:t xml:space="preserve">Clear user friendly definitions of the spectrum of aggressive behaviours be included in mandatory reporting legislation, policy and protocol documents. </w:t>
      </w:r>
    </w:p>
    <w:p w:rsidR="0011136A" w:rsidRPr="00315F60" w:rsidRDefault="0011136A" w:rsidP="00310B07">
      <w:pPr>
        <w:pStyle w:val="Bullet1stlevel"/>
      </w:pPr>
      <w:r w:rsidRPr="00315F60">
        <w:t>Government agencies, advocacy groups and aged care providers develop and implement a community awareness campaign to increase the general public’s understanding of dementia</w:t>
      </w:r>
      <w:r w:rsidR="004B3407" w:rsidRPr="00315F60">
        <w:t xml:space="preserve">, </w:t>
      </w:r>
      <w:r w:rsidRPr="00315F60">
        <w:t>its behavioural and psychological symptoms</w:t>
      </w:r>
      <w:r w:rsidR="004B3407" w:rsidRPr="00315F60">
        <w:t xml:space="preserve">, </w:t>
      </w:r>
      <w:r w:rsidRPr="00315F60">
        <w:t xml:space="preserve">and knowledge about the preventability of aggressive incidents among older adults. </w:t>
      </w:r>
    </w:p>
    <w:p w:rsidR="0011136A" w:rsidRPr="00315F60" w:rsidRDefault="0011136A" w:rsidP="00310B07">
      <w:pPr>
        <w:pStyle w:val="Bullet1stlevel"/>
      </w:pPr>
      <w:r w:rsidRPr="00315F60">
        <w:t>Residential aged care service providers introduce policies aimed at supporting families to feel part of a comprehensive care team.</w:t>
      </w:r>
      <w:r w:rsidRPr="00315F60">
        <w:rPr>
          <w:rStyle w:val="FootnoteReference"/>
          <w:sz w:val="20"/>
        </w:rPr>
        <w:footnoteReference w:id="34"/>
      </w:r>
    </w:p>
    <w:p w:rsidR="0011136A" w:rsidRPr="00315F60" w:rsidRDefault="0011136A" w:rsidP="009F1F87">
      <w:pPr>
        <w:pStyle w:val="BodyText"/>
      </w:pPr>
      <w:r w:rsidRPr="00315F60">
        <w:t>It is important to note that existing support services are in place to respond to behavioural and psychological symptoms of dementia</w:t>
      </w:r>
      <w:r w:rsidR="004B3407" w:rsidRPr="00315F60">
        <w:t>,</w:t>
      </w:r>
      <w:r w:rsidRPr="00315F60">
        <w:t xml:space="preserve"> such as the </w:t>
      </w:r>
      <w:r w:rsidR="006354F4" w:rsidRPr="00315F60">
        <w:t xml:space="preserve">DBMAS </w:t>
      </w:r>
      <w:r w:rsidRPr="00315F60">
        <w:t xml:space="preserve">or </w:t>
      </w:r>
      <w:r w:rsidR="006354F4" w:rsidRPr="00315F60">
        <w:t>SBRT</w:t>
      </w:r>
      <w:r w:rsidRPr="00315F60">
        <w:t xml:space="preserve">. It will be important to consider how different types of responses may be employed to tackle the issue of </w:t>
      </w:r>
      <w:r w:rsidR="00A75F38" w:rsidRPr="00315F60">
        <w:t>resident on resident</w:t>
      </w:r>
      <w:r w:rsidRPr="00315F60">
        <w:t xml:space="preserve"> incidents in aged care.</w:t>
      </w:r>
    </w:p>
    <w:p w:rsidR="006354F4" w:rsidRPr="00315F60" w:rsidRDefault="006354F4" w:rsidP="00FA0BA9">
      <w:pPr>
        <w:pStyle w:val="BodyText"/>
      </w:pPr>
      <w:r w:rsidRPr="00315F60">
        <w:t>There may also be broader implicat</w:t>
      </w:r>
      <w:r w:rsidR="00A5098B" w:rsidRPr="00315F60">
        <w:t>ions for introducing a SIRS on</w:t>
      </w:r>
      <w:r w:rsidRPr="00315F60">
        <w:t xml:space="preserve"> these other support services. For example, the Commission may choose to introduce re</w:t>
      </w:r>
      <w:r w:rsidR="00A5098B" w:rsidRPr="00315F60">
        <w:t>quirements relat</w:t>
      </w:r>
      <w:r w:rsidR="00C02FFC" w:rsidRPr="00315F60">
        <w:t>ing</w:t>
      </w:r>
      <w:r w:rsidR="00A5098B" w:rsidRPr="00315F60">
        <w:t xml:space="preserve"> to how providers respond to </w:t>
      </w:r>
      <w:r w:rsidR="00A75F38" w:rsidRPr="00315F60">
        <w:t>resident on resident</w:t>
      </w:r>
      <w:r w:rsidR="00A5098B" w:rsidRPr="00315F60">
        <w:t xml:space="preserve"> incidents that are reportable</w:t>
      </w:r>
      <w:r w:rsidR="00C02FFC" w:rsidRPr="00315F60">
        <w:t>,</w:t>
      </w:r>
      <w:r w:rsidR="00A5098B" w:rsidRPr="00315F60">
        <w:t xml:space="preserve"> such as requirements to access DBMAS or SBRT when an incident occurs</w:t>
      </w:r>
      <w:r w:rsidR="001952BF" w:rsidRPr="00315F60">
        <w:t xml:space="preserve">. </w:t>
      </w:r>
      <w:r w:rsidR="00A5098B" w:rsidRPr="00315F60">
        <w:t>It will be important to consider what flow</w:t>
      </w:r>
      <w:r w:rsidR="00C02FFC" w:rsidRPr="00315F60">
        <w:t>-</w:t>
      </w:r>
      <w:r w:rsidR="00A5098B" w:rsidRPr="00315F60">
        <w:t xml:space="preserve">on effects such requirements have on demand for other support services. It may be the case that, regardless of the reporting threshold set by the Commission, further consideration of investment in these services is warranted to respond to the estimated volume of </w:t>
      </w:r>
      <w:r w:rsidR="00A75F38" w:rsidRPr="00315F60">
        <w:t>resident on resident</w:t>
      </w:r>
      <w:r w:rsidR="00A5098B" w:rsidRPr="00315F60">
        <w:t xml:space="preserve"> incidents that are occurring nationally. </w:t>
      </w:r>
    </w:p>
    <w:p w:rsidR="0011136A" w:rsidRPr="00315F60" w:rsidRDefault="0011136A" w:rsidP="00D9569C">
      <w:pPr>
        <w:pStyle w:val="Heading3"/>
        <w:rPr>
          <w:color w:val="auto"/>
        </w:rPr>
      </w:pPr>
      <w:bookmarkStart w:id="455" w:name="_Toc23247225"/>
      <w:bookmarkStart w:id="456" w:name="_Toc23254351"/>
      <w:r w:rsidRPr="00315F60">
        <w:rPr>
          <w:color w:val="auto"/>
        </w:rPr>
        <w:t>The broader quality and safety framework of aged care</w:t>
      </w:r>
      <w:bookmarkEnd w:id="455"/>
      <w:bookmarkEnd w:id="456"/>
    </w:p>
    <w:p w:rsidR="00A5098B" w:rsidRPr="00315F60" w:rsidRDefault="0011136A" w:rsidP="00FA0BA9">
      <w:pPr>
        <w:pStyle w:val="BodyText"/>
      </w:pPr>
      <w:r w:rsidRPr="00315F60">
        <w:t>A SIRS sits within the broader safeguarding framework of aged care that support the safety of residents. As noted in the 2018 report, the effectiveness of a scheme similar to a SIRS is dependent on its interface with other quality and safety functions.</w:t>
      </w:r>
      <w:r w:rsidRPr="00315F60">
        <w:rPr>
          <w:rStyle w:val="FootnoteReference"/>
          <w:sz w:val="20"/>
        </w:rPr>
        <w:footnoteReference w:id="35"/>
      </w:r>
      <w:r w:rsidRPr="00315F60">
        <w:t xml:space="preserve"> The effectiveness of a SIRS is dependent on how it complements and interfaces with other quality and safety functions of the aged care system. Other regulatory settings relevant to a SIRS include the Aged Care Quality Standards, the Charter of Aged Care Rights, quality compliance and open disclosure. These settings support providers to engage in risk management and continuous improvement activities to deliver safe, quality care to residential aged care residents. It will be important to consider the intersection of a SIRS (and its relevant design components) with the current and future quality and safety functions of the aged care system. For example, the Commission may review and assess responses to </w:t>
      </w:r>
      <w:r w:rsidR="004C4435" w:rsidRPr="00315F60">
        <w:t>resident on resident</w:t>
      </w:r>
      <w:r w:rsidRPr="00315F60">
        <w:t xml:space="preserve"> incidents by providers through accreditation or compliance processes, or may use information gathered through a SIRS to identify risk across the system.</w:t>
      </w:r>
    </w:p>
    <w:p w:rsidR="0011136A" w:rsidRPr="00315F60" w:rsidRDefault="0011136A" w:rsidP="00D9569C">
      <w:pPr>
        <w:pStyle w:val="Heading3"/>
        <w:rPr>
          <w:color w:val="auto"/>
        </w:rPr>
      </w:pPr>
      <w:bookmarkStart w:id="457" w:name="_Toc23247226"/>
      <w:bookmarkStart w:id="458" w:name="_Toc23254352"/>
      <w:r w:rsidRPr="00315F60">
        <w:rPr>
          <w:color w:val="auto"/>
        </w:rPr>
        <w:t>Need for further research and evidence</w:t>
      </w:r>
      <w:bookmarkEnd w:id="457"/>
      <w:bookmarkEnd w:id="458"/>
    </w:p>
    <w:p w:rsidR="0011136A" w:rsidRPr="00315F60" w:rsidRDefault="0011136A" w:rsidP="00D9569C">
      <w:pPr>
        <w:pStyle w:val="BodyText"/>
      </w:pPr>
      <w:r w:rsidRPr="00315F60">
        <w:t xml:space="preserve">There has been limited research to date on the incidence of </w:t>
      </w:r>
      <w:r w:rsidR="004C4435" w:rsidRPr="00315F60">
        <w:t>resident on resident</w:t>
      </w:r>
      <w:r w:rsidR="002624FF" w:rsidRPr="00315F60">
        <w:t xml:space="preserve"> incidents</w:t>
      </w:r>
      <w:r w:rsidRPr="00315F60">
        <w:t xml:space="preserve"> in Commonwealth-funded aged care. This study has collected information on certain </w:t>
      </w:r>
      <w:r w:rsidR="004C4435" w:rsidRPr="00315F60">
        <w:t>resident on resident</w:t>
      </w:r>
      <w:r w:rsidRPr="00315F60">
        <w:t xml:space="preserve"> incidents for the first time. This information is critical to setting a baseline of the prevalence of </w:t>
      </w:r>
      <w:r w:rsidR="004C4435" w:rsidRPr="00315F60">
        <w:t xml:space="preserve">resident </w:t>
      </w:r>
      <w:r w:rsidR="004C4435" w:rsidRPr="00315F60">
        <w:lastRenderedPageBreak/>
        <w:t>on resident</w:t>
      </w:r>
      <w:r w:rsidRPr="00315F60">
        <w:t xml:space="preserve"> incidents nationally. However, the level of information captured by this study was limited in terms of the level of detail captured on incidents and provider responses to incidents. </w:t>
      </w:r>
      <w:r w:rsidR="00A31482" w:rsidRPr="00315F60">
        <w:t xml:space="preserve">The study was also unable to ascertain to what extent the same residents were involved in an incident. </w:t>
      </w:r>
      <w:r w:rsidRPr="00315F60">
        <w:t xml:space="preserve">As such, information gaps remain regarding the nature and prevalence of all </w:t>
      </w:r>
      <w:r w:rsidR="004C4435" w:rsidRPr="00315F60">
        <w:t>resident on resident</w:t>
      </w:r>
      <w:r w:rsidRPr="00315F60">
        <w:t xml:space="preserve"> incidents in residential aged care, particularly those incidents which met the definition of a Type 2 incident. There is also limited information available generally regarding provider behaviour in responding to </w:t>
      </w:r>
      <w:r w:rsidR="004C4435" w:rsidRPr="00315F60">
        <w:t>resident on resident</w:t>
      </w:r>
      <w:r w:rsidRPr="00315F60">
        <w:t xml:space="preserve"> incidents and how these incidents are documented by providers in clinical systems (and therefore the </w:t>
      </w:r>
      <w:r w:rsidR="005006BD" w:rsidRPr="00315F60">
        <w:t xml:space="preserve">impact of any change </w:t>
      </w:r>
      <w:r w:rsidRPr="00315F60">
        <w:t>to the current scheme would present).</w:t>
      </w:r>
    </w:p>
    <w:p w:rsidR="0011136A" w:rsidRPr="00315F60" w:rsidRDefault="0011136A" w:rsidP="00D9569C">
      <w:pPr>
        <w:pStyle w:val="BodyText"/>
      </w:pPr>
      <w:r w:rsidRPr="00315F60">
        <w:t>In addition, despite there being many interventions designed to address elder abuse, there is limited research on elder abuse prevention and therefore evidence as to the efficacy of specific interventions, including a SIRS.</w:t>
      </w:r>
      <w:r w:rsidRPr="00315F60">
        <w:rPr>
          <w:rStyle w:val="FootnoteReference"/>
          <w:sz w:val="20"/>
        </w:rPr>
        <w:footnoteReference w:id="36"/>
      </w:r>
      <w:r w:rsidRPr="00315F60">
        <w:rPr>
          <w:sz w:val="24"/>
        </w:rPr>
        <w:t xml:space="preserve"> </w:t>
      </w:r>
      <w:r w:rsidRPr="00315F60">
        <w:t>This means that while some interventions are being implemented, there is limited high quality evidence to support decision making on a scheme or a system to implement.</w:t>
      </w:r>
    </w:p>
    <w:p w:rsidR="0011136A" w:rsidRPr="00315F60" w:rsidRDefault="0011136A" w:rsidP="00D9569C">
      <w:pPr>
        <w:pStyle w:val="BodyText"/>
      </w:pPr>
      <w:r w:rsidRPr="00315F60">
        <w:t>There is a need for further research into these areas to better support future decision making for regulatory and policy responses. In the absence of detailed data across these areas, the introduction of a SIRS offers this opportunity. The ALRC report noted that a new scheme could improve information available on incidents. This could contribute to the evidence base for future interventions.</w:t>
      </w:r>
    </w:p>
    <w:p w:rsidR="0011136A" w:rsidRPr="00315F60" w:rsidRDefault="0011136A" w:rsidP="0011136A">
      <w:pPr>
        <w:pStyle w:val="BodyText"/>
      </w:pPr>
      <w:r w:rsidRPr="00315F60">
        <w:t xml:space="preserve">Regardless of the threshold taken, the performance of a SIRS should be monitored and evaluated throughout implementation to refine the threshold of </w:t>
      </w:r>
      <w:r w:rsidR="004C4435" w:rsidRPr="00315F60">
        <w:t>resident on resident</w:t>
      </w:r>
      <w:r w:rsidRPr="00315F60">
        <w:t xml:space="preserve"> incidents that are captured and to improve its effectiveness.</w:t>
      </w:r>
    </w:p>
    <w:p w:rsidR="00490C76" w:rsidRPr="00315F60" w:rsidRDefault="00490C76" w:rsidP="00E31285">
      <w:pPr>
        <w:pStyle w:val="Heading3"/>
        <w:rPr>
          <w:color w:val="auto"/>
        </w:rPr>
      </w:pPr>
      <w:r w:rsidRPr="00315F60">
        <w:rPr>
          <w:color w:val="auto"/>
        </w:rPr>
        <w:t>Evaluate findings from this prevalence study</w:t>
      </w:r>
    </w:p>
    <w:p w:rsidR="00490C76" w:rsidRPr="00315F60" w:rsidRDefault="00490C76" w:rsidP="00FA0BA9">
      <w:pPr>
        <w:pStyle w:val="BodyTextkeepwithnext"/>
      </w:pPr>
      <w:r w:rsidRPr="00315F60">
        <w:t>The Department could also consider evaluating the findings from this prevalence study to better understand the results and the distribution in volume of incidents across different aged care services and providers, such as:</w:t>
      </w:r>
    </w:p>
    <w:p w:rsidR="00490C76" w:rsidRPr="00315F60" w:rsidRDefault="00490C76" w:rsidP="00310B07">
      <w:pPr>
        <w:pStyle w:val="Bullet1stlevel"/>
      </w:pPr>
      <w:r w:rsidRPr="00315F60">
        <w:t>To understand why some aged care services reported zero incidents compared to others that reported a high number of incidents. It may be the case that some aged care services that reported a small number of incidents already report</w:t>
      </w:r>
      <w:r w:rsidR="00C02FFC" w:rsidRPr="00315F60">
        <w:t>ed</w:t>
      </w:r>
      <w:r w:rsidRPr="00315F60">
        <w:t xml:space="preserve"> the majority of </w:t>
      </w:r>
      <w:r w:rsidR="004C4435" w:rsidRPr="00315F60">
        <w:t>resident on resident</w:t>
      </w:r>
      <w:r w:rsidRPr="00315F60">
        <w:t xml:space="preserve"> incidents that occur at t</w:t>
      </w:r>
      <w:r w:rsidR="00635BE7" w:rsidRPr="00315F60">
        <w:t>heir service to the Department</w:t>
      </w:r>
      <w:r w:rsidR="00C02FFC" w:rsidRPr="00315F60">
        <w:t>.</w:t>
      </w:r>
    </w:p>
    <w:p w:rsidR="00490C76" w:rsidRPr="00315F60" w:rsidRDefault="00490C76" w:rsidP="00310B07">
      <w:pPr>
        <w:pStyle w:val="Bullet1stlevel"/>
      </w:pPr>
      <w:r w:rsidRPr="00315F60">
        <w:t xml:space="preserve">To understand why some aged care services reported a high number of Type 1 and Type 2 incidents. It may be the case that these aged care services support a high proportion of residents </w:t>
      </w:r>
      <w:r w:rsidR="00C02FFC" w:rsidRPr="00315F60">
        <w:t xml:space="preserve">who </w:t>
      </w:r>
      <w:r w:rsidRPr="00315F60">
        <w:t>have complex co-morbidities or experience</w:t>
      </w:r>
      <w:r w:rsidR="00635BE7" w:rsidRPr="00315F60">
        <w:t xml:space="preserve"> severe </w:t>
      </w:r>
      <w:r w:rsidR="00790627" w:rsidRPr="00315F60">
        <w:t>b</w:t>
      </w:r>
      <w:r w:rsidR="00635BE7" w:rsidRPr="00315F60">
        <w:t xml:space="preserve">ehavioural and </w:t>
      </w:r>
      <w:r w:rsidR="00790627" w:rsidRPr="00315F60">
        <w:t>p</w:t>
      </w:r>
      <w:r w:rsidR="00635BE7" w:rsidRPr="00315F60">
        <w:t xml:space="preserve">sychological </w:t>
      </w:r>
      <w:r w:rsidR="00790627" w:rsidRPr="00315F60">
        <w:t>s</w:t>
      </w:r>
      <w:r w:rsidR="00635BE7" w:rsidRPr="00315F60">
        <w:t xml:space="preserve">ymptoms of </w:t>
      </w:r>
      <w:r w:rsidR="00790627" w:rsidRPr="00315F60">
        <w:t>d</w:t>
      </w:r>
      <w:r w:rsidR="00635BE7" w:rsidRPr="00315F60">
        <w:t>ementia</w:t>
      </w:r>
      <w:r w:rsidRPr="00315F60">
        <w:t>.</w:t>
      </w:r>
    </w:p>
    <w:p w:rsidR="00FA0BA9" w:rsidRPr="00315F60" w:rsidRDefault="00761C3A" w:rsidP="00761C3A">
      <w:pPr>
        <w:pStyle w:val="Bullet1stlevel"/>
        <w:numPr>
          <w:ilvl w:val="0"/>
          <w:numId w:val="0"/>
        </w:numPr>
        <w:sectPr w:rsidR="00FA0BA9" w:rsidRPr="00315F60" w:rsidSect="000C5B79">
          <w:pgSz w:w="11906" w:h="16838"/>
          <w:pgMar w:top="1418" w:right="1418" w:bottom="1418" w:left="1418" w:header="709" w:footer="453" w:gutter="0"/>
          <w:cols w:space="708"/>
          <w:docGrid w:linePitch="360"/>
        </w:sectPr>
      </w:pPr>
      <w:r w:rsidRPr="00315F60">
        <w:rPr>
          <w:i/>
          <w:noProof/>
          <w:sz w:val="18"/>
          <w:szCs w:val="18"/>
          <w:lang w:eastAsia="en-AU"/>
        </w:rPr>
        <w:lastRenderedPageBreak/>
        <mc:AlternateContent>
          <mc:Choice Requires="wps">
            <w:drawing>
              <wp:inline distT="0" distB="0" distL="0" distR="0" wp14:anchorId="002C99C2" wp14:editId="4A1363B8">
                <wp:extent cx="5748728" cy="1404620"/>
                <wp:effectExtent l="0" t="0" r="23495" b="2159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28" cy="1404620"/>
                        </a:xfrm>
                        <a:prstGeom prst="rect">
                          <a:avLst/>
                        </a:prstGeom>
                        <a:noFill/>
                        <a:ln w="9525">
                          <a:solidFill>
                            <a:srgbClr val="000000"/>
                          </a:solidFill>
                          <a:miter lim="800000"/>
                          <a:headEnd/>
                          <a:tailEnd/>
                        </a:ln>
                      </wps:spPr>
                      <wps:txbx>
                        <w:txbxContent>
                          <w:p w:rsidR="00761C3A" w:rsidRPr="00FA0BA9" w:rsidRDefault="00761C3A" w:rsidP="00761C3A">
                            <w:pPr>
                              <w:pStyle w:val="BodyText"/>
                              <w:rPr>
                                <w:b/>
                              </w:rPr>
                            </w:pPr>
                            <w:r w:rsidRPr="00FA0BA9">
                              <w:rPr>
                                <w:b/>
                              </w:rPr>
                              <w:t xml:space="preserve">Summary of key findings </w:t>
                            </w:r>
                          </w:p>
                          <w:p w:rsidR="00761C3A" w:rsidRPr="009C7B36" w:rsidRDefault="00761C3A" w:rsidP="00761C3A">
                            <w:pPr>
                              <w:pStyle w:val="Bullet1stlevel"/>
                            </w:pPr>
                            <w:r w:rsidRPr="009C7B36">
                              <w:t xml:space="preserve">There are other aspects of a SIRS and the broader regulatory framework of aged care that are important to consider in setting the threshold of </w:t>
                            </w:r>
                            <w:r>
                              <w:t>resident on resident</w:t>
                            </w:r>
                            <w:r w:rsidRPr="009C7B36">
                              <w:t xml:space="preserve"> </w:t>
                            </w:r>
                            <w:r>
                              <w:t xml:space="preserve">incident </w:t>
                            </w:r>
                            <w:r w:rsidRPr="009C7B36">
                              <w:t>reporting under a SIRS. These include:</w:t>
                            </w:r>
                          </w:p>
                          <w:p w:rsidR="00761C3A" w:rsidRPr="009C7B36" w:rsidRDefault="00761C3A" w:rsidP="00761C3A">
                            <w:pPr>
                              <w:pStyle w:val="ListBullet2"/>
                            </w:pPr>
                            <w:r w:rsidRPr="009C7B36">
                              <w:t>Other design aspects of a SIRS, such as roles and responsibilities of the Commission and providers, as well as the threshold set for other types of incidents</w:t>
                            </w:r>
                          </w:p>
                          <w:p w:rsidR="00761C3A" w:rsidRPr="009C7B36" w:rsidRDefault="00761C3A" w:rsidP="00761C3A">
                            <w:pPr>
                              <w:pStyle w:val="ListBullet2"/>
                            </w:pPr>
                            <w:r w:rsidRPr="009C7B36">
                              <w:t xml:space="preserve">Other policy levers that are in place or that could be implemented to respond to or prevent </w:t>
                            </w:r>
                            <w:r>
                              <w:t>resident on resident</w:t>
                            </w:r>
                            <w:r w:rsidRPr="009C7B36">
                              <w:t xml:space="preserve"> incidents from occurring, or mitigating the harm associated with these incidents</w:t>
                            </w:r>
                          </w:p>
                          <w:p w:rsidR="00761C3A" w:rsidRPr="009C7B36" w:rsidRDefault="00761C3A" w:rsidP="00761C3A">
                            <w:pPr>
                              <w:pStyle w:val="ListBullet2"/>
                            </w:pPr>
                            <w:r w:rsidRPr="009C7B36">
                              <w:t>The broader quality and safety framework that is in place and how this complements or interfaces with a SIRS</w:t>
                            </w:r>
                            <w:r>
                              <w:t xml:space="preserve">, such as the Aged Care Quality Standards, </w:t>
                            </w:r>
                            <w:r w:rsidRPr="004119F1">
                              <w:t>the Charter of Aged Care Rights, quality compliance, and open disclosure</w:t>
                            </w:r>
                            <w:r>
                              <w:t>.</w:t>
                            </w:r>
                            <w:r w:rsidRPr="009C7B36">
                              <w:t>.</w:t>
                            </w:r>
                          </w:p>
                          <w:p w:rsidR="00761C3A" w:rsidRPr="009C7B36" w:rsidRDefault="00761C3A" w:rsidP="00761C3A">
                            <w:pPr>
                              <w:pStyle w:val="Bullet1stlevel"/>
                            </w:pPr>
                            <w:r w:rsidRPr="009C7B36">
                              <w:t xml:space="preserve">Information gaps still remain regarding </w:t>
                            </w:r>
                            <w:r>
                              <w:t>resident on resident</w:t>
                            </w:r>
                            <w:r w:rsidRPr="009C7B36">
                              <w:t xml:space="preserve"> incidents that are not currently reported. There is a need for further research into these areas to better support future decision making for regulatory and policy responses.</w:t>
                            </w:r>
                          </w:p>
                          <w:p w:rsidR="00761C3A" w:rsidRPr="009C7B36" w:rsidRDefault="00761C3A" w:rsidP="00761C3A">
                            <w:pPr>
                              <w:pStyle w:val="Bullet1stlevel"/>
                            </w:pPr>
                            <w:r w:rsidRPr="009C7B36">
                              <w:t>The introduction of a SIRS offers the Department an opportunity to collect data and better understand certain incidents.</w:t>
                            </w:r>
                          </w:p>
                          <w:p w:rsidR="00761C3A" w:rsidRDefault="00761C3A" w:rsidP="00761C3A">
                            <w:pPr>
                              <w:pStyle w:val="ListBullet2"/>
                              <w:numPr>
                                <w:ilvl w:val="0"/>
                                <w:numId w:val="76"/>
                              </w:numPr>
                            </w:pPr>
                            <w:r w:rsidRPr="009C7B36">
                              <w:t>Performance of a SIRS can be monitored and evaluated throughout implementation to refine the threshold and to improve its effectiveness.</w:t>
                            </w:r>
                          </w:p>
                        </w:txbxContent>
                      </wps:txbx>
                      <wps:bodyPr rot="0" vert="horz" wrap="square" lIns="91440" tIns="45720" rIns="91440" bIns="45720" anchor="t" anchorCtr="0">
                        <a:spAutoFit/>
                      </wps:bodyPr>
                    </wps:wsp>
                  </a:graphicData>
                </a:graphic>
              </wp:inline>
            </w:drawing>
          </mc:Choice>
          <mc:Fallback>
            <w:pict>
              <v:shape w14:anchorId="002C99C2" id="Text Box 10" o:spid="_x0000_s1029" type="#_x0000_t202" style="width:45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" filled="f">
                <v:textbox style="mso-fit-shape-to-text:t">
                  <w:txbxContent>
                    <w:p w:rsidR="00761C3A" w:rsidRPr="00FA0BA9" w:rsidRDefault="00761C3A" w:rsidP="00761C3A">
                      <w:pPr>
                        <w:pStyle w:val="BodyText"/>
                        <w:rPr>
                          <w:b/>
                        </w:rPr>
                      </w:pPr>
                      <w:r w:rsidRPr="00FA0BA9">
                        <w:rPr>
                          <w:b/>
                        </w:rPr>
                        <w:t xml:space="preserve">Summary of key findings </w:t>
                      </w:r>
                    </w:p>
                    <w:p w:rsidR="00761C3A" w:rsidRPr="009C7B36" w:rsidRDefault="00761C3A" w:rsidP="00761C3A">
                      <w:pPr>
                        <w:pStyle w:val="Bullet1stlevel"/>
                      </w:pPr>
                      <w:r w:rsidRPr="009C7B36">
                        <w:t xml:space="preserve">There are other aspects of a SIRS and the broader regulatory framework of aged care that are important to consider in setting the threshold of </w:t>
                      </w:r>
                      <w:r>
                        <w:t>resident on resident</w:t>
                      </w:r>
                      <w:r w:rsidRPr="009C7B36">
                        <w:t xml:space="preserve"> </w:t>
                      </w:r>
                      <w:r>
                        <w:t xml:space="preserve">incident </w:t>
                      </w:r>
                      <w:r w:rsidRPr="009C7B36">
                        <w:t>reporting under a SIRS. These include:</w:t>
                      </w:r>
                    </w:p>
                    <w:p w:rsidR="00761C3A" w:rsidRPr="009C7B36" w:rsidRDefault="00761C3A" w:rsidP="00761C3A">
                      <w:pPr>
                        <w:pStyle w:val="ListBullet2"/>
                      </w:pPr>
                      <w:r w:rsidRPr="009C7B36">
                        <w:t>Other design aspects of a SIRS, such as roles and responsibilities of the Commission and providers, as well as the threshold set for other types of incidents</w:t>
                      </w:r>
                    </w:p>
                    <w:p w:rsidR="00761C3A" w:rsidRPr="009C7B36" w:rsidRDefault="00761C3A" w:rsidP="00761C3A">
                      <w:pPr>
                        <w:pStyle w:val="ListBullet2"/>
                      </w:pPr>
                      <w:r w:rsidRPr="009C7B36">
                        <w:t xml:space="preserve">Other policy levers that are in place or that could be implemented to respond to or prevent </w:t>
                      </w:r>
                      <w:r>
                        <w:t>resident on resident</w:t>
                      </w:r>
                      <w:r w:rsidRPr="009C7B36">
                        <w:t xml:space="preserve"> incidents from occurring, or mitigating the harm associated with these incidents</w:t>
                      </w:r>
                    </w:p>
                    <w:p w:rsidR="00761C3A" w:rsidRPr="009C7B36" w:rsidRDefault="00761C3A" w:rsidP="00761C3A">
                      <w:pPr>
                        <w:pStyle w:val="ListBullet2"/>
                      </w:pPr>
                      <w:r w:rsidRPr="009C7B36">
                        <w:t>The broader quality and safety framework that is in place and how this complements or interfaces with a SIRS</w:t>
                      </w:r>
                      <w:r>
                        <w:t xml:space="preserve">, such as the Aged Care Quality Standards, </w:t>
                      </w:r>
                      <w:r w:rsidRPr="004119F1">
                        <w:t>the Charter of Aged Care Rights, quality compliance, and open disclosure</w:t>
                      </w:r>
                      <w:r>
                        <w:t>.</w:t>
                      </w:r>
                      <w:r w:rsidRPr="009C7B36">
                        <w:t>.</w:t>
                      </w:r>
                    </w:p>
                    <w:p w:rsidR="00761C3A" w:rsidRPr="009C7B36" w:rsidRDefault="00761C3A" w:rsidP="00761C3A">
                      <w:pPr>
                        <w:pStyle w:val="Bullet1stlevel"/>
                      </w:pPr>
                      <w:r w:rsidRPr="009C7B36">
                        <w:t xml:space="preserve">Information gaps still remain regarding </w:t>
                      </w:r>
                      <w:r>
                        <w:t>resident on resident</w:t>
                      </w:r>
                      <w:r w:rsidRPr="009C7B36">
                        <w:t xml:space="preserve"> incidents that are not currently reported. There is a need for further research into these areas to better support future decision making for regulatory and policy responses.</w:t>
                      </w:r>
                    </w:p>
                    <w:p w:rsidR="00761C3A" w:rsidRPr="009C7B36" w:rsidRDefault="00761C3A" w:rsidP="00761C3A">
                      <w:pPr>
                        <w:pStyle w:val="Bullet1stlevel"/>
                      </w:pPr>
                      <w:r w:rsidRPr="009C7B36">
                        <w:t>The introduction of a SIRS offers the Department an opportunity to collect data and better understand certain incidents.</w:t>
                      </w:r>
                    </w:p>
                    <w:p w:rsidR="00761C3A" w:rsidRDefault="00761C3A" w:rsidP="00761C3A">
                      <w:pPr>
                        <w:pStyle w:val="ListBullet2"/>
                        <w:numPr>
                          <w:ilvl w:val="0"/>
                          <w:numId w:val="76"/>
                        </w:numPr>
                      </w:pPr>
                      <w:r w:rsidRPr="009C7B36">
                        <w:t>Performance of a SIRS can be monitored and evaluated throughout implementation to refine the threshold and to improve its effectiveness.</w:t>
                      </w:r>
                    </w:p>
                  </w:txbxContent>
                </v:textbox>
                <w10:anchorlock/>
              </v:shape>
            </w:pict>
          </mc:Fallback>
        </mc:AlternateContent>
      </w:r>
    </w:p>
    <w:p w:rsidR="00F665D7" w:rsidRPr="00315F60" w:rsidRDefault="00F665D7" w:rsidP="00F665D7">
      <w:pPr>
        <w:spacing w:before="0" w:after="160" w:line="259" w:lineRule="auto"/>
      </w:pPr>
    </w:p>
    <w:p w:rsidR="00F665D7" w:rsidRPr="00315F60" w:rsidRDefault="00F665D7" w:rsidP="000C5B79">
      <w:pPr>
        <w:pStyle w:val="BodyText"/>
      </w:pPr>
    </w:p>
    <w:p w:rsidR="00B420C4" w:rsidRPr="00315F60" w:rsidRDefault="00B420C4" w:rsidP="000C5B79">
      <w:pPr>
        <w:pStyle w:val="BodyText"/>
        <w:rPr>
          <w:rFonts w:ascii="KPMG Extralight" w:hAnsi="KPMG Extralight"/>
          <w:sz w:val="120"/>
          <w:szCs w:val="120"/>
        </w:rPr>
      </w:pPr>
    </w:p>
    <w:p w:rsidR="00F665D7" w:rsidRPr="00315F60" w:rsidRDefault="00F665D7" w:rsidP="000C5B79">
      <w:pPr>
        <w:pStyle w:val="BodyText"/>
        <w:rPr>
          <w:rFonts w:ascii="KPMG Extralight" w:hAnsi="KPMG Extralight"/>
          <w:sz w:val="120"/>
          <w:szCs w:val="120"/>
        </w:rPr>
      </w:pPr>
      <w:r w:rsidRPr="00315F60">
        <w:rPr>
          <w:rFonts w:ascii="KPMG Extralight" w:hAnsi="KPMG Extralight"/>
          <w:sz w:val="120"/>
          <w:szCs w:val="120"/>
        </w:rPr>
        <w:t>Appendices</w:t>
      </w:r>
    </w:p>
    <w:p w:rsidR="00126808" w:rsidRPr="00315F60" w:rsidRDefault="00126808" w:rsidP="00FA0BA9">
      <w:pPr>
        <w:pStyle w:val="BodyText"/>
      </w:pPr>
    </w:p>
    <w:p w:rsidR="00FA0BA9" w:rsidRPr="00315F60" w:rsidRDefault="00FA0BA9" w:rsidP="00FA0BA9">
      <w:pPr>
        <w:pStyle w:val="BodyText2"/>
      </w:pPr>
    </w:p>
    <w:p w:rsidR="00FA0BA9" w:rsidRPr="00315F60" w:rsidRDefault="00FA0BA9" w:rsidP="00FA0BA9">
      <w:pPr>
        <w:pStyle w:val="BodyText2"/>
        <w:sectPr w:rsidR="00FA0BA9" w:rsidRPr="00315F60" w:rsidSect="00126808">
          <w:pgSz w:w="11906" w:h="16838"/>
          <w:pgMar w:top="1702" w:right="1418" w:bottom="1418" w:left="1418" w:header="709" w:footer="709" w:gutter="0"/>
          <w:cols w:space="708"/>
          <w:docGrid w:linePitch="360"/>
        </w:sectPr>
      </w:pPr>
    </w:p>
    <w:p w:rsidR="00957988" w:rsidRPr="00315F60" w:rsidRDefault="00957988" w:rsidP="00433FBB">
      <w:pPr>
        <w:pStyle w:val="Appendixheading"/>
        <w:rPr>
          <w:color w:val="auto"/>
        </w:rPr>
      </w:pPr>
      <w:bookmarkStart w:id="459" w:name="_Ref25417774"/>
      <w:bookmarkStart w:id="460" w:name="_Ref25417800"/>
      <w:bookmarkStart w:id="461" w:name="_Toc26979142"/>
      <w:r w:rsidRPr="00315F60">
        <w:rPr>
          <w:color w:val="auto"/>
        </w:rPr>
        <w:lastRenderedPageBreak/>
        <w:t xml:space="preserve">: </w:t>
      </w:r>
      <w:r w:rsidR="007E50B3" w:rsidRPr="00315F60">
        <w:rPr>
          <w:color w:val="auto"/>
        </w:rPr>
        <w:t>Q</w:t>
      </w:r>
      <w:r w:rsidRPr="00315F60">
        <w:rPr>
          <w:color w:val="auto"/>
        </w:rPr>
        <w:t>uestions and data fields captured</w:t>
      </w:r>
      <w:r w:rsidR="007E50B3" w:rsidRPr="00315F60">
        <w:rPr>
          <w:color w:val="auto"/>
        </w:rPr>
        <w:t xml:space="preserve"> in this study</w:t>
      </w:r>
      <w:bookmarkEnd w:id="459"/>
      <w:bookmarkEnd w:id="460"/>
      <w:bookmarkEnd w:id="461"/>
    </w:p>
    <w:p w:rsidR="00433FBB" w:rsidRPr="00315F60" w:rsidRDefault="00433FBB" w:rsidP="00433FBB">
      <w:pPr>
        <w:pStyle w:val="BodyText2"/>
      </w:pPr>
    </w:p>
    <w:p w:rsidR="007E50B3" w:rsidRPr="00315F60" w:rsidRDefault="007E50B3" w:rsidP="00FA0BA9">
      <w:pPr>
        <w:pStyle w:val="BodyText2"/>
      </w:pPr>
      <w:r w:rsidRPr="00315F60">
        <w:t xml:space="preserve">This </w:t>
      </w:r>
      <w:r w:rsidR="00C02FFC" w:rsidRPr="00315F60">
        <w:t>a</w:t>
      </w:r>
      <w:r w:rsidRPr="00315F60">
        <w:t>ppendix outlines the specific questions and data fields that were captured during this study.</w:t>
      </w:r>
    </w:p>
    <w:p w:rsidR="00957988" w:rsidRPr="00315F60" w:rsidRDefault="00957988" w:rsidP="00957988">
      <w:pPr>
        <w:pStyle w:val="BodyText1"/>
        <w:rPr>
          <w:b/>
        </w:rPr>
      </w:pPr>
      <w:r w:rsidRPr="00315F60">
        <w:rPr>
          <w:b/>
        </w:rPr>
        <w:t>Type 1 Incidents – Reportable assaults between residents that have not been reported to the Department because they are exempt from being reported</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showing the question and relevant data fields for the number of Type 1  reportable assaults between residents that have not been reported to the Department because they are exempt from being reported that occured during the six month period from 1 February 2019 to 31 July 2019. "/>
      </w:tblPr>
      <w:tblGrid>
        <w:gridCol w:w="5722"/>
        <w:gridCol w:w="7986"/>
      </w:tblGrid>
      <w:tr w:rsidR="00315F60" w:rsidRPr="00315F60" w:rsidTr="00506A16">
        <w:trPr>
          <w:trHeight w:val="416"/>
          <w:tblHeader/>
        </w:trPr>
        <w:tc>
          <w:tcPr>
            <w:tcW w:w="2087" w:type="pct"/>
            <w:shd w:val="clear" w:color="auto" w:fill="000000" w:themeFill="text1"/>
          </w:tcPr>
          <w:p w:rsidR="00957988" w:rsidRPr="00315F60" w:rsidRDefault="00957988" w:rsidP="001D33CF">
            <w:pPr>
              <w:rPr>
                <w:b/>
                <w:szCs w:val="20"/>
              </w:rPr>
            </w:pPr>
            <w:r w:rsidRPr="00315F60">
              <w:rPr>
                <w:b/>
                <w:szCs w:val="20"/>
              </w:rPr>
              <w:t>Question</w:t>
            </w:r>
          </w:p>
        </w:tc>
        <w:tc>
          <w:tcPr>
            <w:tcW w:w="2913" w:type="pct"/>
            <w:shd w:val="clear" w:color="auto" w:fill="000000" w:themeFill="text1"/>
          </w:tcPr>
          <w:p w:rsidR="00957988" w:rsidRPr="00315F60" w:rsidRDefault="00957988" w:rsidP="001D33CF">
            <w:pPr>
              <w:rPr>
                <w:b/>
                <w:szCs w:val="20"/>
              </w:rPr>
            </w:pPr>
            <w:r w:rsidRPr="00315F60">
              <w:rPr>
                <w:b/>
                <w:szCs w:val="20"/>
              </w:rPr>
              <w:t>Data fields</w:t>
            </w:r>
          </w:p>
        </w:tc>
      </w:tr>
      <w:tr w:rsidR="00315F60" w:rsidRPr="00315F60" w:rsidTr="001D33CF">
        <w:tc>
          <w:tcPr>
            <w:tcW w:w="2087" w:type="pct"/>
          </w:tcPr>
          <w:p w:rsidR="00957988" w:rsidRPr="00315F60" w:rsidRDefault="00957988" w:rsidP="001D33CF">
            <w:pPr>
              <w:pStyle w:val="BodyText1"/>
            </w:pPr>
            <w:r w:rsidRPr="00315F60">
              <w:t>How many incidents of this nature (Type 1) occurred during the six month period 1 February 2019 to 31 July 2019?</w:t>
            </w:r>
            <w:r w:rsidR="001952BF" w:rsidRPr="00315F60">
              <w:t xml:space="preserve"> </w:t>
            </w:r>
            <w:r w:rsidRPr="00315F60">
              <w:t>If there are no incidents, please enter ‘0’.</w:t>
            </w:r>
          </w:p>
        </w:tc>
        <w:tc>
          <w:tcPr>
            <w:tcW w:w="2913" w:type="pct"/>
            <w:vAlign w:val="center"/>
          </w:tcPr>
          <w:p w:rsidR="00957988" w:rsidRPr="00315F60" w:rsidRDefault="00957988" w:rsidP="001D33CF">
            <w:r w:rsidRPr="00315F60">
              <w:rPr>
                <w:szCs w:val="20"/>
              </w:rPr>
              <w:t>n/a</w:t>
            </w:r>
          </w:p>
        </w:tc>
      </w:tr>
    </w:tbl>
    <w:p w:rsidR="00957988" w:rsidRPr="00315F60" w:rsidRDefault="007E50B3" w:rsidP="00957988">
      <w:pPr>
        <w:rPr>
          <w:b/>
          <w:szCs w:val="20"/>
        </w:rPr>
      </w:pPr>
      <w:r w:rsidRPr="00315F60">
        <w:rPr>
          <w:b/>
          <w:szCs w:val="20"/>
        </w:rPr>
        <w:t>C</w:t>
      </w:r>
      <w:r w:rsidR="00957988" w:rsidRPr="00315F60">
        <w:rPr>
          <w:b/>
          <w:szCs w:val="20"/>
        </w:rPr>
        <w:t xml:space="preserve">ompleted </w:t>
      </w:r>
      <w:r w:rsidRPr="00315F60">
        <w:rPr>
          <w:b/>
          <w:szCs w:val="20"/>
        </w:rPr>
        <w:t xml:space="preserve">once </w:t>
      </w:r>
      <w:r w:rsidR="00957988" w:rsidRPr="00315F60">
        <w:rPr>
          <w:b/>
          <w:szCs w:val="20"/>
        </w:rPr>
        <w:t>for each Type 1 Incident</w:t>
      </w:r>
      <w:r w:rsidRPr="00315F60">
        <w:rPr>
          <w:b/>
          <w:szCs w:val="20"/>
        </w:rPr>
        <w:t>:</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showing the question and data fields to be completed for each Type 1 incident. "/>
      </w:tblPr>
      <w:tblGrid>
        <w:gridCol w:w="5722"/>
        <w:gridCol w:w="7986"/>
      </w:tblGrid>
      <w:tr w:rsidR="00315F60" w:rsidRPr="00315F60" w:rsidTr="00506A16">
        <w:trPr>
          <w:trHeight w:val="416"/>
          <w:tblHeader/>
        </w:trPr>
        <w:tc>
          <w:tcPr>
            <w:tcW w:w="2087" w:type="pct"/>
            <w:shd w:val="clear" w:color="auto" w:fill="000000" w:themeFill="text1"/>
          </w:tcPr>
          <w:p w:rsidR="00957988" w:rsidRPr="00315F60" w:rsidRDefault="00957988" w:rsidP="001D33CF">
            <w:pPr>
              <w:rPr>
                <w:b/>
                <w:szCs w:val="20"/>
              </w:rPr>
            </w:pPr>
            <w:r w:rsidRPr="00315F60">
              <w:rPr>
                <w:b/>
                <w:szCs w:val="20"/>
              </w:rPr>
              <w:t>Question</w:t>
            </w:r>
          </w:p>
        </w:tc>
        <w:tc>
          <w:tcPr>
            <w:tcW w:w="2913" w:type="pct"/>
            <w:shd w:val="clear" w:color="auto" w:fill="000000" w:themeFill="text1"/>
          </w:tcPr>
          <w:p w:rsidR="00957988" w:rsidRPr="00315F60" w:rsidRDefault="00957988" w:rsidP="001D33CF">
            <w:pPr>
              <w:rPr>
                <w:b/>
                <w:szCs w:val="20"/>
              </w:rPr>
            </w:pPr>
            <w:r w:rsidRPr="00315F60">
              <w:rPr>
                <w:b/>
                <w:szCs w:val="20"/>
              </w:rPr>
              <w:t>Details</w:t>
            </w:r>
          </w:p>
        </w:tc>
      </w:tr>
      <w:tr w:rsidR="00315F60" w:rsidRPr="00315F60" w:rsidTr="0070733A">
        <w:tc>
          <w:tcPr>
            <w:tcW w:w="2087" w:type="pct"/>
          </w:tcPr>
          <w:p w:rsidR="00957988" w:rsidRPr="00315F60" w:rsidRDefault="00957988" w:rsidP="001D33CF">
            <w:pPr>
              <w:rPr>
                <w:b/>
                <w:szCs w:val="20"/>
              </w:rPr>
            </w:pPr>
            <w:r w:rsidRPr="00315F60">
              <w:rPr>
                <w:szCs w:val="20"/>
              </w:rPr>
              <w:t>When did the service first become aware or start to suspect that the reportable assault had occurred?</w:t>
            </w:r>
          </w:p>
        </w:tc>
        <w:tc>
          <w:tcPr>
            <w:tcW w:w="2913" w:type="pct"/>
          </w:tcPr>
          <w:p w:rsidR="00957988" w:rsidRPr="00315F60" w:rsidRDefault="00957988" w:rsidP="001D33CF">
            <w:pPr>
              <w:rPr>
                <w:szCs w:val="20"/>
              </w:rPr>
            </w:pPr>
            <w:r w:rsidRPr="00315F60">
              <w:rPr>
                <w:szCs w:val="20"/>
              </w:rPr>
              <w:t>_ _ / _ _ / _ _</w:t>
            </w:r>
            <w:r w:rsidR="001952BF" w:rsidRPr="00315F60">
              <w:rPr>
                <w:szCs w:val="20"/>
              </w:rPr>
              <w:t xml:space="preserve"> </w:t>
            </w:r>
            <w:r w:rsidRPr="00315F60">
              <w:rPr>
                <w:szCs w:val="20"/>
              </w:rPr>
              <w:t>(DD/MM/YYYY)</w:t>
            </w:r>
          </w:p>
        </w:tc>
      </w:tr>
      <w:tr w:rsidR="00315F60" w:rsidRPr="00315F60" w:rsidTr="0070733A">
        <w:tc>
          <w:tcPr>
            <w:tcW w:w="2087" w:type="pct"/>
          </w:tcPr>
          <w:p w:rsidR="00957988" w:rsidRPr="00315F60" w:rsidRDefault="00957988" w:rsidP="001D33CF">
            <w:pPr>
              <w:rPr>
                <w:b/>
                <w:szCs w:val="20"/>
              </w:rPr>
            </w:pPr>
            <w:r w:rsidRPr="00315F60">
              <w:rPr>
                <w:szCs w:val="20"/>
              </w:rPr>
              <w:t>Who was involved in the incident? Please enter the first name and first letter of the last name for each of the residents involved.</w:t>
            </w:r>
          </w:p>
          <w:p w:rsidR="00957988" w:rsidRPr="00315F60" w:rsidRDefault="00957988" w:rsidP="001D33CF">
            <w:pPr>
              <w:rPr>
                <w:b/>
                <w:szCs w:val="20"/>
              </w:rPr>
            </w:pPr>
            <w:r w:rsidRPr="00315F60">
              <w:rPr>
                <w:szCs w:val="20"/>
              </w:rPr>
              <w:t>e.g. JOHNS for John Smith</w:t>
            </w:r>
          </w:p>
        </w:tc>
        <w:tc>
          <w:tcPr>
            <w:tcW w:w="2913" w:type="pct"/>
          </w:tcPr>
          <w:p w:rsidR="00957988" w:rsidRPr="00315F60" w:rsidRDefault="00957988" w:rsidP="001D33CF">
            <w:pPr>
              <w:rPr>
                <w:szCs w:val="20"/>
              </w:rPr>
            </w:pPr>
          </w:p>
          <w:p w:rsidR="00957988" w:rsidRPr="00315F60" w:rsidRDefault="00957988" w:rsidP="001D33CF">
            <w:pPr>
              <w:rPr>
                <w:szCs w:val="20"/>
              </w:rPr>
            </w:pPr>
            <w:r w:rsidRPr="00315F60">
              <w:rPr>
                <w:szCs w:val="20"/>
              </w:rPr>
              <w:t>n/a</w:t>
            </w:r>
          </w:p>
        </w:tc>
      </w:tr>
      <w:tr w:rsidR="00315F60" w:rsidRPr="00315F60" w:rsidTr="0070733A">
        <w:tc>
          <w:tcPr>
            <w:tcW w:w="2087" w:type="pct"/>
          </w:tcPr>
          <w:p w:rsidR="00957988" w:rsidRPr="00315F60" w:rsidRDefault="00957988" w:rsidP="001D33CF">
            <w:pPr>
              <w:rPr>
                <w:b/>
                <w:szCs w:val="20"/>
              </w:rPr>
            </w:pPr>
            <w:r w:rsidRPr="00315F60">
              <w:rPr>
                <w:szCs w:val="20"/>
              </w:rPr>
              <w:t>What type of reportable assault occurred? Select all that apply</w:t>
            </w:r>
          </w:p>
        </w:tc>
        <w:tc>
          <w:tcPr>
            <w:tcW w:w="2913" w:type="pct"/>
          </w:tcPr>
          <w:p w:rsidR="00957988" w:rsidRPr="00315F60" w:rsidRDefault="00957988" w:rsidP="001D33CF">
            <w:pPr>
              <w:rPr>
                <w:b/>
                <w:szCs w:val="20"/>
              </w:rPr>
            </w:pPr>
            <w:r w:rsidRPr="00315F60">
              <w:sym w:font="Symbol" w:char="F07F"/>
            </w:r>
            <w:r w:rsidR="001952BF" w:rsidRPr="00315F60">
              <w:t xml:space="preserve"> </w:t>
            </w:r>
            <w:r w:rsidRPr="00315F60">
              <w:rPr>
                <w:b/>
                <w:szCs w:val="20"/>
              </w:rPr>
              <w:t>Unlawful sexual contact</w:t>
            </w:r>
            <w:r w:rsidRPr="00315F60">
              <w:rPr>
                <w:szCs w:val="20"/>
              </w:rPr>
              <w:t xml:space="preserve"> – non-consensual sexual activity towards residents in aged care facilities. </w:t>
            </w:r>
          </w:p>
          <w:p w:rsidR="00957988" w:rsidRPr="00315F60" w:rsidRDefault="00957988" w:rsidP="001D33CF">
            <w:pPr>
              <w:rPr>
                <w:szCs w:val="20"/>
              </w:rPr>
            </w:pPr>
            <w:r w:rsidRPr="00315F60">
              <w:lastRenderedPageBreak/>
              <w:sym w:font="Symbol" w:char="F07F"/>
            </w:r>
            <w:r w:rsidR="001952BF" w:rsidRPr="00315F60">
              <w:t xml:space="preserve"> </w:t>
            </w:r>
            <w:r w:rsidRPr="00315F60">
              <w:rPr>
                <w:b/>
                <w:szCs w:val="20"/>
              </w:rPr>
              <w:t>Unreasonable use of force</w:t>
            </w:r>
            <w:r w:rsidRPr="00315F60">
              <w:rPr>
                <w:szCs w:val="20"/>
              </w:rPr>
              <w:t xml:space="preserve"> – deliberate and violent physical attacks on residents and the use of unwarranted physical force on a resident. This may include hitting, punching or kicking a resident regardless of whether this causes visible harm, such as bruising.</w:t>
            </w:r>
          </w:p>
          <w:p w:rsidR="00957988" w:rsidRPr="00315F60" w:rsidRDefault="00957988" w:rsidP="001D33CF">
            <w:pPr>
              <w:rPr>
                <w:szCs w:val="20"/>
              </w:rPr>
            </w:pPr>
            <w:r w:rsidRPr="00315F60">
              <w:sym w:font="Symbol" w:char="F07F"/>
            </w:r>
            <w:r w:rsidR="001952BF" w:rsidRPr="00315F60">
              <w:t xml:space="preserve"> </w:t>
            </w:r>
            <w:r w:rsidRPr="00315F60">
              <w:t>Unable to be determined based on the information available</w:t>
            </w:r>
          </w:p>
        </w:tc>
      </w:tr>
      <w:tr w:rsidR="00315F60" w:rsidRPr="00315F60" w:rsidTr="0070733A">
        <w:tc>
          <w:tcPr>
            <w:tcW w:w="2087" w:type="pct"/>
          </w:tcPr>
          <w:p w:rsidR="00957988" w:rsidRPr="00315F60" w:rsidRDefault="00957988" w:rsidP="001D33CF">
            <w:pPr>
              <w:rPr>
                <w:b/>
                <w:szCs w:val="20"/>
              </w:rPr>
            </w:pPr>
            <w:r w:rsidRPr="00315F60">
              <w:rPr>
                <w:szCs w:val="20"/>
              </w:rPr>
              <w:lastRenderedPageBreak/>
              <w:t>What behaviours were displayed by the resident who was the alleged perpetrator? Select all that apply</w:t>
            </w:r>
          </w:p>
        </w:tc>
        <w:tc>
          <w:tcPr>
            <w:tcW w:w="2913" w:type="pct"/>
          </w:tcPr>
          <w:p w:rsidR="00957988" w:rsidRPr="00315F60" w:rsidRDefault="00957988" w:rsidP="001D33CF">
            <w:pPr>
              <w:rPr>
                <w:szCs w:val="20"/>
              </w:rPr>
            </w:pPr>
            <w:r w:rsidRPr="00315F60">
              <w:sym w:font="Symbol" w:char="F07F"/>
            </w:r>
            <w:r w:rsidR="001952BF" w:rsidRPr="00315F60">
              <w:t xml:space="preserve"> </w:t>
            </w:r>
            <w:r w:rsidRPr="00315F60">
              <w:rPr>
                <w:szCs w:val="20"/>
              </w:rPr>
              <w:t>Pushing or shoving, kicking, hitting, punching, slapping, and / or biting</w:t>
            </w:r>
          </w:p>
          <w:p w:rsidR="00957988" w:rsidRPr="00315F60" w:rsidRDefault="00957988" w:rsidP="001D33CF">
            <w:pPr>
              <w:rPr>
                <w:szCs w:val="20"/>
              </w:rPr>
            </w:pPr>
            <w:r w:rsidRPr="00315F60">
              <w:sym w:font="Symbol" w:char="F07F"/>
            </w:r>
            <w:r w:rsidR="001952BF" w:rsidRPr="00315F60">
              <w:t xml:space="preserve"> </w:t>
            </w:r>
            <w:r w:rsidRPr="00315F60">
              <w:rPr>
                <w:szCs w:val="20"/>
              </w:rPr>
              <w:t>Physically restraining another resident</w:t>
            </w:r>
          </w:p>
          <w:p w:rsidR="00957988" w:rsidRPr="00315F60" w:rsidRDefault="00957988" w:rsidP="001D33CF">
            <w:pPr>
              <w:rPr>
                <w:szCs w:val="20"/>
              </w:rPr>
            </w:pPr>
            <w:r w:rsidRPr="00315F60">
              <w:sym w:font="Symbol" w:char="F07F"/>
            </w:r>
            <w:r w:rsidR="001952BF" w:rsidRPr="00315F60">
              <w:t xml:space="preserve"> </w:t>
            </w:r>
            <w:r w:rsidRPr="00315F60">
              <w:rPr>
                <w:szCs w:val="20"/>
              </w:rPr>
              <w:t>Intentional injury of another resident with a weapon or object, including burning</w:t>
            </w:r>
          </w:p>
          <w:p w:rsidR="00957988" w:rsidRPr="00315F60" w:rsidRDefault="00957988" w:rsidP="001D33CF">
            <w:pPr>
              <w:rPr>
                <w:szCs w:val="20"/>
              </w:rPr>
            </w:pPr>
            <w:r w:rsidRPr="00315F60">
              <w:sym w:font="Symbol" w:char="F07F"/>
            </w:r>
            <w:r w:rsidR="001952BF" w:rsidRPr="00315F60">
              <w:t xml:space="preserve"> </w:t>
            </w:r>
            <w:r w:rsidRPr="00315F60">
              <w:rPr>
                <w:szCs w:val="20"/>
              </w:rPr>
              <w:t>Non-consensual sexual language or exploitative behaviour</w:t>
            </w:r>
          </w:p>
          <w:p w:rsidR="00957988" w:rsidRPr="00315F60" w:rsidRDefault="00957988" w:rsidP="001D33CF">
            <w:pPr>
              <w:rPr>
                <w:szCs w:val="20"/>
              </w:rPr>
            </w:pPr>
            <w:r w:rsidRPr="00315F60">
              <w:sym w:font="Symbol" w:char="F07F"/>
            </w:r>
            <w:r w:rsidR="001952BF" w:rsidRPr="00315F60">
              <w:t xml:space="preserve"> </w:t>
            </w:r>
            <w:r w:rsidRPr="00315F60">
              <w:rPr>
                <w:szCs w:val="20"/>
              </w:rPr>
              <w:t>Rape, sexual assault, including touching the resident’s genital area without consent</w:t>
            </w:r>
          </w:p>
          <w:p w:rsidR="00957988" w:rsidRPr="00315F60" w:rsidRDefault="00957988" w:rsidP="001D33CF">
            <w:pPr>
              <w:rPr>
                <w:szCs w:val="20"/>
              </w:rPr>
            </w:pPr>
            <w:r w:rsidRPr="00315F60">
              <w:sym w:font="Symbol" w:char="F07F"/>
            </w:r>
            <w:r w:rsidR="001952BF" w:rsidRPr="00315F60">
              <w:t xml:space="preserve"> </w:t>
            </w:r>
            <w:r w:rsidRPr="00315F60">
              <w:rPr>
                <w:szCs w:val="20"/>
              </w:rPr>
              <w:t>Other, please specify _______________________</w:t>
            </w:r>
          </w:p>
          <w:p w:rsidR="00957988" w:rsidRPr="00315F60" w:rsidRDefault="00957988" w:rsidP="001D33CF">
            <w:pPr>
              <w:rPr>
                <w:szCs w:val="20"/>
              </w:rPr>
            </w:pPr>
            <w:r w:rsidRPr="00315F60">
              <w:sym w:font="Symbol" w:char="F07F"/>
            </w:r>
            <w:r w:rsidR="001952BF" w:rsidRPr="00315F60">
              <w:t xml:space="preserve"> </w:t>
            </w:r>
            <w:r w:rsidRPr="00315F60">
              <w:t>Unable to be determined based on the information available</w:t>
            </w:r>
          </w:p>
        </w:tc>
      </w:tr>
      <w:tr w:rsidR="00315F60" w:rsidRPr="00315F60" w:rsidTr="0070733A">
        <w:tc>
          <w:tcPr>
            <w:tcW w:w="2087" w:type="pct"/>
          </w:tcPr>
          <w:p w:rsidR="00957988" w:rsidRPr="00315F60" w:rsidRDefault="00957988" w:rsidP="001D33CF">
            <w:pPr>
              <w:rPr>
                <w:b/>
                <w:szCs w:val="20"/>
              </w:rPr>
            </w:pPr>
            <w:r w:rsidRPr="00315F60">
              <w:rPr>
                <w:szCs w:val="20"/>
              </w:rPr>
              <w:t>What was the impact of the reportable assault on the resident who was the victim? Please check the option which most closely aligns with the impact on the resident (select one only).</w:t>
            </w:r>
          </w:p>
        </w:tc>
        <w:tc>
          <w:tcPr>
            <w:tcW w:w="2913" w:type="pct"/>
          </w:tcPr>
          <w:p w:rsidR="00957988" w:rsidRPr="00315F60" w:rsidRDefault="00957988" w:rsidP="001D33CF">
            <w:pPr>
              <w:rPr>
                <w:szCs w:val="20"/>
              </w:rPr>
            </w:pPr>
            <w:r w:rsidRPr="00315F60">
              <w:sym w:font="Symbol" w:char="F07F"/>
            </w:r>
            <w:r w:rsidR="001952BF" w:rsidRPr="00315F60">
              <w:t xml:space="preserve"> </w:t>
            </w:r>
            <w:r w:rsidRPr="00315F60">
              <w:rPr>
                <w:szCs w:val="20"/>
              </w:rPr>
              <w:t>Fatality or severe permanent physical or psychological impairment</w:t>
            </w:r>
          </w:p>
          <w:p w:rsidR="00957988" w:rsidRPr="00315F60" w:rsidRDefault="00957988" w:rsidP="001D33CF">
            <w:pPr>
              <w:rPr>
                <w:szCs w:val="20"/>
              </w:rPr>
            </w:pPr>
            <w:r w:rsidRPr="00315F60">
              <w:sym w:font="Symbol" w:char="F07F"/>
            </w:r>
            <w:r w:rsidR="001952BF" w:rsidRPr="00315F60">
              <w:t xml:space="preserve"> </w:t>
            </w:r>
            <w:r w:rsidRPr="00315F60">
              <w:rPr>
                <w:szCs w:val="20"/>
              </w:rPr>
              <w:t>Permanent physical or psychological impairment</w:t>
            </w:r>
          </w:p>
          <w:p w:rsidR="00957988" w:rsidRPr="00315F60" w:rsidRDefault="00957988" w:rsidP="001D33CF">
            <w:pPr>
              <w:rPr>
                <w:szCs w:val="20"/>
              </w:rPr>
            </w:pPr>
            <w:r w:rsidRPr="00315F60">
              <w:sym w:font="Symbol" w:char="F07F"/>
            </w:r>
            <w:r w:rsidR="001952BF" w:rsidRPr="00315F60">
              <w:t xml:space="preserve"> </w:t>
            </w:r>
            <w:r w:rsidRPr="00315F60">
              <w:rPr>
                <w:szCs w:val="20"/>
              </w:rPr>
              <w:t>Physical or psychological injury or illness requiring a hospital admission (but not permanent)</w:t>
            </w:r>
          </w:p>
          <w:p w:rsidR="00957988" w:rsidRPr="00315F60" w:rsidRDefault="00957988" w:rsidP="001D33CF">
            <w:pPr>
              <w:rPr>
                <w:szCs w:val="20"/>
              </w:rPr>
            </w:pPr>
            <w:r w:rsidRPr="00315F60">
              <w:sym w:font="Symbol" w:char="F07F"/>
            </w:r>
            <w:r w:rsidR="001952BF" w:rsidRPr="00315F60">
              <w:t xml:space="preserve"> </w:t>
            </w:r>
            <w:r w:rsidRPr="00315F60">
              <w:rPr>
                <w:szCs w:val="20"/>
              </w:rPr>
              <w:t>Physical or psychological injury or illness requiring onsite medical or psychological treatment</w:t>
            </w:r>
          </w:p>
          <w:p w:rsidR="00957988" w:rsidRPr="00315F60" w:rsidRDefault="00957988" w:rsidP="001D33CF">
            <w:pPr>
              <w:rPr>
                <w:szCs w:val="20"/>
              </w:rPr>
            </w:pPr>
            <w:r w:rsidRPr="00315F60">
              <w:sym w:font="Symbol" w:char="F07F"/>
            </w:r>
            <w:r w:rsidR="001952BF" w:rsidRPr="00315F60">
              <w:t xml:space="preserve"> </w:t>
            </w:r>
            <w:r w:rsidRPr="00315F60">
              <w:rPr>
                <w:szCs w:val="20"/>
              </w:rPr>
              <w:t>Minor physical or psychological injury or discomfort which resolved without formal medical or psychological interventions.</w:t>
            </w:r>
          </w:p>
          <w:p w:rsidR="00957988" w:rsidRPr="00315F60" w:rsidRDefault="00957988" w:rsidP="001D33CF">
            <w:pPr>
              <w:rPr>
                <w:szCs w:val="20"/>
              </w:rPr>
            </w:pPr>
            <w:r w:rsidRPr="00315F60">
              <w:sym w:font="Symbol" w:char="F07F"/>
            </w:r>
            <w:r w:rsidR="001952BF" w:rsidRPr="00315F60">
              <w:t xml:space="preserve"> </w:t>
            </w:r>
            <w:r w:rsidRPr="00315F60">
              <w:rPr>
                <w:szCs w:val="20"/>
              </w:rPr>
              <w:t>No impact</w:t>
            </w:r>
          </w:p>
          <w:p w:rsidR="00957988" w:rsidRPr="00315F60" w:rsidRDefault="00957988" w:rsidP="001D33CF">
            <w:pPr>
              <w:rPr>
                <w:szCs w:val="20"/>
              </w:rPr>
            </w:pPr>
            <w:r w:rsidRPr="00315F60">
              <w:sym w:font="Symbol" w:char="F07F"/>
            </w:r>
            <w:r w:rsidR="001952BF" w:rsidRPr="00315F60">
              <w:t xml:space="preserve"> </w:t>
            </w:r>
            <w:r w:rsidRPr="00315F60">
              <w:t>Unable to be determined based on the information available</w:t>
            </w:r>
          </w:p>
        </w:tc>
      </w:tr>
      <w:tr w:rsidR="00315F60" w:rsidRPr="00315F60" w:rsidTr="0070733A">
        <w:tc>
          <w:tcPr>
            <w:tcW w:w="2087" w:type="pct"/>
          </w:tcPr>
          <w:p w:rsidR="00957988" w:rsidRPr="00315F60" w:rsidRDefault="00957988" w:rsidP="001D33CF">
            <w:pPr>
              <w:rPr>
                <w:b/>
                <w:szCs w:val="20"/>
              </w:rPr>
            </w:pPr>
            <w:r w:rsidRPr="00315F60">
              <w:rPr>
                <w:szCs w:val="20"/>
              </w:rPr>
              <w:lastRenderedPageBreak/>
              <w:t>In addition to recording the reportable assault, what other actions were taken by the service in response to the incident? Select all that apply</w:t>
            </w:r>
            <w:r w:rsidR="00C02FFC" w:rsidRPr="00315F60">
              <w:rPr>
                <w:szCs w:val="20"/>
              </w:rPr>
              <w:t>.</w:t>
            </w:r>
          </w:p>
        </w:tc>
        <w:tc>
          <w:tcPr>
            <w:tcW w:w="2913" w:type="pct"/>
          </w:tcPr>
          <w:p w:rsidR="00957988" w:rsidRPr="00315F60" w:rsidRDefault="00957988" w:rsidP="001D33CF">
            <w:pPr>
              <w:rPr>
                <w:szCs w:val="20"/>
              </w:rPr>
            </w:pPr>
            <w:r w:rsidRPr="00315F60">
              <w:sym w:font="Symbol" w:char="F07F"/>
            </w:r>
            <w:r w:rsidR="001952BF" w:rsidRPr="00315F60">
              <w:t xml:space="preserve"> </w:t>
            </w:r>
            <w:r w:rsidRPr="00315F60">
              <w:rPr>
                <w:szCs w:val="20"/>
              </w:rPr>
              <w:t xml:space="preserve">Update made to the victim’s care plan </w:t>
            </w:r>
          </w:p>
          <w:p w:rsidR="00957988" w:rsidRPr="00315F60" w:rsidRDefault="00957988" w:rsidP="001D33CF">
            <w:pPr>
              <w:rPr>
                <w:szCs w:val="20"/>
              </w:rPr>
            </w:pPr>
            <w:r w:rsidRPr="00315F60">
              <w:sym w:font="Symbol" w:char="F07F"/>
            </w:r>
            <w:r w:rsidR="001952BF" w:rsidRPr="00315F60">
              <w:t xml:space="preserve"> </w:t>
            </w:r>
            <w:r w:rsidRPr="00315F60">
              <w:rPr>
                <w:szCs w:val="20"/>
              </w:rPr>
              <w:t>Update made to the perpetrator’s care plan</w:t>
            </w:r>
          </w:p>
          <w:p w:rsidR="00957988" w:rsidRPr="00315F60" w:rsidRDefault="00957988" w:rsidP="001D33CF">
            <w:pPr>
              <w:rPr>
                <w:szCs w:val="20"/>
              </w:rPr>
            </w:pPr>
            <w:r w:rsidRPr="00315F60">
              <w:sym w:font="Symbol" w:char="F07F"/>
            </w:r>
            <w:r w:rsidR="001952BF" w:rsidRPr="00315F60">
              <w:t xml:space="preserve"> </w:t>
            </w:r>
            <w:r w:rsidRPr="00315F60">
              <w:rPr>
                <w:szCs w:val="20"/>
              </w:rPr>
              <w:t xml:space="preserve">Onsite medical treatment provided to the victim </w:t>
            </w:r>
          </w:p>
          <w:p w:rsidR="00957988" w:rsidRPr="00315F60" w:rsidRDefault="00957988" w:rsidP="001D33CF">
            <w:pPr>
              <w:rPr>
                <w:szCs w:val="20"/>
              </w:rPr>
            </w:pPr>
            <w:r w:rsidRPr="00315F60">
              <w:sym w:font="Symbol" w:char="F07F"/>
            </w:r>
            <w:r w:rsidR="001952BF" w:rsidRPr="00315F60">
              <w:t xml:space="preserve"> </w:t>
            </w:r>
            <w:r w:rsidRPr="00315F60">
              <w:rPr>
                <w:szCs w:val="20"/>
              </w:rPr>
              <w:t>Onsite medical treatment provided to the perpetrator</w:t>
            </w:r>
          </w:p>
          <w:p w:rsidR="00957988" w:rsidRPr="00315F60" w:rsidRDefault="00957988" w:rsidP="001D33CF">
            <w:pPr>
              <w:rPr>
                <w:szCs w:val="20"/>
              </w:rPr>
            </w:pPr>
            <w:r w:rsidRPr="00315F60">
              <w:sym w:font="Symbol" w:char="F07F"/>
            </w:r>
            <w:r w:rsidR="001952BF" w:rsidRPr="00315F60">
              <w:t xml:space="preserve"> </w:t>
            </w:r>
            <w:r w:rsidRPr="00315F60">
              <w:rPr>
                <w:szCs w:val="20"/>
              </w:rPr>
              <w:t xml:space="preserve">Hospital admission for the victim </w:t>
            </w:r>
          </w:p>
          <w:p w:rsidR="00957988" w:rsidRPr="00315F60" w:rsidRDefault="00957988" w:rsidP="001D33CF">
            <w:pPr>
              <w:rPr>
                <w:szCs w:val="20"/>
              </w:rPr>
            </w:pPr>
            <w:r w:rsidRPr="00315F60">
              <w:sym w:font="Symbol" w:char="F07F"/>
            </w:r>
            <w:r w:rsidR="001952BF" w:rsidRPr="00315F60">
              <w:t xml:space="preserve"> </w:t>
            </w:r>
            <w:r w:rsidRPr="00315F60">
              <w:rPr>
                <w:szCs w:val="20"/>
              </w:rPr>
              <w:t xml:space="preserve">Hospital admission for perpetrator </w:t>
            </w:r>
          </w:p>
          <w:p w:rsidR="00957988" w:rsidRPr="00315F60" w:rsidRDefault="00957988" w:rsidP="001D33CF">
            <w:pPr>
              <w:rPr>
                <w:szCs w:val="20"/>
              </w:rPr>
            </w:pPr>
            <w:r w:rsidRPr="00315F60">
              <w:sym w:font="Symbol" w:char="F07F"/>
            </w:r>
            <w:r w:rsidR="001952BF" w:rsidRPr="00315F60">
              <w:t xml:space="preserve"> </w:t>
            </w:r>
            <w:r w:rsidRPr="00315F60">
              <w:rPr>
                <w:szCs w:val="20"/>
              </w:rPr>
              <w:t>Referral made to the Dementia Behaviour Management Advisory Service (DBMAS)</w:t>
            </w:r>
          </w:p>
          <w:p w:rsidR="00957988" w:rsidRPr="00315F60" w:rsidRDefault="00957988" w:rsidP="001D33CF">
            <w:pPr>
              <w:rPr>
                <w:szCs w:val="20"/>
              </w:rPr>
            </w:pPr>
            <w:r w:rsidRPr="00315F60">
              <w:sym w:font="Symbol" w:char="F07F"/>
            </w:r>
            <w:r w:rsidR="001952BF" w:rsidRPr="00315F60">
              <w:t xml:space="preserve"> </w:t>
            </w:r>
            <w:r w:rsidRPr="00315F60">
              <w:rPr>
                <w:szCs w:val="20"/>
              </w:rPr>
              <w:t xml:space="preserve">Report made to police </w:t>
            </w:r>
          </w:p>
          <w:p w:rsidR="00957988" w:rsidRPr="00315F60" w:rsidRDefault="00957988" w:rsidP="001D33CF">
            <w:pPr>
              <w:rPr>
                <w:szCs w:val="20"/>
              </w:rPr>
            </w:pPr>
            <w:r w:rsidRPr="00315F60">
              <w:sym w:font="Symbol" w:char="F07F"/>
            </w:r>
            <w:r w:rsidR="001952BF" w:rsidRPr="00315F60">
              <w:t xml:space="preserve"> </w:t>
            </w:r>
            <w:r w:rsidRPr="00315F60">
              <w:rPr>
                <w:szCs w:val="20"/>
              </w:rPr>
              <w:t>Referral made to GP</w:t>
            </w:r>
          </w:p>
          <w:p w:rsidR="00957988" w:rsidRPr="00315F60" w:rsidRDefault="00957988" w:rsidP="001D33CF">
            <w:pPr>
              <w:rPr>
                <w:szCs w:val="20"/>
              </w:rPr>
            </w:pPr>
            <w:r w:rsidRPr="00315F60">
              <w:sym w:font="Symbol" w:char="F07F"/>
            </w:r>
            <w:r w:rsidR="001952BF" w:rsidRPr="00315F60">
              <w:t xml:space="preserve"> </w:t>
            </w:r>
            <w:r w:rsidRPr="00315F60">
              <w:rPr>
                <w:szCs w:val="20"/>
              </w:rPr>
              <w:t>None and / or none recorded</w:t>
            </w:r>
          </w:p>
          <w:p w:rsidR="00957988" w:rsidRPr="00315F60" w:rsidRDefault="00957988" w:rsidP="001D33CF">
            <w:pPr>
              <w:rPr>
                <w:szCs w:val="20"/>
              </w:rPr>
            </w:pPr>
            <w:r w:rsidRPr="00315F60">
              <w:sym w:font="Symbol" w:char="F07F"/>
            </w:r>
            <w:r w:rsidR="001952BF" w:rsidRPr="00315F60">
              <w:t xml:space="preserve"> </w:t>
            </w:r>
            <w:r w:rsidRPr="00315F60">
              <w:rPr>
                <w:szCs w:val="20"/>
              </w:rPr>
              <w:t>Other, please specify _____________</w:t>
            </w:r>
          </w:p>
        </w:tc>
      </w:tr>
    </w:tbl>
    <w:p w:rsidR="00957988" w:rsidRPr="00315F60" w:rsidRDefault="00957988" w:rsidP="009E1E3F">
      <w:pPr>
        <w:pStyle w:val="BodyText1"/>
      </w:pPr>
      <w:r w:rsidRPr="00315F60">
        <w:rPr>
          <w:b/>
        </w:rPr>
        <w:t xml:space="preserve">Type 2 Incidents – Other </w:t>
      </w:r>
      <w:r w:rsidR="004C4435" w:rsidRPr="00315F60">
        <w:rPr>
          <w:b/>
        </w:rPr>
        <w:t>resident on resident</w:t>
      </w:r>
      <w:r w:rsidRPr="00315F60">
        <w:rPr>
          <w:b/>
        </w:rPr>
        <w:t xml:space="preserve"> incidents that have occurred and have been documented</w:t>
      </w:r>
    </w:p>
    <w:tbl>
      <w:tblPr>
        <w:tblStyle w:val="TableGrid"/>
        <w:tblW w:w="140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showing the question and data fields to be completed for each Type 2 resident on resident incidents that have occurred and have been documented, in addition to those reported to the Department , and those covered in Type 1. "/>
      </w:tblPr>
      <w:tblGrid>
        <w:gridCol w:w="6091"/>
        <w:gridCol w:w="7938"/>
      </w:tblGrid>
      <w:tr w:rsidR="00315F60" w:rsidRPr="00315F60" w:rsidTr="00506A16">
        <w:trPr>
          <w:trHeight w:val="410"/>
          <w:tblHeader/>
        </w:trPr>
        <w:tc>
          <w:tcPr>
            <w:tcW w:w="6091" w:type="dxa"/>
            <w:shd w:val="clear" w:color="auto" w:fill="000000" w:themeFill="text1"/>
          </w:tcPr>
          <w:p w:rsidR="00957988" w:rsidRPr="00315F60" w:rsidRDefault="00957988" w:rsidP="001D33CF">
            <w:pPr>
              <w:rPr>
                <w:b/>
                <w:szCs w:val="20"/>
              </w:rPr>
            </w:pPr>
            <w:r w:rsidRPr="00315F60">
              <w:rPr>
                <w:b/>
                <w:szCs w:val="20"/>
              </w:rPr>
              <w:t>Question</w:t>
            </w:r>
          </w:p>
        </w:tc>
        <w:tc>
          <w:tcPr>
            <w:tcW w:w="7938" w:type="dxa"/>
            <w:shd w:val="clear" w:color="auto" w:fill="000000" w:themeFill="text1"/>
          </w:tcPr>
          <w:p w:rsidR="00957988" w:rsidRPr="00315F60" w:rsidRDefault="00957988" w:rsidP="001D33CF">
            <w:pPr>
              <w:rPr>
                <w:b/>
                <w:szCs w:val="20"/>
              </w:rPr>
            </w:pPr>
            <w:r w:rsidRPr="00315F60">
              <w:rPr>
                <w:b/>
                <w:szCs w:val="20"/>
              </w:rPr>
              <w:t>Answer</w:t>
            </w:r>
          </w:p>
        </w:tc>
      </w:tr>
      <w:tr w:rsidR="00315F60" w:rsidRPr="00315F60" w:rsidTr="001D33CF">
        <w:tc>
          <w:tcPr>
            <w:tcW w:w="6091" w:type="dxa"/>
          </w:tcPr>
          <w:p w:rsidR="00957988" w:rsidRPr="00315F60" w:rsidRDefault="00957988" w:rsidP="001D33CF">
            <w:pPr>
              <w:rPr>
                <w:b/>
                <w:szCs w:val="20"/>
              </w:rPr>
            </w:pPr>
            <w:r w:rsidRPr="00315F60">
              <w:rPr>
                <w:szCs w:val="20"/>
              </w:rPr>
              <w:t xml:space="preserve">Approved providers may record information about </w:t>
            </w:r>
            <w:r w:rsidR="004C4435" w:rsidRPr="00315F60">
              <w:rPr>
                <w:szCs w:val="20"/>
              </w:rPr>
              <w:t>resident on resident</w:t>
            </w:r>
            <w:r w:rsidRPr="00315F60">
              <w:rPr>
                <w:szCs w:val="20"/>
              </w:rPr>
              <w:t xml:space="preserve"> incidents in addition to those reported to the Department, and those covered in Type 1. How many of these other </w:t>
            </w:r>
            <w:r w:rsidR="004C4435" w:rsidRPr="00315F60">
              <w:rPr>
                <w:szCs w:val="20"/>
              </w:rPr>
              <w:t>resident on resident</w:t>
            </w:r>
            <w:r w:rsidRPr="00315F60">
              <w:rPr>
                <w:szCs w:val="20"/>
              </w:rPr>
              <w:t xml:space="preserve"> incidents has your service documented within the in scope time period (e.g. in your incident log or risk management system)</w:t>
            </w:r>
            <w:r w:rsidR="00C02FFC" w:rsidRPr="00315F60">
              <w:rPr>
                <w:szCs w:val="20"/>
              </w:rPr>
              <w:t>?</w:t>
            </w:r>
          </w:p>
        </w:tc>
        <w:tc>
          <w:tcPr>
            <w:tcW w:w="7938" w:type="dxa"/>
          </w:tcPr>
          <w:p w:rsidR="00957988" w:rsidRPr="00315F60" w:rsidRDefault="00957988" w:rsidP="001D33CF">
            <w:pPr>
              <w:rPr>
                <w:szCs w:val="20"/>
              </w:rPr>
            </w:pPr>
          </w:p>
          <w:p w:rsidR="00957988" w:rsidRPr="00315F60" w:rsidRDefault="00957988" w:rsidP="001D33CF">
            <w:pPr>
              <w:rPr>
                <w:szCs w:val="20"/>
              </w:rPr>
            </w:pPr>
            <w:r w:rsidRPr="00315F60">
              <w:rPr>
                <w:szCs w:val="20"/>
              </w:rPr>
              <w:t>_________ (Insert number, number could be 0)</w:t>
            </w:r>
          </w:p>
        </w:tc>
      </w:tr>
    </w:tbl>
    <w:p w:rsidR="00957988" w:rsidRPr="00315F60" w:rsidRDefault="00957988" w:rsidP="00FA0BA9">
      <w:pPr>
        <w:pStyle w:val="BodyText2"/>
        <w:sectPr w:rsidR="00957988" w:rsidRPr="00315F60" w:rsidSect="001D33CF">
          <w:pgSz w:w="16838" w:h="11906" w:orient="landscape"/>
          <w:pgMar w:top="1418" w:right="1702" w:bottom="1418" w:left="1418" w:header="709" w:footer="709" w:gutter="0"/>
          <w:cols w:space="708"/>
          <w:docGrid w:linePitch="360"/>
        </w:sectPr>
      </w:pPr>
    </w:p>
    <w:p w:rsidR="00957988" w:rsidRPr="00315F60" w:rsidRDefault="00957988" w:rsidP="00433FBB">
      <w:pPr>
        <w:pStyle w:val="Appendixheading"/>
        <w:rPr>
          <w:color w:val="auto"/>
        </w:rPr>
      </w:pPr>
      <w:bookmarkStart w:id="462" w:name="_Ref25417775"/>
      <w:bookmarkStart w:id="463" w:name="_Ref25417807"/>
      <w:bookmarkStart w:id="464" w:name="_Ref25417837"/>
      <w:bookmarkStart w:id="465" w:name="_Toc26979143"/>
      <w:r w:rsidRPr="00315F60">
        <w:rPr>
          <w:color w:val="auto"/>
        </w:rPr>
        <w:lastRenderedPageBreak/>
        <w:t xml:space="preserve">: </w:t>
      </w:r>
      <w:r w:rsidR="007E50B3" w:rsidRPr="00315F60">
        <w:rPr>
          <w:color w:val="auto"/>
        </w:rPr>
        <w:t>Prevalence study resource manual</w:t>
      </w:r>
      <w:bookmarkEnd w:id="462"/>
      <w:bookmarkEnd w:id="463"/>
      <w:bookmarkEnd w:id="464"/>
      <w:bookmarkEnd w:id="465"/>
      <w:r w:rsidRPr="00315F60">
        <w:rPr>
          <w:color w:val="auto"/>
        </w:rPr>
        <w:t xml:space="preserve"> </w:t>
      </w:r>
    </w:p>
    <w:p w:rsidR="00957988" w:rsidRPr="00315F60" w:rsidRDefault="00957988" w:rsidP="00433FBB">
      <w:pPr>
        <w:pStyle w:val="Appendixheading"/>
        <w:rPr>
          <w:color w:val="auto"/>
        </w:rPr>
      </w:pPr>
      <w:bookmarkStart w:id="466" w:name="_Ref25417779"/>
      <w:bookmarkStart w:id="467" w:name="_Ref25417817"/>
      <w:bookmarkStart w:id="468" w:name="_Toc26979144"/>
      <w:r w:rsidRPr="00315F60">
        <w:rPr>
          <w:color w:val="auto"/>
        </w:rPr>
        <w:lastRenderedPageBreak/>
        <w:t xml:space="preserve">: </w:t>
      </w:r>
      <w:r w:rsidR="007E50B3" w:rsidRPr="00315F60">
        <w:rPr>
          <w:color w:val="auto"/>
        </w:rPr>
        <w:t>F</w:t>
      </w:r>
      <w:r w:rsidRPr="00315F60">
        <w:rPr>
          <w:color w:val="auto"/>
        </w:rPr>
        <w:t>ield validation in the data submission tool</w:t>
      </w:r>
      <w:bookmarkEnd w:id="466"/>
      <w:bookmarkEnd w:id="467"/>
      <w:bookmarkEnd w:id="468"/>
      <w:r w:rsidRPr="00315F60">
        <w:rPr>
          <w:color w:val="auto"/>
        </w:rPr>
        <w:t xml:space="preserve"> </w:t>
      </w:r>
    </w:p>
    <w:p w:rsidR="007E50B3" w:rsidRPr="00315F60" w:rsidRDefault="007E50B3" w:rsidP="00FA0BA9">
      <w:pPr>
        <w:pStyle w:val="BodyText"/>
      </w:pPr>
      <w:r w:rsidRPr="00315F60">
        <w:t xml:space="preserve">This </w:t>
      </w:r>
      <w:r w:rsidR="00C02FFC" w:rsidRPr="00315F60">
        <w:t>a</w:t>
      </w:r>
      <w:r w:rsidRPr="00315F60">
        <w:t>ppendix provides an overview of the field validations used in the data submission tool (in</w:t>
      </w:r>
      <w:r w:rsidR="00B078F7" w:rsidRPr="00315F60">
        <w:t xml:space="preserve"> </w:t>
      </w:r>
      <w:r w:rsidRPr="00315F60">
        <w:fldChar w:fldCharType="begin"/>
      </w:r>
      <w:r w:rsidRPr="00315F60">
        <w:instrText xml:space="preserve"> REF _Ref23365935 \h </w:instrText>
      </w:r>
      <w:r w:rsidRPr="00315F60">
        <w:fldChar w:fldCharType="separate"/>
      </w:r>
      <w:r w:rsidR="001F0CB3" w:rsidRPr="00315F60">
        <w:t xml:space="preserve">Table </w:t>
      </w:r>
      <w:r w:rsidR="001F0CB3" w:rsidRPr="00315F60">
        <w:rPr>
          <w:noProof/>
        </w:rPr>
        <w:t>10</w:t>
      </w:r>
      <w:r w:rsidRPr="00315F60">
        <w:fldChar w:fldCharType="end"/>
      </w:r>
      <w:r w:rsidRPr="00315F60">
        <w:t>).</w:t>
      </w:r>
    </w:p>
    <w:p w:rsidR="007E50B3" w:rsidRPr="00315F60" w:rsidRDefault="007E50B3" w:rsidP="009E1E3F">
      <w:pPr>
        <w:pStyle w:val="Caption"/>
        <w:rPr>
          <w:color w:val="auto"/>
          <w:sz w:val="20"/>
          <w:szCs w:val="20"/>
        </w:rPr>
      </w:pPr>
      <w:bookmarkStart w:id="469" w:name="_Ref23365935"/>
      <w:bookmarkStart w:id="470" w:name="_Ref23365930"/>
      <w:r w:rsidRPr="00315F60">
        <w:rPr>
          <w:color w:val="auto"/>
        </w:rPr>
        <w:t xml:space="preserve">Table </w:t>
      </w:r>
      <w:r w:rsidR="007C5699" w:rsidRPr="00315F60">
        <w:rPr>
          <w:noProof/>
          <w:color w:val="auto"/>
        </w:rPr>
        <w:fldChar w:fldCharType="begin"/>
      </w:r>
      <w:r w:rsidR="007C5699" w:rsidRPr="00315F60">
        <w:rPr>
          <w:noProof/>
          <w:color w:val="auto"/>
        </w:rPr>
        <w:instrText xml:space="preserve"> SEQ Table \* ARABIC </w:instrText>
      </w:r>
      <w:r w:rsidR="007C5699" w:rsidRPr="00315F60">
        <w:rPr>
          <w:noProof/>
          <w:color w:val="auto"/>
        </w:rPr>
        <w:fldChar w:fldCharType="separate"/>
      </w:r>
      <w:r w:rsidR="001F0CB3" w:rsidRPr="00315F60">
        <w:rPr>
          <w:noProof/>
          <w:color w:val="auto"/>
        </w:rPr>
        <w:t>10</w:t>
      </w:r>
      <w:r w:rsidR="007C5699" w:rsidRPr="00315F60">
        <w:rPr>
          <w:noProof/>
          <w:color w:val="auto"/>
        </w:rPr>
        <w:fldChar w:fldCharType="end"/>
      </w:r>
      <w:bookmarkEnd w:id="469"/>
      <w:r w:rsidRPr="00315F60">
        <w:rPr>
          <w:color w:val="auto"/>
        </w:rPr>
        <w:t>: Field validations in the data submission tool</w:t>
      </w:r>
      <w:bookmarkEnd w:id="470"/>
    </w:p>
    <w:tbl>
      <w:tblPr>
        <w:tblStyle w:val="TableGridKPMGBlue"/>
        <w:tblW w:w="5000" w:type="pct"/>
        <w:tblLook w:val="04A0" w:firstRow="1" w:lastRow="0" w:firstColumn="1" w:lastColumn="0" w:noHBand="0" w:noVBand="1"/>
        <w:tblDescription w:val="Table detailing the field variations for a number of questions in the data submission tool."/>
      </w:tblPr>
      <w:tblGrid>
        <w:gridCol w:w="4530"/>
        <w:gridCol w:w="4530"/>
      </w:tblGrid>
      <w:tr w:rsidR="00315F60" w:rsidRPr="00315F60" w:rsidTr="00506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000000" w:themeFill="text1"/>
          </w:tcPr>
          <w:p w:rsidR="00957988" w:rsidRPr="00315F60" w:rsidRDefault="00957988" w:rsidP="001D33CF">
            <w:pPr>
              <w:rPr>
                <w:b/>
                <w:color w:val="auto"/>
                <w:sz w:val="18"/>
              </w:rPr>
            </w:pPr>
            <w:r w:rsidRPr="00315F60">
              <w:rPr>
                <w:b/>
                <w:color w:val="auto"/>
                <w:sz w:val="18"/>
              </w:rPr>
              <w:t xml:space="preserve">Question </w:t>
            </w:r>
          </w:p>
        </w:tc>
        <w:tc>
          <w:tcPr>
            <w:tcW w:w="2500" w:type="pct"/>
            <w:shd w:val="clear" w:color="auto" w:fill="000000" w:themeFill="text1"/>
          </w:tcPr>
          <w:p w:rsidR="00957988" w:rsidRPr="00315F60" w:rsidRDefault="00957988" w:rsidP="001D33CF">
            <w:pPr>
              <w:cnfStyle w:val="100000000000" w:firstRow="1" w:lastRow="0" w:firstColumn="0" w:lastColumn="0" w:oddVBand="0" w:evenVBand="0" w:oddHBand="0" w:evenHBand="0" w:firstRowFirstColumn="0" w:firstRowLastColumn="0" w:lastRowFirstColumn="0" w:lastRowLastColumn="0"/>
              <w:rPr>
                <w:b/>
                <w:color w:val="auto"/>
                <w:sz w:val="18"/>
              </w:rPr>
            </w:pPr>
            <w:r w:rsidRPr="00315F60">
              <w:rPr>
                <w:b/>
                <w:color w:val="auto"/>
                <w:sz w:val="18"/>
              </w:rPr>
              <w:t>Validation</w:t>
            </w:r>
          </w:p>
        </w:tc>
      </w:tr>
      <w:tr w:rsidR="00315F60" w:rsidRPr="00315F60" w:rsidTr="001D33CF">
        <w:tc>
          <w:tcPr>
            <w:cnfStyle w:val="001000000000" w:firstRow="0" w:lastRow="0" w:firstColumn="1" w:lastColumn="0" w:oddVBand="0" w:evenVBand="0" w:oddHBand="0" w:evenHBand="0" w:firstRowFirstColumn="0" w:firstRowLastColumn="0" w:lastRowFirstColumn="0" w:lastRowLastColumn="0"/>
            <w:tcW w:w="2500" w:type="pct"/>
          </w:tcPr>
          <w:p w:rsidR="00957988" w:rsidRPr="00315F60" w:rsidRDefault="00957988" w:rsidP="001D33CF">
            <w:pPr>
              <w:pStyle w:val="ListParagraph"/>
              <w:numPr>
                <w:ilvl w:val="0"/>
                <w:numId w:val="19"/>
              </w:numPr>
              <w:rPr>
                <w:sz w:val="18"/>
              </w:rPr>
            </w:pPr>
            <w:r w:rsidRPr="00315F60">
              <w:rPr>
                <w:sz w:val="18"/>
              </w:rPr>
              <w:t>“This section refers to reportable assaults between residents that have not been reported to the Department because they are exempt from being reported. How many incidents of this nature occurred during the six month period 1 February 2019 to 31 July 2019? Please enter a number (e.g. 0, 1, 2, 3). If no incidents of this nature occurred, please type "0".”</w:t>
            </w:r>
          </w:p>
          <w:p w:rsidR="00957988" w:rsidRPr="00315F60" w:rsidRDefault="00957988" w:rsidP="001D33CF">
            <w:pPr>
              <w:pStyle w:val="ListParagraph"/>
              <w:numPr>
                <w:ilvl w:val="0"/>
                <w:numId w:val="19"/>
              </w:numPr>
              <w:rPr>
                <w:sz w:val="18"/>
              </w:rPr>
            </w:pPr>
            <w:r w:rsidRPr="00315F60">
              <w:rPr>
                <w:sz w:val="18"/>
              </w:rPr>
              <w:t xml:space="preserve">“This section refers to other </w:t>
            </w:r>
            <w:r w:rsidR="004C4435" w:rsidRPr="00315F60">
              <w:rPr>
                <w:sz w:val="18"/>
              </w:rPr>
              <w:t>resident on resident</w:t>
            </w:r>
            <w:r w:rsidRPr="00315F60">
              <w:rPr>
                <w:sz w:val="18"/>
              </w:rPr>
              <w:t xml:space="preserve"> incidents that have occurred and have been documented. Approved providers may record information about </w:t>
            </w:r>
            <w:r w:rsidR="004C4435" w:rsidRPr="00315F60">
              <w:rPr>
                <w:sz w:val="18"/>
              </w:rPr>
              <w:t>resident on resident</w:t>
            </w:r>
            <w:r w:rsidRPr="00315F60">
              <w:rPr>
                <w:sz w:val="18"/>
              </w:rPr>
              <w:t xml:space="preserve"> incidents in addition to those reported to the Department, and those covered in the previous section. How many of these other </w:t>
            </w:r>
            <w:r w:rsidR="004C4435" w:rsidRPr="00315F60">
              <w:rPr>
                <w:sz w:val="18"/>
              </w:rPr>
              <w:t>resident on resident</w:t>
            </w:r>
            <w:r w:rsidRPr="00315F60">
              <w:rPr>
                <w:sz w:val="18"/>
              </w:rPr>
              <w:t xml:space="preserve"> incidents has your service documented within the in-scope time period (e.g. in your incident log or risk management system)? Please enter a number (e.g. 0, 1, 2, 3). If no incidents of this nature occurred, please type "0".”</w:t>
            </w:r>
          </w:p>
        </w:tc>
        <w:tc>
          <w:tcPr>
            <w:tcW w:w="2500" w:type="pct"/>
          </w:tcPr>
          <w:p w:rsidR="00957988" w:rsidRPr="00315F60" w:rsidRDefault="00957988" w:rsidP="001D33CF">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Response must be a whole number (e.g. 0, 1, 2, 3).</w:t>
            </w:r>
          </w:p>
        </w:tc>
      </w:tr>
      <w:tr w:rsidR="00315F60" w:rsidRPr="00315F60" w:rsidTr="001D33CF">
        <w:tc>
          <w:tcPr>
            <w:cnfStyle w:val="001000000000" w:firstRow="0" w:lastRow="0" w:firstColumn="1" w:lastColumn="0" w:oddVBand="0" w:evenVBand="0" w:oddHBand="0" w:evenHBand="0" w:firstRowFirstColumn="0" w:firstRowLastColumn="0" w:lastRowFirstColumn="0" w:lastRowLastColumn="0"/>
            <w:tcW w:w="2500" w:type="pct"/>
          </w:tcPr>
          <w:p w:rsidR="00957988" w:rsidRPr="00315F60" w:rsidRDefault="00957988" w:rsidP="001D33CF">
            <w:pPr>
              <w:pStyle w:val="ListParagraph"/>
              <w:numPr>
                <w:ilvl w:val="0"/>
                <w:numId w:val="20"/>
              </w:numPr>
              <w:rPr>
                <w:sz w:val="18"/>
              </w:rPr>
            </w:pPr>
            <w:r w:rsidRPr="00315F60">
              <w:rPr>
                <w:sz w:val="18"/>
              </w:rPr>
              <w:t>“When did the service first become aware or start to suspect that the reportable assault had occurred? Please enter your response in the format DD/MM/YYYY.”</w:t>
            </w:r>
          </w:p>
        </w:tc>
        <w:tc>
          <w:tcPr>
            <w:tcW w:w="2500" w:type="pct"/>
          </w:tcPr>
          <w:p w:rsidR="00957988" w:rsidRPr="00315F60" w:rsidRDefault="00957988" w:rsidP="001D33CF">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Response must be a date in the format DD/MM/YYYY.</w:t>
            </w:r>
          </w:p>
        </w:tc>
      </w:tr>
      <w:tr w:rsidR="00315F60" w:rsidRPr="00315F60" w:rsidTr="001D33CF">
        <w:tc>
          <w:tcPr>
            <w:cnfStyle w:val="001000000000" w:firstRow="0" w:lastRow="0" w:firstColumn="1" w:lastColumn="0" w:oddVBand="0" w:evenVBand="0" w:oddHBand="0" w:evenHBand="0" w:firstRowFirstColumn="0" w:firstRowLastColumn="0" w:lastRowFirstColumn="0" w:lastRowLastColumn="0"/>
            <w:tcW w:w="2500" w:type="pct"/>
          </w:tcPr>
          <w:p w:rsidR="00957988" w:rsidRPr="00315F60" w:rsidRDefault="00957988" w:rsidP="001D33CF">
            <w:pPr>
              <w:pStyle w:val="ListParagraph"/>
              <w:numPr>
                <w:ilvl w:val="0"/>
                <w:numId w:val="21"/>
              </w:numPr>
              <w:rPr>
                <w:sz w:val="18"/>
              </w:rPr>
            </w:pPr>
            <w:r w:rsidRPr="00315F60">
              <w:rPr>
                <w:sz w:val="18"/>
              </w:rPr>
              <w:t>All questions</w:t>
            </w:r>
            <w:r w:rsidR="00310B07" w:rsidRPr="00315F60">
              <w:rPr>
                <w:sz w:val="18"/>
              </w:rPr>
              <w:t>.</w:t>
            </w:r>
            <w:r w:rsidRPr="00315F60">
              <w:rPr>
                <w:rStyle w:val="FootnoteReference"/>
                <w:sz w:val="18"/>
              </w:rPr>
              <w:footnoteReference w:id="37"/>
            </w:r>
          </w:p>
        </w:tc>
        <w:tc>
          <w:tcPr>
            <w:tcW w:w="2500" w:type="pct"/>
          </w:tcPr>
          <w:p w:rsidR="00957988" w:rsidRPr="00315F60" w:rsidRDefault="00957988" w:rsidP="001D33CF">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Forced response, i.e. respondents could not progress through the tool until they had answered each question on the page. Questions that required the respondent to select from a list of options always included an option to select “unable to be determined based on the information available”, “none and/or none recorded” or “other, please specify: ____”.</w:t>
            </w:r>
          </w:p>
        </w:tc>
      </w:tr>
    </w:tbl>
    <w:p w:rsidR="007E50B3" w:rsidRPr="00315F60" w:rsidRDefault="007E50B3" w:rsidP="00FA0BA9">
      <w:pPr>
        <w:pStyle w:val="Source"/>
        <w:rPr>
          <w:rFonts w:eastAsia="Times New Roman" w:cs="Times New Roman"/>
          <w:sz w:val="22"/>
          <w:szCs w:val="20"/>
        </w:rPr>
        <w:sectPr w:rsidR="007E50B3" w:rsidRPr="00315F60" w:rsidSect="003E201D">
          <w:headerReference w:type="even" r:id="rId41"/>
          <w:headerReference w:type="first" r:id="rId42"/>
          <w:pgSz w:w="11906" w:h="16838"/>
          <w:pgMar w:top="1418" w:right="1418" w:bottom="1418" w:left="1418" w:header="709" w:footer="709" w:gutter="0"/>
          <w:cols w:space="708"/>
          <w:docGrid w:linePitch="360"/>
        </w:sectPr>
      </w:pPr>
      <w:r w:rsidRPr="00315F60">
        <w:t>Source: KPMG</w:t>
      </w:r>
    </w:p>
    <w:p w:rsidR="009E1E3F" w:rsidRPr="00315F60" w:rsidRDefault="009E1E3F" w:rsidP="00433FBB">
      <w:pPr>
        <w:pStyle w:val="Appendixheading"/>
        <w:rPr>
          <w:color w:val="auto"/>
        </w:rPr>
      </w:pPr>
      <w:bookmarkStart w:id="471" w:name="_Ref25417783"/>
      <w:bookmarkStart w:id="472" w:name="_Ref25417845"/>
      <w:bookmarkStart w:id="473" w:name="_Toc26979145"/>
      <w:r w:rsidRPr="00315F60">
        <w:rPr>
          <w:color w:val="auto"/>
        </w:rPr>
        <w:lastRenderedPageBreak/>
        <w:t>: Guidance and resources to support aged care services to participate</w:t>
      </w:r>
      <w:bookmarkEnd w:id="471"/>
      <w:bookmarkEnd w:id="472"/>
      <w:bookmarkEnd w:id="473"/>
    </w:p>
    <w:p w:rsidR="009E1E3F" w:rsidRPr="00315F60" w:rsidRDefault="009E1E3F" w:rsidP="00FA0BA9">
      <w:pPr>
        <w:pStyle w:val="BodyText2"/>
      </w:pPr>
      <w:r w:rsidRPr="00315F60">
        <w:t>This Appendix outlines the guidance and resources that were provided to aged care services to support them to participate in the study.</w:t>
      </w:r>
    </w:p>
    <w:p w:rsidR="009E1E3F" w:rsidRPr="00315F60" w:rsidRDefault="009E1E3F" w:rsidP="002F54AD">
      <w:pPr>
        <w:pStyle w:val="Heading4"/>
        <w:rPr>
          <w:color w:val="auto"/>
        </w:rPr>
      </w:pPr>
      <w:r w:rsidRPr="00315F60">
        <w:rPr>
          <w:color w:val="auto"/>
        </w:rPr>
        <w:t>Online training webinar</w:t>
      </w:r>
    </w:p>
    <w:p w:rsidR="009E1E3F" w:rsidRPr="00315F60" w:rsidRDefault="009E1E3F" w:rsidP="009E1E3F">
      <w:pPr>
        <w:pStyle w:val="BodyText"/>
      </w:pPr>
      <w:r w:rsidRPr="00315F60">
        <w:t>KPMG ran an online training webinar (the webinar) to support study participants to prepare for the study. The webinar was held on Monday</w:t>
      </w:r>
      <w:r w:rsidR="000862CF" w:rsidRPr="00315F60">
        <w:t>,</w:t>
      </w:r>
      <w:r w:rsidRPr="00315F60">
        <w:t xml:space="preserve"> 16 September </w:t>
      </w:r>
      <w:r w:rsidR="000862CF" w:rsidRPr="00315F60">
        <w:t xml:space="preserve">2019, </w:t>
      </w:r>
      <w:r w:rsidRPr="00315F60">
        <w:t>via an online platform and was two hours in duration</w:t>
      </w:r>
      <w:r w:rsidR="001952BF" w:rsidRPr="00315F60">
        <w:t xml:space="preserve">. </w:t>
      </w:r>
      <w:r w:rsidRPr="00315F60">
        <w:t>A total of 22 individuals representing 19 services attended the webinar.</w:t>
      </w:r>
    </w:p>
    <w:p w:rsidR="009E1E3F" w:rsidRPr="00315F60" w:rsidRDefault="009E1E3F" w:rsidP="009E1E3F">
      <w:pPr>
        <w:pStyle w:val="BodyText"/>
      </w:pPr>
      <w:r w:rsidRPr="00315F60">
        <w:t>The webinar was facilitated by two senior KPMG project team members. The training webinar provided an overview of the study, including background information on the development of the SIRS and the purpose of the study. The webinar also provided an overview of the data collection process, including how to prepare for the study and how to submit data.</w:t>
      </w:r>
    </w:p>
    <w:p w:rsidR="009E1E3F" w:rsidRPr="00315F60" w:rsidRDefault="009E1E3F" w:rsidP="009E1E3F">
      <w:pPr>
        <w:pStyle w:val="BodyText"/>
      </w:pPr>
      <w:r w:rsidRPr="00315F60">
        <w:t xml:space="preserve">Slides and a recording of the webinar were made available to all study participants following the live session. </w:t>
      </w:r>
    </w:p>
    <w:p w:rsidR="009E1E3F" w:rsidRPr="00315F60" w:rsidRDefault="009E1E3F" w:rsidP="002F54AD">
      <w:pPr>
        <w:pStyle w:val="Heading4"/>
        <w:rPr>
          <w:color w:val="auto"/>
        </w:rPr>
      </w:pPr>
      <w:r w:rsidRPr="00315F60">
        <w:rPr>
          <w:color w:val="auto"/>
        </w:rPr>
        <w:t xml:space="preserve">Guidance material </w:t>
      </w:r>
    </w:p>
    <w:p w:rsidR="009E1E3F" w:rsidRPr="00315F60" w:rsidRDefault="009E1E3F" w:rsidP="009E1E3F">
      <w:pPr>
        <w:jc w:val="both"/>
      </w:pPr>
      <w:r w:rsidRPr="00315F60">
        <w:t xml:space="preserve">Guidance material was developed to support aged care services to prepare for the study. All resources were emailed to aged care services and were approved by the Department prior to distribution. </w:t>
      </w:r>
    </w:p>
    <w:p w:rsidR="009E1E3F" w:rsidRPr="00315F60" w:rsidRDefault="009E1E3F" w:rsidP="009E1E3F">
      <w:pPr>
        <w:jc w:val="both"/>
      </w:pPr>
      <w:r w:rsidRPr="00315F60">
        <w:t>A summary of the materials developed for the study is provided in</w:t>
      </w:r>
      <w:r w:rsidR="00FA0BA9" w:rsidRPr="00315F60">
        <w:t xml:space="preserve"> </w:t>
      </w:r>
      <w:r w:rsidR="00FA0BA9" w:rsidRPr="00315F60">
        <w:fldChar w:fldCharType="begin"/>
      </w:r>
      <w:r w:rsidR="00FA0BA9" w:rsidRPr="00315F60">
        <w:instrText xml:space="preserve"> REF _Ref25408399 \h </w:instrText>
      </w:r>
      <w:r w:rsidR="00FA0BA9" w:rsidRPr="00315F60">
        <w:fldChar w:fldCharType="separate"/>
      </w:r>
      <w:r w:rsidR="001F0CB3" w:rsidRPr="00315F60">
        <w:t xml:space="preserve">Table </w:t>
      </w:r>
      <w:r w:rsidR="001F0CB3" w:rsidRPr="00315F60">
        <w:rPr>
          <w:noProof/>
        </w:rPr>
        <w:t>11</w:t>
      </w:r>
      <w:r w:rsidR="00FA0BA9" w:rsidRPr="00315F60">
        <w:fldChar w:fldCharType="end"/>
      </w:r>
      <w:r w:rsidRPr="00315F60">
        <w:t xml:space="preserve">. </w:t>
      </w:r>
    </w:p>
    <w:p w:rsidR="009E1E3F" w:rsidRPr="00315F60" w:rsidRDefault="009E1E3F" w:rsidP="009E1E3F">
      <w:pPr>
        <w:pStyle w:val="Caption"/>
        <w:rPr>
          <w:i w:val="0"/>
          <w:color w:val="auto"/>
        </w:rPr>
      </w:pPr>
      <w:bookmarkStart w:id="474" w:name="_Ref25408399"/>
      <w:r w:rsidRPr="00315F60">
        <w:rPr>
          <w:color w:val="auto"/>
        </w:rPr>
        <w:t xml:space="preserve">Table </w:t>
      </w:r>
      <w:r w:rsidRPr="00315F60">
        <w:rPr>
          <w:noProof/>
          <w:color w:val="auto"/>
        </w:rPr>
        <w:fldChar w:fldCharType="begin"/>
      </w:r>
      <w:r w:rsidRPr="00315F60">
        <w:rPr>
          <w:noProof/>
          <w:color w:val="auto"/>
        </w:rPr>
        <w:instrText xml:space="preserve"> SEQ Table \* ARABIC </w:instrText>
      </w:r>
      <w:r w:rsidRPr="00315F60">
        <w:rPr>
          <w:noProof/>
          <w:color w:val="auto"/>
        </w:rPr>
        <w:fldChar w:fldCharType="separate"/>
      </w:r>
      <w:r w:rsidR="001F0CB3" w:rsidRPr="00315F60">
        <w:rPr>
          <w:noProof/>
          <w:color w:val="auto"/>
        </w:rPr>
        <w:t>11</w:t>
      </w:r>
      <w:r w:rsidRPr="00315F60">
        <w:rPr>
          <w:noProof/>
          <w:color w:val="auto"/>
        </w:rPr>
        <w:fldChar w:fldCharType="end"/>
      </w:r>
      <w:bookmarkEnd w:id="474"/>
      <w:r w:rsidRPr="00315F60">
        <w:rPr>
          <w:i w:val="0"/>
          <w:color w:val="auto"/>
        </w:rPr>
        <w:t>: Training and resources developed for the study</w:t>
      </w:r>
    </w:p>
    <w:tbl>
      <w:tblPr>
        <w:tblStyle w:val="TableGridKPMGBlue"/>
        <w:tblW w:w="0" w:type="auto"/>
        <w:tblLook w:val="04A0" w:firstRow="1" w:lastRow="0" w:firstColumn="1" w:lastColumn="0" w:noHBand="0" w:noVBand="1"/>
        <w:tblDescription w:val="Table outlining the training and resources developed for this study. "/>
      </w:tblPr>
      <w:tblGrid>
        <w:gridCol w:w="2122"/>
        <w:gridCol w:w="5103"/>
        <w:gridCol w:w="1835"/>
      </w:tblGrid>
      <w:tr w:rsidR="00315F60" w:rsidRPr="00315F60" w:rsidTr="00506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000000" w:themeFill="text1"/>
          </w:tcPr>
          <w:p w:rsidR="009E1E3F" w:rsidRPr="00315F60" w:rsidRDefault="009E1E3F" w:rsidP="000E4DD8">
            <w:pPr>
              <w:rPr>
                <w:b/>
                <w:color w:val="auto"/>
                <w:sz w:val="18"/>
              </w:rPr>
            </w:pPr>
            <w:r w:rsidRPr="00315F60">
              <w:rPr>
                <w:b/>
                <w:color w:val="auto"/>
                <w:sz w:val="18"/>
              </w:rPr>
              <w:t>Resource</w:t>
            </w:r>
          </w:p>
        </w:tc>
        <w:tc>
          <w:tcPr>
            <w:tcW w:w="5103" w:type="dxa"/>
            <w:shd w:val="clear" w:color="auto" w:fill="000000" w:themeFill="text1"/>
          </w:tcPr>
          <w:p w:rsidR="009E1E3F" w:rsidRPr="00315F60" w:rsidRDefault="009E1E3F" w:rsidP="000E4DD8">
            <w:pPr>
              <w:cnfStyle w:val="100000000000" w:firstRow="1" w:lastRow="0" w:firstColumn="0" w:lastColumn="0" w:oddVBand="0" w:evenVBand="0" w:oddHBand="0" w:evenHBand="0" w:firstRowFirstColumn="0" w:firstRowLastColumn="0" w:lastRowFirstColumn="0" w:lastRowLastColumn="0"/>
              <w:rPr>
                <w:b/>
                <w:color w:val="auto"/>
                <w:sz w:val="18"/>
              </w:rPr>
            </w:pPr>
            <w:r w:rsidRPr="00315F60">
              <w:rPr>
                <w:b/>
                <w:color w:val="auto"/>
                <w:sz w:val="18"/>
              </w:rPr>
              <w:t>Overview</w:t>
            </w:r>
          </w:p>
        </w:tc>
        <w:tc>
          <w:tcPr>
            <w:tcW w:w="1835" w:type="dxa"/>
            <w:shd w:val="clear" w:color="auto" w:fill="000000" w:themeFill="text1"/>
          </w:tcPr>
          <w:p w:rsidR="009E1E3F" w:rsidRPr="00315F60" w:rsidRDefault="009E1E3F" w:rsidP="000E4DD8">
            <w:pPr>
              <w:cnfStyle w:val="100000000000" w:firstRow="1" w:lastRow="0" w:firstColumn="0" w:lastColumn="0" w:oddVBand="0" w:evenVBand="0" w:oddHBand="0" w:evenHBand="0" w:firstRowFirstColumn="0" w:firstRowLastColumn="0" w:lastRowFirstColumn="0" w:lastRowLastColumn="0"/>
              <w:rPr>
                <w:b/>
                <w:color w:val="auto"/>
                <w:sz w:val="18"/>
              </w:rPr>
            </w:pPr>
            <w:r w:rsidRPr="00315F60">
              <w:rPr>
                <w:b/>
                <w:color w:val="auto"/>
                <w:sz w:val="18"/>
              </w:rPr>
              <w:t>Format</w:t>
            </w:r>
          </w:p>
        </w:tc>
      </w:tr>
      <w:tr w:rsidR="00315F60" w:rsidRPr="00315F60" w:rsidTr="000E4DD8">
        <w:tc>
          <w:tcPr>
            <w:cnfStyle w:val="001000000000" w:firstRow="0" w:lastRow="0" w:firstColumn="1" w:lastColumn="0" w:oddVBand="0" w:evenVBand="0" w:oddHBand="0" w:evenHBand="0" w:firstRowFirstColumn="0" w:firstRowLastColumn="0" w:lastRowFirstColumn="0" w:lastRowLastColumn="0"/>
            <w:tcW w:w="2122" w:type="dxa"/>
          </w:tcPr>
          <w:p w:rsidR="009E1E3F" w:rsidRPr="00315F60" w:rsidRDefault="009E1E3F" w:rsidP="000E4DD8">
            <w:pPr>
              <w:rPr>
                <w:sz w:val="18"/>
              </w:rPr>
            </w:pPr>
            <w:r w:rsidRPr="00315F60">
              <w:rPr>
                <w:sz w:val="18"/>
              </w:rPr>
              <w:t>Resource manual</w:t>
            </w:r>
          </w:p>
        </w:tc>
        <w:tc>
          <w:tcPr>
            <w:tcW w:w="5103" w:type="dxa"/>
          </w:tcPr>
          <w:p w:rsidR="009E1E3F" w:rsidRPr="00315F60" w:rsidRDefault="009E1E3F" w:rsidP="000E4DD8">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An overview of the study and participation instructions. The manual provided specific data collection and submission instructions</w:t>
            </w:r>
            <w:r w:rsidR="001952BF" w:rsidRPr="00315F60">
              <w:rPr>
                <w:sz w:val="18"/>
              </w:rPr>
              <w:t xml:space="preserve">. </w:t>
            </w:r>
          </w:p>
        </w:tc>
        <w:tc>
          <w:tcPr>
            <w:tcW w:w="1835" w:type="dxa"/>
          </w:tcPr>
          <w:p w:rsidR="009E1E3F" w:rsidRPr="00315F60" w:rsidRDefault="009E1E3F" w:rsidP="000E4DD8">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PDF</w:t>
            </w:r>
          </w:p>
        </w:tc>
      </w:tr>
      <w:tr w:rsidR="00315F60" w:rsidRPr="00315F60" w:rsidTr="000E4DD8">
        <w:tc>
          <w:tcPr>
            <w:cnfStyle w:val="001000000000" w:firstRow="0" w:lastRow="0" w:firstColumn="1" w:lastColumn="0" w:oddVBand="0" w:evenVBand="0" w:oddHBand="0" w:evenHBand="0" w:firstRowFirstColumn="0" w:firstRowLastColumn="0" w:lastRowFirstColumn="0" w:lastRowLastColumn="0"/>
            <w:tcW w:w="2122" w:type="dxa"/>
          </w:tcPr>
          <w:p w:rsidR="009E1E3F" w:rsidRPr="00315F60" w:rsidRDefault="009E1E3F" w:rsidP="000E4DD8">
            <w:pPr>
              <w:rPr>
                <w:sz w:val="18"/>
              </w:rPr>
            </w:pPr>
            <w:r w:rsidRPr="00315F60">
              <w:rPr>
                <w:sz w:val="18"/>
              </w:rPr>
              <w:t>Data collection template</w:t>
            </w:r>
          </w:p>
        </w:tc>
        <w:tc>
          <w:tcPr>
            <w:tcW w:w="5103" w:type="dxa"/>
          </w:tcPr>
          <w:p w:rsidR="009E1E3F" w:rsidRPr="00315F60" w:rsidRDefault="009E1E3F" w:rsidP="000E4DD8">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A template mirroring the online data submission tool for providers to complete prior to submitting data online.</w:t>
            </w:r>
          </w:p>
        </w:tc>
        <w:tc>
          <w:tcPr>
            <w:tcW w:w="1835" w:type="dxa"/>
          </w:tcPr>
          <w:p w:rsidR="009E1E3F" w:rsidRPr="00315F60" w:rsidRDefault="009E1E3F" w:rsidP="000E4DD8">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Editable word document</w:t>
            </w:r>
          </w:p>
        </w:tc>
      </w:tr>
      <w:tr w:rsidR="00315F60" w:rsidRPr="00315F60" w:rsidTr="000E4DD8">
        <w:tc>
          <w:tcPr>
            <w:cnfStyle w:val="001000000000" w:firstRow="0" w:lastRow="0" w:firstColumn="1" w:lastColumn="0" w:oddVBand="0" w:evenVBand="0" w:oddHBand="0" w:evenHBand="0" w:firstRowFirstColumn="0" w:firstRowLastColumn="0" w:lastRowFirstColumn="0" w:lastRowLastColumn="0"/>
            <w:tcW w:w="2122" w:type="dxa"/>
          </w:tcPr>
          <w:p w:rsidR="009E1E3F" w:rsidRPr="00315F60" w:rsidRDefault="009E1E3F" w:rsidP="000E4DD8">
            <w:pPr>
              <w:rPr>
                <w:sz w:val="18"/>
              </w:rPr>
            </w:pPr>
            <w:r w:rsidRPr="00315F60">
              <w:rPr>
                <w:sz w:val="18"/>
              </w:rPr>
              <w:t>Online data submission tool</w:t>
            </w:r>
          </w:p>
        </w:tc>
        <w:tc>
          <w:tcPr>
            <w:tcW w:w="5103" w:type="dxa"/>
          </w:tcPr>
          <w:p w:rsidR="009E1E3F" w:rsidRPr="00315F60" w:rsidRDefault="009E1E3F" w:rsidP="000862CF">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 xml:space="preserve">An online tool for submitting data, which included a login portal. Discussed further in </w:t>
            </w:r>
            <w:r w:rsidR="000862CF" w:rsidRPr="00315F60">
              <w:rPr>
                <w:sz w:val="18"/>
              </w:rPr>
              <w:t xml:space="preserve">sections </w:t>
            </w:r>
            <w:r w:rsidR="000862CF" w:rsidRPr="00315F60">
              <w:rPr>
                <w:sz w:val="18"/>
              </w:rPr>
              <w:fldChar w:fldCharType="begin"/>
            </w:r>
            <w:r w:rsidR="000862CF" w:rsidRPr="00315F60">
              <w:rPr>
                <w:sz w:val="18"/>
              </w:rPr>
              <w:instrText xml:space="preserve"> REF _Ref25426186 \w \h </w:instrText>
            </w:r>
            <w:r w:rsidR="000862CF" w:rsidRPr="00315F60">
              <w:rPr>
                <w:sz w:val="18"/>
              </w:rPr>
            </w:r>
            <w:r w:rsidR="000862CF" w:rsidRPr="00315F60">
              <w:rPr>
                <w:sz w:val="18"/>
              </w:rPr>
              <w:fldChar w:fldCharType="separate"/>
            </w:r>
            <w:r w:rsidR="000862CF" w:rsidRPr="00315F60">
              <w:rPr>
                <w:sz w:val="18"/>
              </w:rPr>
              <w:t>3.1.2</w:t>
            </w:r>
            <w:r w:rsidR="000862CF" w:rsidRPr="00315F60">
              <w:rPr>
                <w:sz w:val="18"/>
              </w:rPr>
              <w:fldChar w:fldCharType="end"/>
            </w:r>
            <w:r w:rsidRPr="00315F60">
              <w:rPr>
                <w:sz w:val="18"/>
              </w:rPr>
              <w:t xml:space="preserve"> and </w:t>
            </w:r>
            <w:r w:rsidR="000862CF" w:rsidRPr="00315F60">
              <w:rPr>
                <w:sz w:val="18"/>
              </w:rPr>
              <w:fldChar w:fldCharType="begin"/>
            </w:r>
            <w:r w:rsidR="000862CF" w:rsidRPr="00315F60">
              <w:rPr>
                <w:sz w:val="18"/>
              </w:rPr>
              <w:instrText xml:space="preserve"> REF _Ref21946240 \w \h </w:instrText>
            </w:r>
            <w:r w:rsidR="000862CF" w:rsidRPr="00315F60">
              <w:rPr>
                <w:sz w:val="18"/>
              </w:rPr>
            </w:r>
            <w:r w:rsidR="000862CF" w:rsidRPr="00315F60">
              <w:rPr>
                <w:sz w:val="18"/>
              </w:rPr>
              <w:fldChar w:fldCharType="separate"/>
            </w:r>
            <w:r w:rsidR="000862CF" w:rsidRPr="00315F60">
              <w:rPr>
                <w:sz w:val="18"/>
              </w:rPr>
              <w:t>3.1.3</w:t>
            </w:r>
            <w:r w:rsidR="000862CF" w:rsidRPr="00315F60">
              <w:rPr>
                <w:sz w:val="18"/>
              </w:rPr>
              <w:fldChar w:fldCharType="end"/>
            </w:r>
            <w:r w:rsidRPr="00315F60">
              <w:rPr>
                <w:sz w:val="18"/>
              </w:rPr>
              <w:t>.</w:t>
            </w:r>
          </w:p>
        </w:tc>
        <w:tc>
          <w:tcPr>
            <w:tcW w:w="1835" w:type="dxa"/>
          </w:tcPr>
          <w:p w:rsidR="009E1E3F" w:rsidRPr="00315F60" w:rsidRDefault="009E1E3F" w:rsidP="000E4DD8">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Online Tool</w:t>
            </w:r>
          </w:p>
        </w:tc>
      </w:tr>
      <w:tr w:rsidR="00315F60" w:rsidRPr="00315F60" w:rsidTr="000E4DD8">
        <w:trPr>
          <w:trHeight w:val="1149"/>
        </w:trPr>
        <w:tc>
          <w:tcPr>
            <w:cnfStyle w:val="001000000000" w:firstRow="0" w:lastRow="0" w:firstColumn="1" w:lastColumn="0" w:oddVBand="0" w:evenVBand="0" w:oddHBand="0" w:evenHBand="0" w:firstRowFirstColumn="0" w:firstRowLastColumn="0" w:lastRowFirstColumn="0" w:lastRowLastColumn="0"/>
            <w:tcW w:w="2122" w:type="dxa"/>
          </w:tcPr>
          <w:p w:rsidR="009E1E3F" w:rsidRPr="00315F60" w:rsidRDefault="009E1E3F" w:rsidP="000E4DD8">
            <w:pPr>
              <w:rPr>
                <w:sz w:val="18"/>
              </w:rPr>
            </w:pPr>
            <w:r w:rsidRPr="00315F60">
              <w:rPr>
                <w:sz w:val="18"/>
              </w:rPr>
              <w:t>Frequently asked questions (FAQs) document</w:t>
            </w:r>
          </w:p>
        </w:tc>
        <w:tc>
          <w:tcPr>
            <w:tcW w:w="5103" w:type="dxa"/>
          </w:tcPr>
          <w:p w:rsidR="009E1E3F" w:rsidRPr="00315F60" w:rsidRDefault="009E1E3F" w:rsidP="000E4DD8">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 xml:space="preserve">A document outlining frequently asked questions from participants at the training webinar session and their answers. This document was made available to all study participants. </w:t>
            </w:r>
          </w:p>
        </w:tc>
        <w:tc>
          <w:tcPr>
            <w:tcW w:w="1835" w:type="dxa"/>
          </w:tcPr>
          <w:p w:rsidR="009E1E3F" w:rsidRPr="00315F60" w:rsidRDefault="009E1E3F" w:rsidP="000E4DD8">
            <w:pPr>
              <w:cnfStyle w:val="000000000000" w:firstRow="0" w:lastRow="0" w:firstColumn="0" w:lastColumn="0" w:oddVBand="0" w:evenVBand="0" w:oddHBand="0" w:evenHBand="0" w:firstRowFirstColumn="0" w:firstRowLastColumn="0" w:lastRowFirstColumn="0" w:lastRowLastColumn="0"/>
              <w:rPr>
                <w:sz w:val="18"/>
              </w:rPr>
            </w:pPr>
            <w:r w:rsidRPr="00315F60">
              <w:rPr>
                <w:sz w:val="18"/>
              </w:rPr>
              <w:t>PDF</w:t>
            </w:r>
          </w:p>
        </w:tc>
      </w:tr>
    </w:tbl>
    <w:p w:rsidR="009E1E3F" w:rsidRPr="00315F60" w:rsidRDefault="009E1E3F" w:rsidP="00FA0BA9">
      <w:pPr>
        <w:pStyle w:val="Source"/>
      </w:pPr>
      <w:r w:rsidRPr="00315F60">
        <w:t>Source: KPMG</w:t>
      </w:r>
    </w:p>
    <w:p w:rsidR="009E1E3F" w:rsidRPr="00315F60" w:rsidRDefault="009E1E3F" w:rsidP="002F54AD">
      <w:pPr>
        <w:pStyle w:val="Heading4"/>
        <w:rPr>
          <w:color w:val="auto"/>
        </w:rPr>
      </w:pPr>
      <w:r w:rsidRPr="00315F60">
        <w:rPr>
          <w:color w:val="auto"/>
        </w:rPr>
        <w:lastRenderedPageBreak/>
        <w:t>Hotline and functional mailbox</w:t>
      </w:r>
    </w:p>
    <w:p w:rsidR="009E1E3F" w:rsidRPr="00315F60" w:rsidRDefault="009E1E3F" w:rsidP="009E1E3F">
      <w:pPr>
        <w:pStyle w:val="BodyText"/>
      </w:pPr>
      <w:r w:rsidRPr="00315F60">
        <w:t xml:space="preserve">A dedicated toll-free hotline and functional mailbox were available for study participants to contact when they had queries. </w:t>
      </w:r>
      <w:r w:rsidR="00FA0BA9" w:rsidRPr="00315F60">
        <w:fldChar w:fldCharType="begin"/>
      </w:r>
      <w:r w:rsidR="00FA0BA9" w:rsidRPr="00315F60">
        <w:instrText xml:space="preserve"> REF _Ref25408416 \h </w:instrText>
      </w:r>
      <w:r w:rsidR="00FA0BA9" w:rsidRPr="00315F60">
        <w:fldChar w:fldCharType="separate"/>
      </w:r>
      <w:r w:rsidR="001F0CB3" w:rsidRPr="00315F60">
        <w:t xml:space="preserve">Table </w:t>
      </w:r>
      <w:r w:rsidR="001F0CB3" w:rsidRPr="00315F60">
        <w:rPr>
          <w:noProof/>
        </w:rPr>
        <w:t>12</w:t>
      </w:r>
      <w:r w:rsidR="00FA0BA9" w:rsidRPr="00315F60">
        <w:fldChar w:fldCharType="end"/>
      </w:r>
      <w:r w:rsidR="00FA0BA9" w:rsidRPr="00315F60">
        <w:t xml:space="preserve"> </w:t>
      </w:r>
      <w:r w:rsidRPr="00315F60">
        <w:t xml:space="preserve">details the hotline and functional mailbox activities, their purpose, the availability of the support, and any other key issues or information. </w:t>
      </w:r>
    </w:p>
    <w:p w:rsidR="00EE6259" w:rsidRPr="00315F60" w:rsidRDefault="00EE6259" w:rsidP="009E1E3F">
      <w:pPr>
        <w:pStyle w:val="BodyText"/>
      </w:pPr>
      <w:r w:rsidRPr="00315F60">
        <w:t xml:space="preserve">Towards the end of the data submission period, </w:t>
      </w:r>
      <w:r w:rsidR="005006BD" w:rsidRPr="00315F60">
        <w:t xml:space="preserve">the KPMG </w:t>
      </w:r>
      <w:r w:rsidRPr="00315F60">
        <w:t xml:space="preserve">project team conducted follow-up calls to registered services that had not yet submitted data. The purpose of these calls was to provide an avenue to answer any queries or address any concerns that the service may have had, and also served as a reminder to submit data prior to the end of the data submission period. </w:t>
      </w:r>
      <w:r w:rsidR="000862CF" w:rsidRPr="00315F60">
        <w:t>B</w:t>
      </w:r>
      <w:r w:rsidRPr="00315F60">
        <w:t>etween 26 September and 4 October 2019</w:t>
      </w:r>
      <w:r w:rsidR="000862CF" w:rsidRPr="00315F60">
        <w:t>, 89 calls were made</w:t>
      </w:r>
      <w:r w:rsidRPr="00315F60">
        <w:t>. Where the team was unable to reach the relevant service contact, a follow</w:t>
      </w:r>
      <w:r w:rsidR="000862CF" w:rsidRPr="00315F60">
        <w:noBreakHyphen/>
      </w:r>
      <w:r w:rsidRPr="00315F60">
        <w:t>up email was sent.</w:t>
      </w:r>
    </w:p>
    <w:p w:rsidR="009E1E3F" w:rsidRPr="00315F60" w:rsidRDefault="009E1E3F" w:rsidP="000862CF">
      <w:pPr>
        <w:pStyle w:val="Caption"/>
        <w:rPr>
          <w:color w:val="auto"/>
        </w:rPr>
      </w:pPr>
      <w:bookmarkStart w:id="475" w:name="_Ref25408416"/>
      <w:r w:rsidRPr="00315F60">
        <w:rPr>
          <w:color w:val="auto"/>
        </w:rPr>
        <w:t xml:space="preserve">Table </w:t>
      </w:r>
      <w:r w:rsidRPr="00315F60">
        <w:rPr>
          <w:color w:val="auto"/>
        </w:rPr>
        <w:fldChar w:fldCharType="begin"/>
      </w:r>
      <w:r w:rsidRPr="00315F60">
        <w:rPr>
          <w:color w:val="auto"/>
        </w:rPr>
        <w:instrText xml:space="preserve"> SEQ Table \* ARABIC </w:instrText>
      </w:r>
      <w:r w:rsidRPr="00315F60">
        <w:rPr>
          <w:color w:val="auto"/>
        </w:rPr>
        <w:fldChar w:fldCharType="separate"/>
      </w:r>
      <w:r w:rsidR="001F0CB3" w:rsidRPr="00315F60">
        <w:rPr>
          <w:color w:val="auto"/>
        </w:rPr>
        <w:t>12</w:t>
      </w:r>
      <w:r w:rsidRPr="00315F60">
        <w:rPr>
          <w:color w:val="auto"/>
        </w:rPr>
        <w:fldChar w:fldCharType="end"/>
      </w:r>
      <w:bookmarkEnd w:id="475"/>
      <w:r w:rsidRPr="00315F60">
        <w:rPr>
          <w:color w:val="auto"/>
        </w:rPr>
        <w:t>:</w:t>
      </w:r>
      <w:r w:rsidR="001952BF" w:rsidRPr="00315F60">
        <w:rPr>
          <w:color w:val="auto"/>
        </w:rPr>
        <w:t xml:space="preserve"> </w:t>
      </w:r>
      <w:r w:rsidRPr="00315F60">
        <w:rPr>
          <w:color w:val="auto"/>
        </w:rPr>
        <w:t>Hotline and functional mailbox supports provided by KPMG</w:t>
      </w:r>
    </w:p>
    <w:tbl>
      <w:tblPr>
        <w:tblStyle w:val="TableGridKPMGBlue"/>
        <w:tblW w:w="5000" w:type="pct"/>
        <w:tblLook w:val="04A0" w:firstRow="1" w:lastRow="0" w:firstColumn="1" w:lastColumn="0" w:noHBand="0" w:noVBand="1"/>
        <w:tblDescription w:val="Table outlining the hotline and functional mailbox supports provided by KPMG."/>
      </w:tblPr>
      <w:tblGrid>
        <w:gridCol w:w="1555"/>
        <w:gridCol w:w="2836"/>
        <w:gridCol w:w="1984"/>
        <w:gridCol w:w="2685"/>
      </w:tblGrid>
      <w:tr w:rsidR="00315F60" w:rsidRPr="00315F60" w:rsidTr="00506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shd w:val="clear" w:color="auto" w:fill="000000" w:themeFill="text1"/>
            <w:vAlign w:val="center"/>
          </w:tcPr>
          <w:p w:rsidR="009E1E3F" w:rsidRPr="00315F60" w:rsidRDefault="009E1E3F" w:rsidP="00FA0BA9">
            <w:pPr>
              <w:pStyle w:val="Tableheading"/>
              <w:rPr>
                <w:color w:val="auto"/>
              </w:rPr>
            </w:pPr>
            <w:r w:rsidRPr="00315F60">
              <w:rPr>
                <w:color w:val="auto"/>
              </w:rPr>
              <w:t>Support activity</w:t>
            </w:r>
          </w:p>
        </w:tc>
        <w:tc>
          <w:tcPr>
            <w:tcW w:w="1565" w:type="pct"/>
            <w:shd w:val="clear" w:color="auto" w:fill="000000" w:themeFill="text1"/>
            <w:vAlign w:val="center"/>
          </w:tcPr>
          <w:p w:rsidR="009E1E3F" w:rsidRPr="00315F60" w:rsidRDefault="009E1E3F" w:rsidP="00FA0BA9">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Function</w:t>
            </w:r>
          </w:p>
        </w:tc>
        <w:tc>
          <w:tcPr>
            <w:tcW w:w="1095" w:type="pct"/>
            <w:shd w:val="clear" w:color="auto" w:fill="000000" w:themeFill="text1"/>
            <w:vAlign w:val="center"/>
          </w:tcPr>
          <w:p w:rsidR="009E1E3F" w:rsidRPr="00315F60" w:rsidRDefault="009E1E3F" w:rsidP="00FA0BA9">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Timing/availability</w:t>
            </w:r>
          </w:p>
        </w:tc>
        <w:tc>
          <w:tcPr>
            <w:tcW w:w="1482" w:type="pct"/>
            <w:shd w:val="clear" w:color="auto" w:fill="000000" w:themeFill="text1"/>
            <w:vAlign w:val="center"/>
          </w:tcPr>
          <w:p w:rsidR="009E1E3F" w:rsidRPr="00315F60" w:rsidRDefault="009E1E3F" w:rsidP="00FA0BA9">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315F60">
              <w:rPr>
                <w:color w:val="auto"/>
              </w:rPr>
              <w:t>Key outcomes</w:t>
            </w:r>
          </w:p>
        </w:tc>
      </w:tr>
      <w:tr w:rsidR="00315F60" w:rsidRPr="00315F60" w:rsidTr="000E4DD8">
        <w:tc>
          <w:tcPr>
            <w:cnfStyle w:val="001000000000" w:firstRow="0" w:lastRow="0" w:firstColumn="1" w:lastColumn="0" w:oddVBand="0" w:evenVBand="0" w:oddHBand="0" w:evenHBand="0" w:firstRowFirstColumn="0" w:firstRowLastColumn="0" w:lastRowFirstColumn="0" w:lastRowLastColumn="0"/>
            <w:tcW w:w="858" w:type="pct"/>
          </w:tcPr>
          <w:p w:rsidR="009E1E3F" w:rsidRPr="00315F60" w:rsidRDefault="009E1E3F" w:rsidP="00FA0BA9">
            <w:pPr>
              <w:pStyle w:val="Tabletext"/>
            </w:pPr>
            <w:r w:rsidRPr="00315F60">
              <w:t xml:space="preserve">Mass outbound emails </w:t>
            </w:r>
          </w:p>
        </w:tc>
        <w:tc>
          <w:tcPr>
            <w:tcW w:w="1565" w:type="pct"/>
          </w:tcPr>
          <w:p w:rsidR="009E1E3F" w:rsidRPr="00315F60" w:rsidRDefault="009E1E3F" w:rsidP="00FA0BA9">
            <w:pPr>
              <w:pStyle w:val="Tabletext"/>
              <w:cnfStyle w:val="000000000000" w:firstRow="0" w:lastRow="0" w:firstColumn="0" w:lastColumn="0" w:oddVBand="0" w:evenVBand="0" w:oddHBand="0" w:evenHBand="0" w:firstRowFirstColumn="0" w:firstRowLastColumn="0" w:lastRowFirstColumn="0" w:lastRowLastColumn="0"/>
            </w:pPr>
            <w:r w:rsidRPr="00315F60">
              <w:t>Emails were sent to contacts as a reminder to collate and submit data, and to provide other study information.</w:t>
            </w:r>
          </w:p>
        </w:tc>
        <w:tc>
          <w:tcPr>
            <w:tcW w:w="1095" w:type="pct"/>
          </w:tcPr>
          <w:p w:rsidR="009E1E3F" w:rsidRPr="00315F60" w:rsidRDefault="009E1E3F" w:rsidP="00310B07">
            <w:pPr>
              <w:pStyle w:val="Bullet1stlevel"/>
              <w:jc w:val="left"/>
              <w:cnfStyle w:val="000000000000" w:firstRow="0" w:lastRow="0" w:firstColumn="0" w:lastColumn="0" w:oddVBand="0" w:evenVBand="0" w:oddHBand="0" w:evenHBand="0" w:firstRowFirstColumn="0" w:firstRowLastColumn="0" w:lastRowFirstColumn="0" w:lastRowLastColumn="0"/>
              <w:rPr>
                <w:sz w:val="18"/>
              </w:rPr>
            </w:pPr>
            <w:r w:rsidRPr="00315F60">
              <w:rPr>
                <w:sz w:val="18"/>
              </w:rPr>
              <w:t>Reminder emails were sent mid-way through the data submission period.</w:t>
            </w:r>
          </w:p>
        </w:tc>
        <w:tc>
          <w:tcPr>
            <w:tcW w:w="1482" w:type="pct"/>
          </w:tcPr>
          <w:p w:rsidR="009E1E3F" w:rsidRPr="00315F60" w:rsidRDefault="009E1E3F" w:rsidP="00310B07">
            <w:pPr>
              <w:pStyle w:val="Bullet1stlevel"/>
              <w:jc w:val="left"/>
              <w:cnfStyle w:val="000000000000" w:firstRow="0" w:lastRow="0" w:firstColumn="0" w:lastColumn="0" w:oddVBand="0" w:evenVBand="0" w:oddHBand="0" w:evenHBand="0" w:firstRowFirstColumn="0" w:firstRowLastColumn="0" w:lastRowFirstColumn="0" w:lastRowLastColumn="0"/>
              <w:rPr>
                <w:sz w:val="18"/>
              </w:rPr>
            </w:pPr>
            <w:r w:rsidRPr="00315F60">
              <w:rPr>
                <w:sz w:val="18"/>
              </w:rPr>
              <w:t>Enabled the mass dissemination of key study information.</w:t>
            </w:r>
          </w:p>
          <w:p w:rsidR="009E1E3F" w:rsidRPr="00315F60" w:rsidRDefault="009E1E3F" w:rsidP="00310B07">
            <w:pPr>
              <w:pStyle w:val="Bullet1stlevel"/>
              <w:jc w:val="left"/>
              <w:cnfStyle w:val="000000000000" w:firstRow="0" w:lastRow="0" w:firstColumn="0" w:lastColumn="0" w:oddVBand="0" w:evenVBand="0" w:oddHBand="0" w:evenHBand="0" w:firstRowFirstColumn="0" w:firstRowLastColumn="0" w:lastRowFirstColumn="0" w:lastRowLastColumn="0"/>
              <w:rPr>
                <w:sz w:val="18"/>
              </w:rPr>
            </w:pPr>
            <w:r w:rsidRPr="00315F60">
              <w:rPr>
                <w:sz w:val="18"/>
              </w:rPr>
              <w:t>Increase in submission rates.</w:t>
            </w:r>
          </w:p>
        </w:tc>
      </w:tr>
      <w:tr w:rsidR="00315F60" w:rsidRPr="00315F60" w:rsidTr="000E4DD8">
        <w:tc>
          <w:tcPr>
            <w:cnfStyle w:val="001000000000" w:firstRow="0" w:lastRow="0" w:firstColumn="1" w:lastColumn="0" w:oddVBand="0" w:evenVBand="0" w:oddHBand="0" w:evenHBand="0" w:firstRowFirstColumn="0" w:firstRowLastColumn="0" w:lastRowFirstColumn="0" w:lastRowLastColumn="0"/>
            <w:tcW w:w="858" w:type="pct"/>
          </w:tcPr>
          <w:p w:rsidR="009E1E3F" w:rsidRPr="00315F60" w:rsidRDefault="009E1E3F" w:rsidP="00FA0BA9">
            <w:pPr>
              <w:pStyle w:val="Tabletext"/>
            </w:pPr>
            <w:r w:rsidRPr="00315F60">
              <w:t>Hotline</w:t>
            </w:r>
          </w:p>
        </w:tc>
        <w:tc>
          <w:tcPr>
            <w:tcW w:w="1565" w:type="pct"/>
          </w:tcPr>
          <w:p w:rsidR="009E1E3F" w:rsidRPr="00315F60" w:rsidRDefault="009E1E3F" w:rsidP="00FA0BA9">
            <w:pPr>
              <w:pStyle w:val="Tabletext"/>
              <w:cnfStyle w:val="000000000000" w:firstRow="0" w:lastRow="0" w:firstColumn="0" w:lastColumn="0" w:oddVBand="0" w:evenVBand="0" w:oddHBand="0" w:evenHBand="0" w:firstRowFirstColumn="0" w:firstRowLastColumn="0" w:lastRowFirstColumn="0" w:lastRowLastColumn="0"/>
            </w:pPr>
            <w:r w:rsidRPr="00315F60">
              <w:t xml:space="preserve">A toll-free telephone number was available for study participants to call and speak to a KPMG project team member. Outside of hours, a voice mail facility was available. </w:t>
            </w:r>
          </w:p>
        </w:tc>
        <w:tc>
          <w:tcPr>
            <w:tcW w:w="1095" w:type="pct"/>
          </w:tcPr>
          <w:p w:rsidR="009E1E3F" w:rsidRPr="00315F60" w:rsidRDefault="009E1E3F" w:rsidP="00310B07">
            <w:pPr>
              <w:pStyle w:val="Bullet1stlevel"/>
              <w:jc w:val="left"/>
              <w:cnfStyle w:val="000000000000" w:firstRow="0" w:lastRow="0" w:firstColumn="0" w:lastColumn="0" w:oddVBand="0" w:evenVBand="0" w:oddHBand="0" w:evenHBand="0" w:firstRowFirstColumn="0" w:firstRowLastColumn="0" w:lastRowFirstColumn="0" w:lastRowLastColumn="0"/>
              <w:rPr>
                <w:sz w:val="18"/>
              </w:rPr>
            </w:pPr>
            <w:r w:rsidRPr="00315F60">
              <w:rPr>
                <w:sz w:val="18"/>
              </w:rPr>
              <w:t>9am to 6pm (AEST), Monday to Friday.</w:t>
            </w:r>
          </w:p>
          <w:p w:rsidR="009E1E3F" w:rsidRPr="00315F60" w:rsidRDefault="009E1E3F" w:rsidP="00310B07">
            <w:pPr>
              <w:pStyle w:val="Bullet1stlevel"/>
              <w:jc w:val="left"/>
              <w:cnfStyle w:val="000000000000" w:firstRow="0" w:lastRow="0" w:firstColumn="0" w:lastColumn="0" w:oddVBand="0" w:evenVBand="0" w:oddHBand="0" w:evenHBand="0" w:firstRowFirstColumn="0" w:firstRowLastColumn="0" w:lastRowFirstColumn="0" w:lastRowLastColumn="0"/>
              <w:rPr>
                <w:sz w:val="18"/>
              </w:rPr>
            </w:pPr>
            <w:r w:rsidRPr="00315F60">
              <w:rPr>
                <w:sz w:val="18"/>
              </w:rPr>
              <w:t>Voice mails were responded to within one working day.</w:t>
            </w:r>
          </w:p>
        </w:tc>
        <w:tc>
          <w:tcPr>
            <w:tcW w:w="1482" w:type="pct"/>
          </w:tcPr>
          <w:p w:rsidR="009E1E3F" w:rsidRPr="00315F60" w:rsidRDefault="009E1E3F" w:rsidP="00310B07">
            <w:pPr>
              <w:pStyle w:val="Bullet1stlevel"/>
              <w:jc w:val="left"/>
              <w:cnfStyle w:val="000000000000" w:firstRow="0" w:lastRow="0" w:firstColumn="0" w:lastColumn="0" w:oddVBand="0" w:evenVBand="0" w:oddHBand="0" w:evenHBand="0" w:firstRowFirstColumn="0" w:firstRowLastColumn="0" w:lastRowFirstColumn="0" w:lastRowLastColumn="0"/>
              <w:rPr>
                <w:sz w:val="18"/>
              </w:rPr>
            </w:pPr>
            <w:r w:rsidRPr="00315F60">
              <w:rPr>
                <w:sz w:val="18"/>
              </w:rPr>
              <w:t>Peak hotlines times were during the online data submission period.</w:t>
            </w:r>
          </w:p>
          <w:p w:rsidR="009E1E3F" w:rsidRPr="00315F60" w:rsidRDefault="009E1E3F" w:rsidP="00310B07">
            <w:pPr>
              <w:pStyle w:val="Bullet1stlevel"/>
              <w:jc w:val="left"/>
              <w:cnfStyle w:val="000000000000" w:firstRow="0" w:lastRow="0" w:firstColumn="0" w:lastColumn="0" w:oddVBand="0" w:evenVBand="0" w:oddHBand="0" w:evenHBand="0" w:firstRowFirstColumn="0" w:firstRowLastColumn="0" w:lastRowFirstColumn="0" w:lastRowLastColumn="0"/>
              <w:rPr>
                <w:sz w:val="18"/>
              </w:rPr>
            </w:pPr>
            <w:r w:rsidRPr="00315F60">
              <w:rPr>
                <w:sz w:val="18"/>
              </w:rPr>
              <w:t>Aged care services were able to rapidly seek assistance with registration and online data submission, and to discuss the purpose of the study.</w:t>
            </w:r>
          </w:p>
        </w:tc>
      </w:tr>
      <w:tr w:rsidR="00315F60" w:rsidRPr="00315F60" w:rsidTr="000E4DD8">
        <w:tc>
          <w:tcPr>
            <w:cnfStyle w:val="001000000000" w:firstRow="0" w:lastRow="0" w:firstColumn="1" w:lastColumn="0" w:oddVBand="0" w:evenVBand="0" w:oddHBand="0" w:evenHBand="0" w:firstRowFirstColumn="0" w:firstRowLastColumn="0" w:lastRowFirstColumn="0" w:lastRowLastColumn="0"/>
            <w:tcW w:w="858" w:type="pct"/>
          </w:tcPr>
          <w:p w:rsidR="009E1E3F" w:rsidRPr="00315F60" w:rsidRDefault="009E1E3F" w:rsidP="00FA0BA9">
            <w:pPr>
              <w:pStyle w:val="Tabletext"/>
            </w:pPr>
            <w:r w:rsidRPr="00315F60">
              <w:t>Mailbox</w:t>
            </w:r>
          </w:p>
        </w:tc>
        <w:tc>
          <w:tcPr>
            <w:tcW w:w="1565" w:type="pct"/>
          </w:tcPr>
          <w:p w:rsidR="009E1E3F" w:rsidRPr="00315F60" w:rsidRDefault="009E1E3F" w:rsidP="00FA0BA9">
            <w:pPr>
              <w:pStyle w:val="Tabletext"/>
              <w:cnfStyle w:val="000000000000" w:firstRow="0" w:lastRow="0" w:firstColumn="0" w:lastColumn="0" w:oddVBand="0" w:evenVBand="0" w:oddHBand="0" w:evenHBand="0" w:firstRowFirstColumn="0" w:firstRowLastColumn="0" w:lastRowFirstColumn="0" w:lastRowLastColumn="0"/>
            </w:pPr>
            <w:r w:rsidRPr="00315F60">
              <w:t xml:space="preserve">An email address was made available to study participants to contact the KPMG project team with any queries or issues. </w:t>
            </w:r>
          </w:p>
        </w:tc>
        <w:tc>
          <w:tcPr>
            <w:tcW w:w="1095" w:type="pct"/>
          </w:tcPr>
          <w:p w:rsidR="009E1E3F" w:rsidRPr="00315F60" w:rsidRDefault="009E1E3F" w:rsidP="00310B07">
            <w:pPr>
              <w:pStyle w:val="Bullet1stlevel"/>
              <w:jc w:val="left"/>
              <w:cnfStyle w:val="000000000000" w:firstRow="0" w:lastRow="0" w:firstColumn="0" w:lastColumn="0" w:oddVBand="0" w:evenVBand="0" w:oddHBand="0" w:evenHBand="0" w:firstRowFirstColumn="0" w:firstRowLastColumn="0" w:lastRowFirstColumn="0" w:lastRowLastColumn="0"/>
              <w:rPr>
                <w:sz w:val="18"/>
              </w:rPr>
            </w:pPr>
            <w:r w:rsidRPr="00315F60">
              <w:rPr>
                <w:sz w:val="18"/>
              </w:rPr>
              <w:t xml:space="preserve">Actioned within one working day. </w:t>
            </w:r>
          </w:p>
        </w:tc>
        <w:tc>
          <w:tcPr>
            <w:tcW w:w="1482" w:type="pct"/>
          </w:tcPr>
          <w:p w:rsidR="009E1E3F" w:rsidRPr="00315F60" w:rsidRDefault="009E1E3F" w:rsidP="00310B07">
            <w:pPr>
              <w:pStyle w:val="Bullet1stlevel"/>
              <w:jc w:val="left"/>
              <w:cnfStyle w:val="000000000000" w:firstRow="0" w:lastRow="0" w:firstColumn="0" w:lastColumn="0" w:oddVBand="0" w:evenVBand="0" w:oddHBand="0" w:evenHBand="0" w:firstRowFirstColumn="0" w:firstRowLastColumn="0" w:lastRowFirstColumn="0" w:lastRowLastColumn="0"/>
              <w:rPr>
                <w:sz w:val="18"/>
              </w:rPr>
            </w:pPr>
            <w:r w:rsidRPr="00315F60">
              <w:rPr>
                <w:sz w:val="18"/>
              </w:rPr>
              <w:t>Respond to requests for registration information, pilot resources and help with data submission.</w:t>
            </w:r>
          </w:p>
        </w:tc>
      </w:tr>
    </w:tbl>
    <w:p w:rsidR="009E1E3F" w:rsidRPr="00315F60" w:rsidRDefault="009E1E3F" w:rsidP="00FA0BA9">
      <w:pPr>
        <w:pStyle w:val="Source"/>
      </w:pPr>
      <w:r w:rsidRPr="00315F60">
        <w:t>Source: KPMG</w:t>
      </w:r>
    </w:p>
    <w:p w:rsidR="009E1E3F" w:rsidRPr="00315F60" w:rsidRDefault="009E1E3F" w:rsidP="00FA0BA9">
      <w:pPr>
        <w:pStyle w:val="BodyText2"/>
        <w:sectPr w:rsidR="009E1E3F" w:rsidRPr="00315F60" w:rsidSect="003E201D">
          <w:pgSz w:w="11906" w:h="16838"/>
          <w:pgMar w:top="1418" w:right="1418" w:bottom="1418" w:left="1418" w:header="709" w:footer="709" w:gutter="0"/>
          <w:cols w:space="708"/>
          <w:docGrid w:linePitch="360"/>
        </w:sectPr>
      </w:pPr>
    </w:p>
    <w:p w:rsidR="008320E0" w:rsidRPr="00315F60" w:rsidRDefault="008320E0" w:rsidP="00433FBB">
      <w:pPr>
        <w:pStyle w:val="Appendixheading"/>
        <w:rPr>
          <w:color w:val="auto"/>
        </w:rPr>
      </w:pPr>
      <w:bookmarkStart w:id="476" w:name="_Ref25417789"/>
      <w:bookmarkStart w:id="477" w:name="_Ref25417853"/>
      <w:bookmarkStart w:id="478" w:name="_Ref25417861"/>
      <w:bookmarkStart w:id="479" w:name="_Toc26979146"/>
      <w:r w:rsidRPr="00315F60">
        <w:rPr>
          <w:color w:val="auto"/>
        </w:rPr>
        <w:lastRenderedPageBreak/>
        <w:t>: Approach to modelling data</w:t>
      </w:r>
      <w:bookmarkEnd w:id="476"/>
      <w:bookmarkEnd w:id="477"/>
      <w:bookmarkEnd w:id="478"/>
      <w:bookmarkEnd w:id="479"/>
    </w:p>
    <w:p w:rsidR="008320E0" w:rsidRPr="00315F60" w:rsidRDefault="008320E0" w:rsidP="008320E0">
      <w:pPr>
        <w:pStyle w:val="BodyText"/>
      </w:pPr>
      <w:r w:rsidRPr="00315F60">
        <w:t>The Horvitz Thompson (or linear unbiased estimator) can be used for any probability sample design.</w:t>
      </w:r>
      <w:r w:rsidRPr="00315F60">
        <w:rPr>
          <w:rStyle w:val="FootnoteReference"/>
        </w:rPr>
        <w:footnoteReference w:id="38"/>
      </w:r>
      <w:r w:rsidRPr="00315F60">
        <w:t xml:space="preserve"> Key statistics, formula and brief descriptions of this approach are outlined in</w:t>
      </w:r>
      <w:r w:rsidR="00FA0BA9" w:rsidRPr="00315F60">
        <w:t xml:space="preserve"> </w:t>
      </w:r>
      <w:r w:rsidR="00FA0BA9" w:rsidRPr="00315F60">
        <w:fldChar w:fldCharType="begin"/>
      </w:r>
      <w:r w:rsidR="00FA0BA9" w:rsidRPr="00315F60">
        <w:instrText xml:space="preserve"> REF _Ref25408526 \h </w:instrText>
      </w:r>
      <w:r w:rsidR="00FA0BA9" w:rsidRPr="00315F60">
        <w:fldChar w:fldCharType="separate"/>
      </w:r>
      <w:r w:rsidR="001F0CB3" w:rsidRPr="00315F60">
        <w:t xml:space="preserve">Table </w:t>
      </w:r>
      <w:r w:rsidR="001F0CB3" w:rsidRPr="00315F60">
        <w:rPr>
          <w:noProof/>
        </w:rPr>
        <w:t>13</w:t>
      </w:r>
      <w:r w:rsidR="00FA0BA9" w:rsidRPr="00315F60">
        <w:fldChar w:fldCharType="end"/>
      </w:r>
      <w:r w:rsidRPr="00315F60">
        <w:t>.</w:t>
      </w:r>
    </w:p>
    <w:p w:rsidR="008320E0" w:rsidRPr="00315F60" w:rsidRDefault="008320E0" w:rsidP="008320E0">
      <w:pPr>
        <w:pStyle w:val="Caption"/>
        <w:rPr>
          <w:color w:val="auto"/>
        </w:rPr>
      </w:pPr>
      <w:bookmarkStart w:id="480" w:name="_Ref25408526"/>
      <w:r w:rsidRPr="00315F60">
        <w:rPr>
          <w:color w:val="auto"/>
        </w:rPr>
        <w:t xml:space="preserve">Table </w:t>
      </w:r>
      <w:r w:rsidRPr="00315F60">
        <w:rPr>
          <w:noProof/>
          <w:color w:val="auto"/>
        </w:rPr>
        <w:fldChar w:fldCharType="begin"/>
      </w:r>
      <w:r w:rsidRPr="00315F60">
        <w:rPr>
          <w:noProof/>
          <w:color w:val="auto"/>
        </w:rPr>
        <w:instrText xml:space="preserve"> SEQ Table \* ARABIC </w:instrText>
      </w:r>
      <w:r w:rsidRPr="00315F60">
        <w:rPr>
          <w:noProof/>
          <w:color w:val="auto"/>
        </w:rPr>
        <w:fldChar w:fldCharType="separate"/>
      </w:r>
      <w:r w:rsidR="001F0CB3" w:rsidRPr="00315F60">
        <w:rPr>
          <w:noProof/>
          <w:color w:val="auto"/>
        </w:rPr>
        <w:t>13</w:t>
      </w:r>
      <w:r w:rsidRPr="00315F60">
        <w:rPr>
          <w:noProof/>
          <w:color w:val="auto"/>
        </w:rPr>
        <w:fldChar w:fldCharType="end"/>
      </w:r>
      <w:bookmarkEnd w:id="480"/>
      <w:r w:rsidRPr="00315F60">
        <w:rPr>
          <w:color w:val="auto"/>
        </w:rPr>
        <w:t>: Statistics to estimate, formulae and descriptions</w:t>
      </w:r>
    </w:p>
    <w:tbl>
      <w:tblPr>
        <w:tblStyle w:val="TableGrid"/>
        <w:tblW w:w="0" w:type="auto"/>
        <w:tblLook w:val="04A0" w:firstRow="1" w:lastRow="0" w:firstColumn="1" w:lastColumn="0" w:noHBand="0" w:noVBand="1"/>
        <w:tblDescription w:val="Table outlining the key statistics, formula and brief descriptions of the Horvitz Thompson, or linear unbiased estimator approach. "/>
      </w:tblPr>
      <w:tblGrid>
        <w:gridCol w:w="3020"/>
        <w:gridCol w:w="2220"/>
        <w:gridCol w:w="3820"/>
      </w:tblGrid>
      <w:tr w:rsidR="00315F60" w:rsidRPr="00315F60" w:rsidTr="00506A16">
        <w:trPr>
          <w:tblHeader/>
        </w:trPr>
        <w:tc>
          <w:tcPr>
            <w:tcW w:w="3020" w:type="dxa"/>
            <w:shd w:val="clear" w:color="auto" w:fill="000000" w:themeFill="text1"/>
          </w:tcPr>
          <w:p w:rsidR="008320E0" w:rsidRPr="00315F60" w:rsidRDefault="008320E0" w:rsidP="00FA0BA9">
            <w:pPr>
              <w:pStyle w:val="Tableheading"/>
              <w:rPr>
                <w:rFonts w:eastAsia="Calibri"/>
                <w:color w:val="auto"/>
              </w:rPr>
            </w:pPr>
            <w:r w:rsidRPr="00315F60">
              <w:rPr>
                <w:rFonts w:eastAsia="Calibri"/>
                <w:color w:val="auto"/>
              </w:rPr>
              <w:t>Statistic to estimate</w:t>
            </w:r>
          </w:p>
        </w:tc>
        <w:tc>
          <w:tcPr>
            <w:tcW w:w="2220" w:type="dxa"/>
            <w:shd w:val="clear" w:color="auto" w:fill="000000" w:themeFill="text1"/>
          </w:tcPr>
          <w:p w:rsidR="008320E0" w:rsidRPr="00315F60" w:rsidRDefault="008320E0" w:rsidP="00FA0BA9">
            <w:pPr>
              <w:pStyle w:val="Tableheading"/>
              <w:rPr>
                <w:rFonts w:eastAsia="Calibri"/>
                <w:color w:val="auto"/>
              </w:rPr>
            </w:pPr>
            <w:r w:rsidRPr="00315F60">
              <w:rPr>
                <w:rFonts w:eastAsia="Calibri"/>
                <w:color w:val="auto"/>
              </w:rPr>
              <w:t>Formula</w:t>
            </w:r>
          </w:p>
        </w:tc>
        <w:tc>
          <w:tcPr>
            <w:tcW w:w="3820" w:type="dxa"/>
            <w:shd w:val="clear" w:color="auto" w:fill="000000" w:themeFill="text1"/>
          </w:tcPr>
          <w:p w:rsidR="008320E0" w:rsidRPr="00315F60" w:rsidRDefault="008320E0" w:rsidP="00FA0BA9">
            <w:pPr>
              <w:pStyle w:val="Tableheading"/>
              <w:rPr>
                <w:rFonts w:eastAsia="Calibri"/>
                <w:color w:val="auto"/>
              </w:rPr>
            </w:pPr>
            <w:r w:rsidRPr="00315F60">
              <w:rPr>
                <w:rFonts w:eastAsia="Calibri"/>
                <w:color w:val="auto"/>
              </w:rPr>
              <w:t>Description</w:t>
            </w:r>
          </w:p>
        </w:tc>
      </w:tr>
      <w:tr w:rsidR="00315F60" w:rsidRPr="00315F60" w:rsidTr="000E4DD8">
        <w:tc>
          <w:tcPr>
            <w:tcW w:w="3020" w:type="dxa"/>
          </w:tcPr>
          <w:p w:rsidR="008320E0" w:rsidRPr="00315F60" w:rsidRDefault="008320E0" w:rsidP="00FA0BA9">
            <w:pPr>
              <w:pStyle w:val="Tabletext"/>
              <w:rPr>
                <w:rFonts w:eastAsia="Calibri"/>
              </w:rPr>
            </w:pPr>
            <w:r w:rsidRPr="00315F60">
              <w:rPr>
                <w:rFonts w:eastAsia="Calibri"/>
              </w:rPr>
              <w:t>Estimate of total incidents</w:t>
            </w:r>
          </w:p>
        </w:tc>
        <w:tc>
          <w:tcPr>
            <w:tcW w:w="2220" w:type="dxa"/>
          </w:tcPr>
          <w:p w:rsidR="008320E0" w:rsidRPr="00315F60" w:rsidRDefault="00913F96" w:rsidP="000E4DD8">
            <m:oMathPara>
              <m:oMath>
                <m:acc>
                  <m:accPr>
                    <m:ctrlPr>
                      <w:rPr>
                        <w:rFonts w:ascii="Cambria Math" w:hAnsi="Cambria Math"/>
                        <w:i/>
                      </w:rPr>
                    </m:ctrlPr>
                  </m:accPr>
                  <m:e>
                    <m:r>
                      <w:rPr>
                        <w:rFonts w:ascii="Cambria Math" w:hAnsi="Cambria Math"/>
                      </w:rPr>
                      <m:t>Y</m:t>
                    </m:r>
                  </m:e>
                </m:acc>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i∈s</m:t>
                    </m:r>
                  </m:sub>
                  <m:sup/>
                  <m:e>
                    <m:f>
                      <m:fPr>
                        <m:ctrlPr>
                          <w:rPr>
                            <w:rFonts w:ascii="Cambria Math" w:hAnsi="Cambria Math"/>
                            <w:i/>
                          </w:rPr>
                        </m:ctrlPr>
                      </m:fPr>
                      <m:num>
                        <m:r>
                          <w:rPr>
                            <w:rFonts w:ascii="Cambria Math" w:hAnsi="Cambria Math"/>
                          </w:rPr>
                          <m:t>N</m:t>
                        </m:r>
                      </m:num>
                      <m:den>
                        <m:r>
                          <w:rPr>
                            <w:rFonts w:ascii="Cambria Math" w:hAnsi="Cambria Math"/>
                          </w:rPr>
                          <m:t>n</m:t>
                        </m:r>
                      </m:den>
                    </m:f>
                    <m:sSub>
                      <m:sSubPr>
                        <m:ctrlPr>
                          <w:rPr>
                            <w:rFonts w:ascii="Cambria Math" w:hAnsi="Cambria Math"/>
                            <w:i/>
                          </w:rPr>
                        </m:ctrlPr>
                      </m:sSubPr>
                      <m:e>
                        <m:r>
                          <w:rPr>
                            <w:rFonts w:ascii="Cambria Math" w:hAnsi="Cambria Math"/>
                          </w:rPr>
                          <m:t>y</m:t>
                        </m:r>
                      </m:e>
                      <m:sub>
                        <m:r>
                          <w:rPr>
                            <w:rFonts w:ascii="Cambria Math" w:hAnsi="Cambria Math"/>
                          </w:rPr>
                          <m:t>i</m:t>
                        </m:r>
                      </m:sub>
                    </m:sSub>
                  </m:e>
                </m:nary>
              </m:oMath>
            </m:oMathPara>
          </w:p>
        </w:tc>
        <w:tc>
          <w:tcPr>
            <w:tcW w:w="3820" w:type="dxa"/>
          </w:tcPr>
          <w:p w:rsidR="008320E0" w:rsidRPr="00315F60" w:rsidRDefault="008320E0" w:rsidP="00FA0BA9">
            <w:pPr>
              <w:pStyle w:val="Tabletext"/>
              <w:rPr>
                <w:rFonts w:eastAsia="Calibri"/>
              </w:rPr>
            </w:pPr>
            <w:r w:rsidRPr="00315F60">
              <w:rPr>
                <w:rFonts w:eastAsia="Calibri"/>
              </w:rPr>
              <w:t>In this situation</w:t>
            </w:r>
            <w:r w:rsidR="000862CF" w:rsidRPr="00315F60">
              <w:rPr>
                <w:rFonts w:eastAsia="Calibri"/>
              </w:rPr>
              <w:t>,</w:t>
            </w:r>
            <w:r w:rsidRPr="00315F60">
              <w:rPr>
                <w:rFonts w:eastAsia="Calibri"/>
              </w:rPr>
              <w:t xml:space="preserve"> we assume that all services have equal weight (N= 2,717 and n=178) and sum the incidents at each service (e.g. 5 </w:t>
            </w:r>
            <w:r w:rsidR="000862CF" w:rsidRPr="00315F60">
              <w:rPr>
                <w:rFonts w:eastAsia="Calibri"/>
              </w:rPr>
              <w:t>T</w:t>
            </w:r>
            <w:r w:rsidRPr="00315F60">
              <w:rPr>
                <w:rFonts w:eastAsia="Calibri"/>
              </w:rPr>
              <w:t>ype 1 incidents) are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p>
        </w:tc>
      </w:tr>
      <w:tr w:rsidR="00315F60" w:rsidRPr="00315F60" w:rsidTr="000E4DD8">
        <w:tc>
          <w:tcPr>
            <w:tcW w:w="3020" w:type="dxa"/>
          </w:tcPr>
          <w:p w:rsidR="008320E0" w:rsidRPr="00315F60" w:rsidRDefault="008320E0" w:rsidP="00FA0BA9">
            <w:pPr>
              <w:pStyle w:val="Tabletext"/>
              <w:rPr>
                <w:rFonts w:eastAsia="Calibri"/>
              </w:rPr>
            </w:pPr>
            <w:r w:rsidRPr="00315F60">
              <w:rPr>
                <w:rFonts w:eastAsia="Calibri"/>
              </w:rPr>
              <w:t>Variance of the total incidents</w:t>
            </w:r>
          </w:p>
        </w:tc>
        <w:tc>
          <w:tcPr>
            <w:tcW w:w="2220" w:type="dxa"/>
          </w:tcPr>
          <w:p w:rsidR="008320E0" w:rsidRPr="00315F60" w:rsidRDefault="008320E0" w:rsidP="000E4DD8">
            <w:pPr>
              <w:rPr>
                <w:rFonts w:eastAsia="Calibri" w:cs="Times New Roman"/>
              </w:rPr>
            </w:pPr>
            <m:oMathPara>
              <m:oMath>
                <m:r>
                  <m:rPr>
                    <m:sty m:val="p"/>
                  </m:rPr>
                  <w:rPr>
                    <w:rFonts w:ascii="Cambria Math" w:hAnsi="Cambria Math"/>
                  </w:rPr>
                  <w:br/>
                </m:r>
                <m:r>
                  <w:rPr>
                    <w:rFonts w:ascii="Cambria Math" w:hAnsi="Cambria Math"/>
                  </w:rPr>
                  <m:t>Var(</m:t>
                </m:r>
                <m:acc>
                  <m:accPr>
                    <m:ctrlPr>
                      <w:rPr>
                        <w:rFonts w:ascii="Cambria Math" w:hAnsi="Cambria Math"/>
                        <w:i/>
                      </w:rPr>
                    </m:ctrlPr>
                  </m:accPr>
                  <m:e>
                    <m:r>
                      <w:rPr>
                        <w:rFonts w:ascii="Cambria Math" w:hAnsi="Cambria Math"/>
                      </w:rPr>
                      <m:t>Y</m:t>
                    </m:r>
                  </m:e>
                </m:acc>
                <m:r>
                  <w:rPr>
                    <w:rFonts w:ascii="Cambria Math" w:hAnsi="Cambria Math"/>
                  </w:rPr>
                  <m:t>)=</m:t>
                </m:r>
              </m:oMath>
            </m:oMathPara>
            <w:r w:rsidRPr="00315F60">
              <w:rPr>
                <w:rFonts w:eastAsia="Calibri" w:cs="Times New Roman"/>
              </w:rPr>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num>
                <m:den>
                  <m:r>
                    <w:rPr>
                      <w:rFonts w:ascii="Cambria Math" w:hAnsi="Cambria Math"/>
                    </w:rPr>
                    <m:t>n</m:t>
                  </m:r>
                </m:den>
              </m:f>
              <m:r>
                <w:rPr>
                  <w:rFonts w:ascii="Cambria Math" w:hAnsi="Cambria Math"/>
                </w:rPr>
                <m:t xml:space="preserve"> </m:t>
              </m:r>
              <m:d>
                <m:dPr>
                  <m:ctrlPr>
                    <w:rPr>
                      <w:rFonts w:ascii="Cambria Math" w:hAnsi="Cambria Math"/>
                      <w:i/>
                    </w:rPr>
                  </m:ctrlPr>
                </m:dPr>
                <m:e>
                  <m:r>
                    <w:rPr>
                      <w:rFonts w:ascii="Cambria Math" w:hAnsi="Cambria Math"/>
                    </w:rPr>
                    <m:t>1-f</m:t>
                  </m:r>
                </m:e>
              </m:d>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oMath>
          </w:p>
        </w:tc>
        <w:tc>
          <w:tcPr>
            <w:tcW w:w="3820" w:type="dxa"/>
          </w:tcPr>
          <w:p w:rsidR="008320E0" w:rsidRPr="00315F60" w:rsidRDefault="008320E0" w:rsidP="00FA0BA9">
            <w:pPr>
              <w:pStyle w:val="Tabletext"/>
              <w:rPr>
                <w:rFonts w:eastAsia="Calibri"/>
              </w:rPr>
            </w:pPr>
            <w:r w:rsidRPr="00315F60">
              <w:rPr>
                <w:rFonts w:eastAsia="Calibri"/>
              </w:rPr>
              <w:t xml:space="preserve">The variance estimate of total incidents has N = 2,717, n = 178. The sampling fraction f = 178/2,717 and the sample variance </w:t>
            </w:r>
            <m:oMath>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oMath>
            <w:r w:rsidRPr="00315F60">
              <w:rPr>
                <w:rFonts w:eastAsia="Calibri"/>
              </w:rPr>
              <w:t xml:space="preserve"> is calculated from the total incident data for each service. </w:t>
            </w:r>
          </w:p>
        </w:tc>
      </w:tr>
      <w:tr w:rsidR="00315F60" w:rsidRPr="00315F60" w:rsidTr="000E4DD8">
        <w:tc>
          <w:tcPr>
            <w:tcW w:w="3020" w:type="dxa"/>
          </w:tcPr>
          <w:p w:rsidR="008320E0" w:rsidRPr="00315F60" w:rsidRDefault="008320E0" w:rsidP="00FA0BA9">
            <w:pPr>
              <w:pStyle w:val="Tabletext"/>
              <w:rPr>
                <w:rFonts w:eastAsia="Calibri"/>
              </w:rPr>
            </w:pPr>
            <w:r w:rsidRPr="00315F60">
              <w:rPr>
                <w:rFonts w:eastAsia="Calibri"/>
              </w:rPr>
              <w:t>Standard error of the total incidents</w:t>
            </w:r>
          </w:p>
        </w:tc>
        <w:tc>
          <w:tcPr>
            <w:tcW w:w="2220" w:type="dxa"/>
          </w:tcPr>
          <w:p w:rsidR="008320E0" w:rsidRPr="00315F60" w:rsidRDefault="00913F96" w:rsidP="000E4DD8">
            <w:pPr>
              <w:rPr>
                <w:rFonts w:eastAsia="Calibri" w:cs="Times New Roman"/>
              </w:rPr>
            </w:pPr>
            <m:oMathPara>
              <m:oMath>
                <m:rad>
                  <m:radPr>
                    <m:degHide m:val="1"/>
                    <m:ctrlPr>
                      <w:rPr>
                        <w:rFonts w:ascii="Cambria Math" w:hAnsi="Cambria Math"/>
                        <w:i/>
                      </w:rPr>
                    </m:ctrlPr>
                  </m:radPr>
                  <m:deg/>
                  <m:e>
                    <m:r>
                      <w:rPr>
                        <w:rFonts w:ascii="Cambria Math" w:hAnsi="Cambria Math"/>
                      </w:rPr>
                      <m:t>Var(</m:t>
                    </m:r>
                    <m:acc>
                      <m:accPr>
                        <m:ctrlPr>
                          <w:rPr>
                            <w:rFonts w:ascii="Cambria Math" w:hAnsi="Cambria Math"/>
                            <w:i/>
                          </w:rPr>
                        </m:ctrlPr>
                      </m:accPr>
                      <m:e>
                        <m:r>
                          <w:rPr>
                            <w:rFonts w:ascii="Cambria Math" w:hAnsi="Cambria Math"/>
                          </w:rPr>
                          <m:t>Y</m:t>
                        </m:r>
                      </m:e>
                    </m:acc>
                    <m:r>
                      <w:rPr>
                        <w:rFonts w:ascii="Cambria Math" w:hAnsi="Cambria Math"/>
                      </w:rPr>
                      <m:t>)</m:t>
                    </m:r>
                  </m:e>
                </m:rad>
              </m:oMath>
            </m:oMathPara>
          </w:p>
        </w:tc>
        <w:tc>
          <w:tcPr>
            <w:tcW w:w="3820" w:type="dxa"/>
          </w:tcPr>
          <w:p w:rsidR="008320E0" w:rsidRPr="00315F60" w:rsidRDefault="008320E0" w:rsidP="00FA0BA9">
            <w:pPr>
              <w:pStyle w:val="Tabletext"/>
              <w:rPr>
                <w:rFonts w:eastAsia="Calibri"/>
              </w:rPr>
            </w:pPr>
            <w:r w:rsidRPr="00315F60">
              <w:rPr>
                <w:rFonts w:eastAsia="Calibri"/>
              </w:rPr>
              <w:t>The standard error is used for calculating confidence intervals and Relative Standard Errors, which provide an indication of the reliability of our estimates.</w:t>
            </w:r>
          </w:p>
        </w:tc>
      </w:tr>
    </w:tbl>
    <w:p w:rsidR="00FA0BA9" w:rsidRPr="00315F60" w:rsidRDefault="008320E0" w:rsidP="008320E0">
      <w:pPr>
        <w:pStyle w:val="BodyText"/>
      </w:pPr>
      <w:r w:rsidRPr="00315F60">
        <w:t xml:space="preserve">Five methods were used to weight the data and calculate national level estimates. All five were based on the linear unbiased estimator. Method </w:t>
      </w:r>
      <w:r w:rsidR="000862CF" w:rsidRPr="00315F60">
        <w:t>O</w:t>
      </w:r>
      <w:r w:rsidRPr="00315F60">
        <w:t xml:space="preserve">ne assumed that all services had equal weight, </w:t>
      </w:r>
      <w:r w:rsidR="000862CF" w:rsidRPr="00315F60">
        <w:t>M</w:t>
      </w:r>
      <w:r w:rsidRPr="00315F60">
        <w:t xml:space="preserve">ethod </w:t>
      </w:r>
      <w:r w:rsidR="000862CF" w:rsidRPr="00315F60">
        <w:t>T</w:t>
      </w:r>
      <w:r w:rsidRPr="00315F60">
        <w:t xml:space="preserve">wo post-stratified services into size strata (e.g. one to twenty places), </w:t>
      </w:r>
      <w:r w:rsidR="000862CF" w:rsidRPr="00315F60">
        <w:t>M</w:t>
      </w:r>
      <w:r w:rsidRPr="00315F60">
        <w:t xml:space="preserve">ethod </w:t>
      </w:r>
      <w:r w:rsidR="000862CF" w:rsidRPr="00315F60">
        <w:t>T</w:t>
      </w:r>
      <w:r w:rsidRPr="00315F60">
        <w:t>hree also post-stratified the services into size strata but excluded the services from an “influential</w:t>
      </w:r>
      <w:r w:rsidRPr="00315F60">
        <w:rPr>
          <w:rStyle w:val="FootnoteReference"/>
        </w:rPr>
        <w:footnoteReference w:id="39"/>
      </w:r>
      <w:r w:rsidRPr="00315F60">
        <w:t xml:space="preserve">” provider, </w:t>
      </w:r>
      <w:r w:rsidR="000862CF" w:rsidRPr="00315F60">
        <w:t>M</w:t>
      </w:r>
      <w:r w:rsidRPr="00315F60">
        <w:t xml:space="preserve">ethod </w:t>
      </w:r>
      <w:r w:rsidR="000862CF" w:rsidRPr="00315F60">
        <w:t>F</w:t>
      </w:r>
      <w:r w:rsidRPr="00315F60">
        <w:t xml:space="preserve">our post-stratified services into occupancy strata and </w:t>
      </w:r>
      <w:r w:rsidR="000862CF" w:rsidRPr="00315F60">
        <w:t>\M</w:t>
      </w:r>
      <w:r w:rsidRPr="00315F60">
        <w:t xml:space="preserve">ethod </w:t>
      </w:r>
      <w:r w:rsidR="000862CF" w:rsidRPr="00315F60">
        <w:t>F</w:t>
      </w:r>
      <w:r w:rsidRPr="00315F60">
        <w:t>ive also post-stratified the services into occupancy data and excluded the same influential provider.</w:t>
      </w:r>
      <w:bookmarkStart w:id="481" w:name="start"/>
      <w:bookmarkEnd w:id="481"/>
    </w:p>
    <w:p w:rsidR="003E201D" w:rsidRPr="00315F60" w:rsidRDefault="00B078F7" w:rsidP="00B078F7">
      <w:pPr>
        <w:pStyle w:val="BodyText"/>
        <w:sectPr w:rsidR="003E201D" w:rsidRPr="00315F60" w:rsidSect="003E201D">
          <w:pgSz w:w="11906" w:h="16838"/>
          <w:pgMar w:top="1418" w:right="1418" w:bottom="1418" w:left="1418" w:header="709" w:footer="709" w:gutter="0"/>
          <w:cols w:space="708"/>
          <w:docGrid w:linePitch="360"/>
        </w:sectPr>
      </w:pPr>
      <w:r w:rsidRPr="00315F60">
        <w:t xml:space="preserve"> </w:t>
      </w:r>
    </w:p>
    <w:p w:rsidR="00A31482" w:rsidRPr="00315F60" w:rsidRDefault="00A31482" w:rsidP="00B078F7">
      <w:pPr>
        <w:pStyle w:val="BodyText2"/>
      </w:pPr>
    </w:p>
    <w:p w:rsidR="003E201D" w:rsidRPr="00315F60" w:rsidRDefault="00653898" w:rsidP="00B078F7">
      <w:pPr>
        <w:pStyle w:val="Contactus"/>
        <w:spacing w:before="10560"/>
        <w:ind w:left="425"/>
        <w:rPr>
          <w:color w:val="auto"/>
        </w:rPr>
      </w:pPr>
      <w:r w:rsidRPr="00315F60">
        <w:rPr>
          <w:color w:val="auto"/>
        </w:rPr>
        <w:t>Contact us</w:t>
      </w:r>
    </w:p>
    <w:p w:rsidR="00963D1E" w:rsidRPr="00315F60" w:rsidRDefault="00F631EF" w:rsidP="00653898">
      <w:pPr>
        <w:pStyle w:val="backcoverdetails"/>
        <w:rPr>
          <w:b/>
          <w:color w:val="auto"/>
        </w:rPr>
      </w:pPr>
      <w:r w:rsidRPr="00315F60">
        <w:rPr>
          <w:b/>
          <w:color w:val="auto"/>
        </w:rPr>
        <w:t>Nicki Doyle</w:t>
      </w:r>
    </w:p>
    <w:p w:rsidR="00963D1E" w:rsidRPr="00315F60" w:rsidRDefault="00963D1E" w:rsidP="00653898">
      <w:pPr>
        <w:pStyle w:val="backcoverdetails"/>
        <w:rPr>
          <w:color w:val="auto"/>
        </w:rPr>
      </w:pPr>
      <w:r w:rsidRPr="00315F60">
        <w:rPr>
          <w:color w:val="auto"/>
        </w:rPr>
        <w:t>Partner,</w:t>
      </w:r>
      <w:r w:rsidR="00776C92" w:rsidRPr="00315F60">
        <w:rPr>
          <w:color w:val="auto"/>
        </w:rPr>
        <w:t xml:space="preserve"> </w:t>
      </w:r>
      <w:r w:rsidR="00331327" w:rsidRPr="00315F60">
        <w:rPr>
          <w:color w:val="auto"/>
        </w:rPr>
        <w:t>Health, Ageing and Human Services</w:t>
      </w:r>
    </w:p>
    <w:p w:rsidR="00F631EF" w:rsidRPr="00315F60" w:rsidRDefault="00F631EF" w:rsidP="00F631EF">
      <w:pPr>
        <w:pStyle w:val="backcoverdetails"/>
        <w:rPr>
          <w:color w:val="auto"/>
        </w:rPr>
      </w:pPr>
      <w:r w:rsidRPr="00315F60">
        <w:rPr>
          <w:color w:val="auto"/>
        </w:rPr>
        <w:t xml:space="preserve">(02) 9335 7794 </w:t>
      </w:r>
    </w:p>
    <w:p w:rsidR="00963D1E" w:rsidRPr="00315F60" w:rsidRDefault="00331327" w:rsidP="00F631EF">
      <w:pPr>
        <w:pStyle w:val="backcoverdetails"/>
        <w:rPr>
          <w:color w:val="auto"/>
        </w:rPr>
      </w:pPr>
      <w:r w:rsidRPr="00315F60">
        <w:rPr>
          <w:color w:val="auto"/>
        </w:rPr>
        <w:t>ndoyle</w:t>
      </w:r>
      <w:r w:rsidR="00963D1E" w:rsidRPr="00315F60">
        <w:rPr>
          <w:color w:val="auto"/>
        </w:rPr>
        <w:t>@kpmg.com</w:t>
      </w:r>
      <w:r w:rsidRPr="00315F60">
        <w:rPr>
          <w:color w:val="auto"/>
        </w:rPr>
        <w:t>.au</w:t>
      </w:r>
    </w:p>
    <w:p w:rsidR="00963D1E" w:rsidRPr="00315F60" w:rsidRDefault="00963D1E" w:rsidP="00653898">
      <w:pPr>
        <w:pStyle w:val="backcoverdetails"/>
        <w:rPr>
          <w:color w:val="auto"/>
        </w:rPr>
      </w:pPr>
    </w:p>
    <w:p w:rsidR="009633A2" w:rsidRPr="00315F60" w:rsidRDefault="00E95DD1" w:rsidP="00E95DD1">
      <w:pPr>
        <w:pStyle w:val="backcoverdetails"/>
        <w:ind w:left="0" w:firstLine="425"/>
        <w:rPr>
          <w:b/>
          <w:color w:val="auto"/>
        </w:rPr>
      </w:pPr>
      <w:r w:rsidRPr="00315F60">
        <w:rPr>
          <w:b/>
          <w:color w:val="auto"/>
        </w:rPr>
        <w:t>kpmg.com.au</w:t>
      </w:r>
    </w:p>
    <w:sectPr w:rsidR="009633A2" w:rsidRPr="00315F60" w:rsidSect="009E1E3F">
      <w:headerReference w:type="default" r:id="rId43"/>
      <w:footerReference w:type="default" r:id="rId4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E20" w:rsidRDefault="00322E20" w:rsidP="004A3F32">
      <w:pPr>
        <w:spacing w:after="0"/>
      </w:pPr>
      <w:r>
        <w:separator/>
      </w:r>
    </w:p>
    <w:p w:rsidR="00322E20" w:rsidRDefault="00322E20"/>
  </w:endnote>
  <w:endnote w:type="continuationSeparator" w:id="0">
    <w:p w:rsidR="00322E20" w:rsidRDefault="00322E20" w:rsidP="004A3F32">
      <w:pPr>
        <w:spacing w:after="0"/>
      </w:pPr>
      <w:r>
        <w:continuationSeparator/>
      </w:r>
    </w:p>
    <w:p w:rsidR="00322E20" w:rsidRDefault="00322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altName w:val="Univers 45 Light"/>
    <w:panose1 w:val="00000000000000000000"/>
    <w:charset w:val="00"/>
    <w:family w:val="auto"/>
    <w:pitch w:val="variable"/>
    <w:sig w:usb0="8000002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KPMG Light">
    <w:panose1 w:val="020B0403030202040204"/>
    <w:charset w:val="00"/>
    <w:family w:val="swiss"/>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Univers 57 Condensed">
    <w:panose1 w:val="00000400000000000000"/>
    <w:charset w:val="00"/>
    <w:family w:val="auto"/>
    <w:pitch w:val="variable"/>
    <w:sig w:usb0="00000003" w:usb1="00000000" w:usb2="00000000" w:usb3="00000000" w:csb0="00000001" w:csb1="00000000"/>
  </w:font>
  <w:font w:name="KPMG Extralight">
    <w:panose1 w:val="020B0303030202040204"/>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103355"/>
      <w:docPartObj>
        <w:docPartGallery w:val="Page Numbers (Bottom of Page)"/>
        <w:docPartUnique/>
      </w:docPartObj>
    </w:sdtPr>
    <w:sdtEndPr/>
    <w:sdtContent>
      <w:sdt>
        <w:sdtPr>
          <w:id w:val="291102142"/>
          <w:docPartObj>
            <w:docPartGallery w:val="Page Numbers (Bottom of Page)"/>
            <w:docPartUnique/>
          </w:docPartObj>
        </w:sdtPr>
        <w:sdtEndPr/>
        <w:sdtContent>
          <w:p w:rsidR="00F318CA" w:rsidRDefault="00F318CA" w:rsidP="00861EFA">
            <w:pPr>
              <w:pStyle w:val="Footer"/>
              <w:rPr>
                <w:noProof/>
              </w:rPr>
            </w:pPr>
            <w:r>
              <w:t xml:space="preserve">KPMG | </w:t>
            </w:r>
            <w:r>
              <w:fldChar w:fldCharType="begin"/>
            </w:r>
            <w:r>
              <w:instrText xml:space="preserve"> PAGE   \* MERGEFORMAT </w:instrText>
            </w:r>
            <w:r>
              <w:fldChar w:fldCharType="separate"/>
            </w:r>
            <w:r w:rsidR="00913F96">
              <w:rPr>
                <w:noProof/>
              </w:rPr>
              <w:t>18</w:t>
            </w:r>
            <w:r>
              <w:rPr>
                <w:noProof/>
              </w:rPr>
              <w:fldChar w:fldCharType="end"/>
            </w:r>
          </w:p>
          <w:p w:rsidR="00F318CA" w:rsidRDefault="00F318CA" w:rsidP="00861EFA">
            <w:pPr>
              <w:pStyle w:val="Footer"/>
              <w:rPr>
                <w:color w:val="auto"/>
                <w:sz w:val="20"/>
              </w:rPr>
            </w:pPr>
            <w:r>
              <w:t>© 2019</w:t>
            </w:r>
            <w:r w:rsidRPr="007E23D9">
              <w:t xml:space="preserve">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p>
        </w:sdtContent>
      </w:sdt>
      <w:p w:rsidR="00F318CA" w:rsidRDefault="00913F96" w:rsidP="00861EFA">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Pr="00CC7A82" w:rsidRDefault="00F318CA" w:rsidP="009E1E3F">
    <w:pPr>
      <w:pStyle w:val="Footer"/>
      <w:ind w:right="2407"/>
      <w:jc w:val="left"/>
      <w:rPr>
        <w:color w:val="FFFFFF" w:themeColor="background1"/>
      </w:rPr>
    </w:pPr>
    <w:r w:rsidRPr="00413248" w:rsidDel="003E201D">
      <w:rPr>
        <w:rStyle w:val="White"/>
        <w:rFonts w:eastAsia="Batang"/>
        <w:szCs w:val="12"/>
        <w:lang w:val="en-GB" w:eastAsia="ko-K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E20" w:rsidRDefault="00322E20" w:rsidP="004A3F32">
      <w:pPr>
        <w:spacing w:after="0"/>
      </w:pPr>
      <w:r>
        <w:separator/>
      </w:r>
    </w:p>
    <w:p w:rsidR="00322E20" w:rsidRDefault="00322E20"/>
  </w:footnote>
  <w:footnote w:type="continuationSeparator" w:id="0">
    <w:p w:rsidR="00322E20" w:rsidRDefault="00322E20" w:rsidP="004A3F32">
      <w:pPr>
        <w:spacing w:after="0"/>
      </w:pPr>
      <w:r>
        <w:continuationSeparator/>
      </w:r>
    </w:p>
    <w:p w:rsidR="00322E20" w:rsidRDefault="00322E20"/>
  </w:footnote>
  <w:footnote w:id="1">
    <w:p w:rsidR="00F318CA" w:rsidRDefault="00F318CA" w:rsidP="00630964">
      <w:pPr>
        <w:pStyle w:val="FootnoteText"/>
      </w:pPr>
      <w:r>
        <w:rPr>
          <w:rStyle w:val="FootnoteReference"/>
        </w:rPr>
        <w:footnoteRef/>
      </w:r>
      <w:r>
        <w:t xml:space="preserve"> </w:t>
      </w:r>
      <w:r w:rsidRPr="00CC174C">
        <w:rPr>
          <w:color w:val="000000" w:themeColor="text1"/>
          <w:szCs w:val="16"/>
        </w:rPr>
        <w:t>Australian Law Reform Commission, Elder abuse – A national legal response, (Commonwealth of Australia, Sydney, 2017).</w:t>
      </w:r>
    </w:p>
  </w:footnote>
  <w:footnote w:id="2">
    <w:p w:rsidR="00F318CA" w:rsidRPr="00F710EA" w:rsidRDefault="00F318CA" w:rsidP="00630964">
      <w:pPr>
        <w:pStyle w:val="FootnoteText"/>
        <w:rPr>
          <w:color w:val="000000" w:themeColor="text1"/>
          <w:szCs w:val="16"/>
        </w:rPr>
      </w:pPr>
      <w:r>
        <w:rPr>
          <w:rStyle w:val="FootnoteReference"/>
        </w:rPr>
        <w:footnoteRef/>
      </w:r>
      <w:r>
        <w:t xml:space="preserve"> </w:t>
      </w:r>
      <w:r w:rsidRPr="00D25EB4">
        <w:rPr>
          <w:color w:val="000000" w:themeColor="text1"/>
          <w:szCs w:val="16"/>
        </w:rPr>
        <w:t>Lynn McDonald et al, ‘Institutional Abuse of Older Adults: What We Know, What We Need to Know’</w:t>
      </w:r>
      <w:r>
        <w:rPr>
          <w:color w:val="000000" w:themeColor="text1"/>
          <w:szCs w:val="16"/>
        </w:rPr>
        <w:t xml:space="preserve"> </w:t>
      </w:r>
      <w:r w:rsidRPr="00D25EB4">
        <w:rPr>
          <w:color w:val="000000" w:themeColor="text1"/>
          <w:szCs w:val="16"/>
        </w:rPr>
        <w:t>(2012) 24(2) Journal of Elder Abuse &amp; Neglect 138, 139.</w:t>
      </w:r>
    </w:p>
  </w:footnote>
  <w:footnote w:id="3">
    <w:p w:rsidR="00F318CA" w:rsidRPr="00565775" w:rsidRDefault="00F318CA" w:rsidP="00630964">
      <w:pPr>
        <w:pStyle w:val="FootnoteText"/>
        <w:rPr>
          <w:szCs w:val="16"/>
        </w:rPr>
      </w:pPr>
      <w:r>
        <w:rPr>
          <w:rStyle w:val="FootnoteReference"/>
        </w:rPr>
        <w:footnoteRef/>
      </w:r>
      <w:r>
        <w:t xml:space="preserve"> </w:t>
      </w:r>
      <w:r w:rsidRPr="00F378E5">
        <w:rPr>
          <w:color w:val="000000" w:themeColor="text1"/>
          <w:szCs w:val="16"/>
        </w:rPr>
        <w:t>Section 63-1AA</w:t>
      </w:r>
      <w:r>
        <w:rPr>
          <w:color w:val="000000" w:themeColor="text1"/>
          <w:szCs w:val="16"/>
        </w:rPr>
        <w:t xml:space="preserve"> </w:t>
      </w:r>
      <w:r w:rsidRPr="00F378E5">
        <w:rPr>
          <w:color w:val="000000" w:themeColor="text1"/>
          <w:szCs w:val="16"/>
        </w:rPr>
        <w:t>(2) and section 53 of the Accountability Principles 2014 (Cth)</w:t>
      </w:r>
      <w:r>
        <w:rPr>
          <w:color w:val="000000" w:themeColor="text1"/>
          <w:szCs w:val="16"/>
        </w:rPr>
        <w:t>.</w:t>
      </w:r>
    </w:p>
  </w:footnote>
  <w:footnote w:id="4">
    <w:p w:rsidR="00F318CA" w:rsidRDefault="00F318CA" w:rsidP="00630964">
      <w:pPr>
        <w:pStyle w:val="FootnoteText"/>
      </w:pPr>
      <w:r>
        <w:rPr>
          <w:rStyle w:val="FootnoteReference"/>
        </w:rPr>
        <w:footnoteRef/>
      </w:r>
      <w:r>
        <w:t xml:space="preserve"> </w:t>
      </w:r>
      <w:r w:rsidRPr="00F07EA9">
        <w:rPr>
          <w:szCs w:val="16"/>
        </w:rPr>
        <w:t xml:space="preserve">Ms Kate Carnell and Professor Ron Patterson, </w:t>
      </w:r>
      <w:r w:rsidRPr="0075345C">
        <w:rPr>
          <w:i/>
          <w:szCs w:val="16"/>
        </w:rPr>
        <w:t>Review of National Aged Care Quality Regulation</w:t>
      </w:r>
      <w:r w:rsidRPr="0070402B">
        <w:rPr>
          <w:i/>
          <w:szCs w:val="16"/>
        </w:rPr>
        <w:t xml:space="preserve"> Report</w:t>
      </w:r>
      <w:r>
        <w:rPr>
          <w:szCs w:val="16"/>
        </w:rPr>
        <w:t>, October 2017, p </w:t>
      </w:r>
      <w:r w:rsidRPr="0070402B">
        <w:rPr>
          <w:szCs w:val="16"/>
        </w:rPr>
        <w:t xml:space="preserve">125; and Australian Law Reform Commission, </w:t>
      </w:r>
      <w:r w:rsidRPr="003A0F7F">
        <w:rPr>
          <w:i/>
          <w:szCs w:val="16"/>
        </w:rPr>
        <w:t>Elder Abuse</w:t>
      </w:r>
      <w:r w:rsidRPr="00B4387B">
        <w:rPr>
          <w:i/>
          <w:szCs w:val="16"/>
        </w:rPr>
        <w:t xml:space="preserve"> –</w:t>
      </w:r>
      <w:r w:rsidRPr="00F07EA9">
        <w:rPr>
          <w:i/>
          <w:szCs w:val="16"/>
        </w:rPr>
        <w:t xml:space="preserve"> A National Legal Response</w:t>
      </w:r>
      <w:r w:rsidRPr="00F07EA9">
        <w:rPr>
          <w:szCs w:val="16"/>
        </w:rPr>
        <w:t xml:space="preserve">, 14 June 2017, </w:t>
      </w:r>
      <w:r>
        <w:rPr>
          <w:szCs w:val="16"/>
        </w:rPr>
        <w:t>p</w:t>
      </w:r>
      <w:r w:rsidRPr="00F07EA9">
        <w:rPr>
          <w:szCs w:val="16"/>
        </w:rPr>
        <w:t xml:space="preserve"> 101.</w:t>
      </w:r>
    </w:p>
  </w:footnote>
  <w:footnote w:id="5">
    <w:p w:rsidR="00F318CA" w:rsidRDefault="00F318CA" w:rsidP="00A26E32">
      <w:pPr>
        <w:pStyle w:val="FootnoteText"/>
      </w:pPr>
      <w:r>
        <w:rPr>
          <w:rStyle w:val="FootnoteReference"/>
        </w:rPr>
        <w:footnoteRef/>
      </w:r>
      <w:r>
        <w:t xml:space="preserve"> </w:t>
      </w:r>
      <w:r w:rsidRPr="00B40B0E">
        <w:t>KPMG on behalf of the Commonwealth Department of Health (2018), Strengthening protections for older Australians, accessed on 20 October 2019, available at https://agedcare.health.gov.au/sites/default/files/documents/04_2019/23012019_proposal_for_a_national_aged_care_serious_incident_response_sch._.pdf.</w:t>
      </w:r>
    </w:p>
  </w:footnote>
  <w:footnote w:id="6">
    <w:p w:rsidR="00F318CA" w:rsidRPr="001952BF" w:rsidRDefault="00F318CA">
      <w:pPr>
        <w:pStyle w:val="FootnoteText"/>
        <w:rPr>
          <w:szCs w:val="16"/>
        </w:rPr>
      </w:pPr>
      <w:r w:rsidRPr="0093030E">
        <w:rPr>
          <w:rStyle w:val="FootnoteReference"/>
          <w:szCs w:val="16"/>
        </w:rPr>
        <w:footnoteRef/>
      </w:r>
      <w:r w:rsidRPr="001952BF">
        <w:rPr>
          <w:szCs w:val="16"/>
        </w:rPr>
        <w:t xml:space="preserve"> Existing provisions in the </w:t>
      </w:r>
      <w:r w:rsidRPr="009F1F87">
        <w:rPr>
          <w:i/>
          <w:szCs w:val="16"/>
        </w:rPr>
        <w:t>Aged Care Act 1997</w:t>
      </w:r>
      <w:r w:rsidRPr="001952BF">
        <w:rPr>
          <w:szCs w:val="16"/>
        </w:rPr>
        <w:t xml:space="preserve"> (the Act) require approved providers of residential aged care to report an allegation, or a suspicion, of a ‘reportable assault’ on a resident. An exemption under subsection 63-1AA(3) applies when a reportable assault is perpetrated by a resident with an assessed cognitive or mental impairment, and care arrangements are put in place within 24 hours to manage the behaviour</w:t>
      </w:r>
      <w:r>
        <w:rPr>
          <w:szCs w:val="16"/>
        </w:rPr>
        <w:t>,</w:t>
      </w:r>
      <w:r w:rsidRPr="001952BF">
        <w:rPr>
          <w:szCs w:val="16"/>
        </w:rPr>
        <w:t xml:space="preserve"> or when an allegation or suspicion relates to the same, or substantially the same, factual situation or event as an earlier allegation or suspicion of a reportable assault, and that earlier allegation or suspicion was reported to the Department.</w:t>
      </w:r>
    </w:p>
  </w:footnote>
  <w:footnote w:id="7">
    <w:p w:rsidR="00F318CA" w:rsidRDefault="00F318CA" w:rsidP="00D25EB4">
      <w:pPr>
        <w:pStyle w:val="FootnoteText"/>
      </w:pPr>
      <w:r>
        <w:rPr>
          <w:rStyle w:val="FootnoteReference"/>
        </w:rPr>
        <w:footnoteRef/>
      </w:r>
      <w:r>
        <w:t xml:space="preserve"> </w:t>
      </w:r>
      <w:r w:rsidRPr="00CC174C">
        <w:rPr>
          <w:color w:val="000000" w:themeColor="text1"/>
          <w:szCs w:val="16"/>
        </w:rPr>
        <w:t>Australian Law Reform Commission, Elder abuse – A national legal response, (Commonwealth of Australia, Sydney, 2017).</w:t>
      </w:r>
    </w:p>
  </w:footnote>
  <w:footnote w:id="8">
    <w:p w:rsidR="00F318CA" w:rsidRPr="007A5B0B" w:rsidRDefault="00F318CA" w:rsidP="00D25EB4">
      <w:pPr>
        <w:pStyle w:val="FootnoteText"/>
        <w:rPr>
          <w:color w:val="000000" w:themeColor="text1"/>
          <w:szCs w:val="16"/>
        </w:rPr>
      </w:pPr>
      <w:r>
        <w:rPr>
          <w:rStyle w:val="FootnoteReference"/>
        </w:rPr>
        <w:footnoteRef/>
      </w:r>
      <w:r>
        <w:t xml:space="preserve"> </w:t>
      </w:r>
      <w:r w:rsidRPr="00D25EB4">
        <w:rPr>
          <w:color w:val="000000" w:themeColor="text1"/>
          <w:szCs w:val="16"/>
        </w:rPr>
        <w:t>Lynn McDonald et al, ‘Institutional Abuse of Older Adults: What</w:t>
      </w:r>
      <w:r>
        <w:rPr>
          <w:color w:val="000000" w:themeColor="text1"/>
          <w:szCs w:val="16"/>
        </w:rPr>
        <w:t xml:space="preserve"> We Know, What We Need to Know’ </w:t>
      </w:r>
      <w:r w:rsidRPr="00D25EB4">
        <w:rPr>
          <w:color w:val="000000" w:themeColor="text1"/>
          <w:szCs w:val="16"/>
        </w:rPr>
        <w:t>(2012) 24(2) Journal of Elder Abuse &amp; Neglect 138, 139.</w:t>
      </w:r>
    </w:p>
  </w:footnote>
  <w:footnote w:id="9">
    <w:p w:rsidR="00F318CA" w:rsidRPr="00565775" w:rsidRDefault="00F318CA" w:rsidP="006959F9">
      <w:pPr>
        <w:pStyle w:val="FootnoteText"/>
        <w:rPr>
          <w:szCs w:val="16"/>
        </w:rPr>
      </w:pPr>
      <w:r>
        <w:rPr>
          <w:rStyle w:val="FootnoteReference"/>
        </w:rPr>
        <w:footnoteRef/>
      </w:r>
      <w:r>
        <w:t xml:space="preserve"> </w:t>
      </w:r>
      <w:r w:rsidRPr="00F378E5">
        <w:rPr>
          <w:color w:val="000000" w:themeColor="text1"/>
          <w:szCs w:val="16"/>
        </w:rPr>
        <w:t>Section 63-1AA</w:t>
      </w:r>
      <w:r>
        <w:rPr>
          <w:color w:val="000000" w:themeColor="text1"/>
          <w:szCs w:val="16"/>
        </w:rPr>
        <w:t xml:space="preserve"> </w:t>
      </w:r>
      <w:r w:rsidRPr="00F378E5">
        <w:rPr>
          <w:color w:val="000000" w:themeColor="text1"/>
          <w:szCs w:val="16"/>
        </w:rPr>
        <w:t>(2) and section 53 of the Accountability Principles 2014 (Cth)</w:t>
      </w:r>
      <w:r>
        <w:rPr>
          <w:color w:val="000000" w:themeColor="text1"/>
          <w:szCs w:val="16"/>
        </w:rPr>
        <w:t>.</w:t>
      </w:r>
    </w:p>
  </w:footnote>
  <w:footnote w:id="10">
    <w:p w:rsidR="00F318CA" w:rsidRDefault="00F318CA">
      <w:pPr>
        <w:pStyle w:val="FootnoteText"/>
      </w:pPr>
      <w:r>
        <w:rPr>
          <w:rStyle w:val="FootnoteReference"/>
        </w:rPr>
        <w:footnoteRef/>
      </w:r>
      <w:r>
        <w:t xml:space="preserve"> </w:t>
      </w:r>
      <w:r w:rsidRPr="00D25EB4">
        <w:rPr>
          <w:szCs w:val="16"/>
        </w:rPr>
        <w:t>Australian Law Reform Commission, Elder abuse – A national legal response, (Commonwealth of Australia, Sydney, 2017).</w:t>
      </w:r>
    </w:p>
  </w:footnote>
  <w:footnote w:id="11">
    <w:p w:rsidR="00F318CA" w:rsidRDefault="00F318CA" w:rsidP="0014352E">
      <w:pPr>
        <w:pStyle w:val="FootnoteText"/>
      </w:pPr>
      <w:r>
        <w:rPr>
          <w:rStyle w:val="FootnoteReference"/>
        </w:rPr>
        <w:footnoteRef/>
      </w:r>
      <w:r>
        <w:t xml:space="preserve"> </w:t>
      </w:r>
      <w:r w:rsidRPr="00F07EA9">
        <w:rPr>
          <w:szCs w:val="16"/>
        </w:rPr>
        <w:t xml:space="preserve">Ms Kate Carnell and Professor Ron Patterson, </w:t>
      </w:r>
      <w:r w:rsidRPr="0075345C">
        <w:rPr>
          <w:i/>
          <w:szCs w:val="16"/>
        </w:rPr>
        <w:t>Review of National Aged Care Quality Regulation</w:t>
      </w:r>
      <w:r w:rsidRPr="0070402B">
        <w:rPr>
          <w:i/>
          <w:szCs w:val="16"/>
        </w:rPr>
        <w:t xml:space="preserve"> Report</w:t>
      </w:r>
      <w:r>
        <w:rPr>
          <w:szCs w:val="16"/>
        </w:rPr>
        <w:t>, October 2017, p </w:t>
      </w:r>
      <w:r w:rsidRPr="0070402B">
        <w:rPr>
          <w:szCs w:val="16"/>
        </w:rPr>
        <w:t xml:space="preserve">125; and Australian Law Reform Commission, </w:t>
      </w:r>
      <w:r w:rsidRPr="003A0F7F">
        <w:rPr>
          <w:i/>
          <w:szCs w:val="16"/>
        </w:rPr>
        <w:t>Elder Abuse</w:t>
      </w:r>
      <w:r w:rsidRPr="00B4387B">
        <w:rPr>
          <w:i/>
          <w:szCs w:val="16"/>
        </w:rPr>
        <w:t xml:space="preserve"> –</w:t>
      </w:r>
      <w:r w:rsidRPr="00F07EA9">
        <w:rPr>
          <w:i/>
          <w:szCs w:val="16"/>
        </w:rPr>
        <w:t xml:space="preserve"> A National Legal Response</w:t>
      </w:r>
      <w:r w:rsidRPr="00F07EA9">
        <w:rPr>
          <w:szCs w:val="16"/>
        </w:rPr>
        <w:t>, 14 June 2017, page 101.</w:t>
      </w:r>
    </w:p>
  </w:footnote>
  <w:footnote w:id="12">
    <w:p w:rsidR="00F318CA" w:rsidRDefault="00F318CA" w:rsidP="003C0885">
      <w:pPr>
        <w:pStyle w:val="FootnoteText"/>
      </w:pPr>
      <w:r>
        <w:rPr>
          <w:rStyle w:val="FootnoteReference"/>
        </w:rPr>
        <w:footnoteRef/>
      </w:r>
      <w:r>
        <w:t xml:space="preserve"> </w:t>
      </w:r>
      <w:r w:rsidRPr="008A4B82">
        <w:rPr>
          <w:szCs w:val="16"/>
        </w:rPr>
        <w:t xml:space="preserve">KPMG on behalf of the Commonwealth Department of Health (2018), </w:t>
      </w:r>
      <w:r w:rsidRPr="008A4B82">
        <w:rPr>
          <w:i/>
          <w:szCs w:val="16"/>
        </w:rPr>
        <w:t>Strengthening protections for older Australians</w:t>
      </w:r>
      <w:r w:rsidRPr="008A4B82">
        <w:rPr>
          <w:szCs w:val="16"/>
        </w:rPr>
        <w:t>, accessed on 20 October 2019, available at https://agedcare.health.gov.au/sites/default/files/documents/04_2019/23012019_proposal_for_a_national_aged_care_serious_incident_response_sch._.pdf.</w:t>
      </w:r>
    </w:p>
  </w:footnote>
  <w:footnote w:id="13">
    <w:p w:rsidR="00F318CA" w:rsidRPr="009E1E3F" w:rsidRDefault="00F318CA">
      <w:pPr>
        <w:pStyle w:val="FootnoteText"/>
        <w:rPr>
          <w:szCs w:val="16"/>
        </w:rPr>
      </w:pPr>
      <w:r w:rsidRPr="009E1E3F">
        <w:rPr>
          <w:rStyle w:val="FootnoteReference"/>
          <w:szCs w:val="16"/>
        </w:rPr>
        <w:footnoteRef/>
      </w:r>
      <w:r w:rsidRPr="009E1E3F">
        <w:rPr>
          <w:szCs w:val="16"/>
        </w:rPr>
        <w:t xml:space="preserve"> For the purpose of this project, Type 2 incidents were defined as other </w:t>
      </w:r>
      <w:r>
        <w:rPr>
          <w:szCs w:val="16"/>
        </w:rPr>
        <w:t>resident on resident</w:t>
      </w:r>
      <w:r w:rsidRPr="009E1E3F">
        <w:rPr>
          <w:szCs w:val="16"/>
        </w:rPr>
        <w:t xml:space="preserve"> incidents which do not meet the definition of a reportable assault but are recorded by the approved provider (outlined further in Section </w:t>
      </w:r>
      <w:r>
        <w:rPr>
          <w:szCs w:val="16"/>
        </w:rPr>
        <w:fldChar w:fldCharType="begin"/>
      </w:r>
      <w:r>
        <w:rPr>
          <w:szCs w:val="16"/>
        </w:rPr>
        <w:instrText xml:space="preserve"> REF _Ref25416908 \w \h </w:instrText>
      </w:r>
      <w:r>
        <w:rPr>
          <w:szCs w:val="16"/>
        </w:rPr>
      </w:r>
      <w:r>
        <w:rPr>
          <w:szCs w:val="16"/>
        </w:rPr>
        <w:fldChar w:fldCharType="separate"/>
      </w:r>
      <w:r>
        <w:rPr>
          <w:szCs w:val="16"/>
        </w:rPr>
        <w:t>3.1.1</w:t>
      </w:r>
      <w:r>
        <w:rPr>
          <w:szCs w:val="16"/>
        </w:rPr>
        <w:fldChar w:fldCharType="end"/>
      </w:r>
      <w:r w:rsidRPr="009E1E3F">
        <w:rPr>
          <w:szCs w:val="16"/>
        </w:rPr>
        <w:t xml:space="preserve"> of this report).</w:t>
      </w:r>
    </w:p>
  </w:footnote>
  <w:footnote w:id="14">
    <w:p w:rsidR="00F318CA" w:rsidRDefault="00F318CA" w:rsidP="00BC6CE1">
      <w:pPr>
        <w:pStyle w:val="FootnoteText"/>
      </w:pPr>
      <w:r>
        <w:rPr>
          <w:rStyle w:val="FootnoteReference"/>
        </w:rPr>
        <w:footnoteRef/>
      </w:r>
      <w:r>
        <w:t xml:space="preserve"> </w:t>
      </w:r>
      <w:r w:rsidRPr="00F378E5">
        <w:rPr>
          <w:color w:val="000000" w:themeColor="text1"/>
          <w:szCs w:val="16"/>
        </w:rPr>
        <w:t>Section 63-1AA</w:t>
      </w:r>
      <w:r>
        <w:rPr>
          <w:color w:val="000000" w:themeColor="text1"/>
          <w:szCs w:val="16"/>
        </w:rPr>
        <w:t xml:space="preserve"> </w:t>
      </w:r>
      <w:r w:rsidRPr="00F378E5">
        <w:rPr>
          <w:color w:val="000000" w:themeColor="text1"/>
          <w:szCs w:val="16"/>
        </w:rPr>
        <w:t>(2) and section 53 of the Accountability Principles 2014 (Cth)</w:t>
      </w:r>
      <w:r>
        <w:rPr>
          <w:color w:val="000000" w:themeColor="text1"/>
          <w:szCs w:val="16"/>
        </w:rPr>
        <w:t>.</w:t>
      </w:r>
    </w:p>
  </w:footnote>
  <w:footnote w:id="15">
    <w:p w:rsidR="00F318CA" w:rsidRDefault="00F318CA" w:rsidP="00BC6CE1">
      <w:pPr>
        <w:pStyle w:val="FootnoteText"/>
      </w:pPr>
      <w:r>
        <w:rPr>
          <w:rStyle w:val="FootnoteReference"/>
        </w:rPr>
        <w:footnoteRef/>
      </w:r>
      <w:r>
        <w:t xml:space="preserve"> </w:t>
      </w:r>
      <w:r w:rsidRPr="008A4B82">
        <w:rPr>
          <w:szCs w:val="16"/>
        </w:rPr>
        <w:t xml:space="preserve">KPMG on behalf of the Commonwealth Department of Health (2018), </w:t>
      </w:r>
      <w:r w:rsidRPr="008A4B82">
        <w:rPr>
          <w:i/>
          <w:szCs w:val="16"/>
        </w:rPr>
        <w:t>Strengthening protections for older Australians</w:t>
      </w:r>
      <w:r w:rsidRPr="008A4B82">
        <w:rPr>
          <w:szCs w:val="16"/>
        </w:rPr>
        <w:t>, accessed on 20 October 2019, available at https://agedcare.health.gov.au/sites/default/files/documents/04_2019/23012019_proposal_for_a_national_aged_care_serious_incident_response_sch._.pdf.</w:t>
      </w:r>
    </w:p>
  </w:footnote>
  <w:footnote w:id="16">
    <w:p w:rsidR="00F318CA" w:rsidRPr="00037465" w:rsidRDefault="00F318CA" w:rsidP="00BC6CE1">
      <w:pPr>
        <w:pStyle w:val="FootnoteText"/>
        <w:rPr>
          <w:szCs w:val="16"/>
        </w:rPr>
      </w:pPr>
      <w:r w:rsidRPr="00037465">
        <w:rPr>
          <w:rStyle w:val="FootnoteReference"/>
          <w:szCs w:val="16"/>
        </w:rPr>
        <w:footnoteRef/>
      </w:r>
      <w:r w:rsidRPr="00037465">
        <w:rPr>
          <w:szCs w:val="16"/>
        </w:rPr>
        <w:t xml:space="preserve"> </w:t>
      </w:r>
      <w:r w:rsidRPr="00037465">
        <w:rPr>
          <w:i/>
          <w:szCs w:val="16"/>
        </w:rPr>
        <w:t>Records Principles 2014</w:t>
      </w:r>
      <w:r w:rsidRPr="00037465">
        <w:rPr>
          <w:szCs w:val="16"/>
        </w:rPr>
        <w:t xml:space="preserve"> s. 8. Retrieved from, https://www.legislation.gov.au/Details/F2019C00610</w:t>
      </w:r>
    </w:p>
  </w:footnote>
  <w:footnote w:id="17">
    <w:p w:rsidR="00F318CA" w:rsidRDefault="00F318CA" w:rsidP="007F13A4">
      <w:pPr>
        <w:pStyle w:val="FootnoteText"/>
      </w:pPr>
      <w:r w:rsidRPr="00037465">
        <w:rPr>
          <w:rStyle w:val="FootnoteReference"/>
          <w:szCs w:val="16"/>
        </w:rPr>
        <w:footnoteRef/>
      </w:r>
      <w:r w:rsidRPr="00037465">
        <w:rPr>
          <w:szCs w:val="16"/>
        </w:rPr>
        <w:t xml:space="preserve"> The exemption relates to reportable </w:t>
      </w:r>
      <w:r>
        <w:rPr>
          <w:szCs w:val="16"/>
        </w:rPr>
        <w:t xml:space="preserve">assaults </w:t>
      </w:r>
      <w:r w:rsidRPr="00037465">
        <w:rPr>
          <w:szCs w:val="16"/>
        </w:rPr>
        <w:t xml:space="preserve">that have occurred when the alleged assault is perpetrated by a resident with an assessed cognitive or mental impairment, and care arrangements are put in place to manage the behaviour within 24 hours or </w:t>
      </w:r>
      <w:r>
        <w:rPr>
          <w:szCs w:val="16"/>
        </w:rPr>
        <w:t>w</w:t>
      </w:r>
      <w:r w:rsidRPr="00C90917">
        <w:rPr>
          <w:szCs w:val="16"/>
        </w:rPr>
        <w:t>hen</w:t>
      </w:r>
      <w:r>
        <w:rPr>
          <w:szCs w:val="16"/>
        </w:rPr>
        <w:t xml:space="preserve"> an</w:t>
      </w:r>
      <w:r w:rsidRPr="00C90917">
        <w:rPr>
          <w:szCs w:val="16"/>
        </w:rPr>
        <w:t xml:space="preserve"> allegation or suspicion relates to the same, or substantially the same, factual situation or event as an earlier allegation or suspicion of a reportable assault, and that earlier allegation or suspicion was reported to the Department.</w:t>
      </w:r>
    </w:p>
  </w:footnote>
  <w:footnote w:id="18">
    <w:p w:rsidR="00F318CA" w:rsidRPr="00E31285" w:rsidRDefault="00F318CA">
      <w:pPr>
        <w:pStyle w:val="FootnoteText"/>
        <w:rPr>
          <w:szCs w:val="16"/>
        </w:rPr>
      </w:pPr>
      <w:r w:rsidRPr="00E31285">
        <w:rPr>
          <w:rStyle w:val="FootnoteReference"/>
          <w:szCs w:val="16"/>
        </w:rPr>
        <w:footnoteRef/>
      </w:r>
      <w:r w:rsidRPr="00E31285">
        <w:rPr>
          <w:szCs w:val="16"/>
        </w:rPr>
        <w:t xml:space="preserve"> For Type 2 incidents, aged care services are not currently required to record information on these incidents in a specific location or in a particular way. Therefore for the purpose of this study, only the quantum of incidents that occurred during the data collection period was captured.</w:t>
      </w:r>
    </w:p>
  </w:footnote>
  <w:footnote w:id="19">
    <w:p w:rsidR="00F318CA" w:rsidRPr="009E1E3F" w:rsidRDefault="00F318CA" w:rsidP="00BC6CE1">
      <w:pPr>
        <w:pStyle w:val="FootnoteText"/>
        <w:rPr>
          <w:szCs w:val="16"/>
        </w:rPr>
      </w:pPr>
      <w:r w:rsidRPr="009E1E3F">
        <w:rPr>
          <w:rStyle w:val="FootnoteReference"/>
          <w:szCs w:val="16"/>
        </w:rPr>
        <w:footnoteRef/>
      </w:r>
      <w:r w:rsidRPr="009E1E3F">
        <w:rPr>
          <w:szCs w:val="16"/>
        </w:rPr>
        <w:t xml:space="preserve"> Australian Institute of Health and Welfare. (2019). GEN Aged Care Data. Retrieved from, </w:t>
      </w:r>
      <w:hyperlink r:id="rId1" w:tooltip="link to aged care data website from the Australian Institute of Health and Welfare" w:history="1">
        <w:r w:rsidRPr="009E1E3F">
          <w:rPr>
            <w:rStyle w:val="Hyperlink"/>
            <w:szCs w:val="16"/>
          </w:rPr>
          <w:t>https://www.gen-agedcaredata.gov.au/</w:t>
        </w:r>
      </w:hyperlink>
      <w:r w:rsidRPr="009E1E3F">
        <w:rPr>
          <w:szCs w:val="16"/>
        </w:rPr>
        <w:t>.</w:t>
      </w:r>
    </w:p>
  </w:footnote>
  <w:footnote w:id="20">
    <w:p w:rsidR="00F318CA" w:rsidRPr="00E31285" w:rsidRDefault="00F318CA">
      <w:pPr>
        <w:pStyle w:val="FootnoteText"/>
        <w:rPr>
          <w:szCs w:val="16"/>
        </w:rPr>
      </w:pPr>
      <w:r w:rsidRPr="00E31285">
        <w:rPr>
          <w:rStyle w:val="FootnoteReference"/>
          <w:szCs w:val="16"/>
        </w:rPr>
        <w:footnoteRef/>
      </w:r>
      <w:r w:rsidRPr="00E31285">
        <w:rPr>
          <w:szCs w:val="16"/>
        </w:rPr>
        <w:t xml:space="preserve"> The number of services that submitted data was higher than the number of services that registered as some services submitted data without registering to participate. </w:t>
      </w:r>
    </w:p>
  </w:footnote>
  <w:footnote w:id="21">
    <w:p w:rsidR="00F318CA" w:rsidRPr="009E1E3F" w:rsidRDefault="00F318CA" w:rsidP="00D9569C">
      <w:pPr>
        <w:pStyle w:val="FootnoteText"/>
        <w:rPr>
          <w:szCs w:val="16"/>
        </w:rPr>
      </w:pPr>
      <w:r w:rsidRPr="009E1E3F">
        <w:rPr>
          <w:rStyle w:val="FootnoteReference"/>
          <w:szCs w:val="16"/>
        </w:rPr>
        <w:footnoteRef/>
      </w:r>
      <w:r w:rsidRPr="009E1E3F">
        <w:rPr>
          <w:szCs w:val="16"/>
        </w:rPr>
        <w:t xml:space="preserve"> Gen Aged Care Data (2019). Aged Care Service List - Australia - as at 30 June 2019. AIHW, Canberra.</w:t>
      </w:r>
    </w:p>
  </w:footnote>
  <w:footnote w:id="22">
    <w:p w:rsidR="00F318CA" w:rsidRDefault="00F318CA" w:rsidP="00D9569C">
      <w:pPr>
        <w:pStyle w:val="FootnoteText"/>
      </w:pPr>
    </w:p>
  </w:footnote>
  <w:footnote w:id="23">
    <w:p w:rsidR="00F318CA" w:rsidRPr="009E1E3F" w:rsidRDefault="00F318CA" w:rsidP="00D9569C">
      <w:pPr>
        <w:pStyle w:val="FootnoteText"/>
        <w:rPr>
          <w:szCs w:val="16"/>
        </w:rPr>
      </w:pPr>
      <w:r w:rsidRPr="009E1E3F">
        <w:rPr>
          <w:rStyle w:val="FootnoteReference"/>
          <w:szCs w:val="16"/>
        </w:rPr>
        <w:footnoteRef/>
      </w:r>
      <w:r w:rsidRPr="009E1E3F">
        <w:rPr>
          <w:szCs w:val="16"/>
        </w:rPr>
        <w:t xml:space="preserve"> Note: the occupancy data was supplied for 2,682 services. </w:t>
      </w:r>
    </w:p>
  </w:footnote>
  <w:footnote w:id="24">
    <w:p w:rsidR="00F318CA" w:rsidRDefault="00F318CA">
      <w:pPr>
        <w:pStyle w:val="FootnoteText"/>
      </w:pPr>
      <w:r>
        <w:rPr>
          <w:rStyle w:val="FootnoteReference"/>
        </w:rPr>
        <w:footnoteRef/>
      </w:r>
      <w:r>
        <w:t xml:space="preserve"> Respondents could select more than one perpetrator behaviour for an individual incident. </w:t>
      </w:r>
    </w:p>
  </w:footnote>
  <w:footnote w:id="25">
    <w:p w:rsidR="00F318CA" w:rsidRDefault="00F318CA">
      <w:pPr>
        <w:pStyle w:val="FootnoteText"/>
      </w:pPr>
      <w:r>
        <w:rPr>
          <w:rStyle w:val="FootnoteReference"/>
        </w:rPr>
        <w:footnoteRef/>
      </w:r>
      <w:r>
        <w:t xml:space="preserve"> Respondents could only select one value for victim impact.</w:t>
      </w:r>
    </w:p>
  </w:footnote>
  <w:footnote w:id="26">
    <w:p w:rsidR="00F318CA" w:rsidRDefault="00F318CA">
      <w:pPr>
        <w:pStyle w:val="FootnoteText"/>
      </w:pPr>
      <w:r>
        <w:rPr>
          <w:rStyle w:val="FootnoteReference"/>
        </w:rPr>
        <w:footnoteRef/>
      </w:r>
      <w:r>
        <w:t xml:space="preserve"> Respondents could select more than one service response for an individual incident.</w:t>
      </w:r>
    </w:p>
  </w:footnote>
  <w:footnote w:id="27">
    <w:p w:rsidR="00F318CA" w:rsidRPr="00862371" w:rsidRDefault="00F318CA" w:rsidP="00252CA3">
      <w:pPr>
        <w:pStyle w:val="FootnoteText"/>
        <w:rPr>
          <w:szCs w:val="16"/>
        </w:rPr>
      </w:pPr>
      <w:r w:rsidRPr="00862371">
        <w:rPr>
          <w:rStyle w:val="FootnoteReference"/>
          <w:szCs w:val="16"/>
        </w:rPr>
        <w:footnoteRef/>
      </w:r>
      <w:r w:rsidRPr="00862371">
        <w:rPr>
          <w:szCs w:val="16"/>
        </w:rPr>
        <w:t xml:space="preserve"> In the commentary within this section</w:t>
      </w:r>
      <w:r>
        <w:rPr>
          <w:szCs w:val="16"/>
        </w:rPr>
        <w:t>,</w:t>
      </w:r>
      <w:r w:rsidRPr="00862371">
        <w:rPr>
          <w:szCs w:val="16"/>
        </w:rPr>
        <w:t xml:space="preserve"> there is reference to the oversight body for serious incidents</w:t>
      </w:r>
      <w:r>
        <w:rPr>
          <w:szCs w:val="16"/>
        </w:rPr>
        <w:t xml:space="preserve">. </w:t>
      </w:r>
      <w:r w:rsidRPr="00862371">
        <w:rPr>
          <w:szCs w:val="16"/>
        </w:rPr>
        <w:t xml:space="preserve">For current reporting, it refers to the Department, however future reporting oversight is assumed to be under the remit of the Aged Care Quality </w:t>
      </w:r>
      <w:r>
        <w:rPr>
          <w:szCs w:val="16"/>
        </w:rPr>
        <w:t xml:space="preserve">and Safety </w:t>
      </w:r>
      <w:r w:rsidRPr="00862371">
        <w:rPr>
          <w:szCs w:val="16"/>
        </w:rPr>
        <w:t>Commission.</w:t>
      </w:r>
    </w:p>
  </w:footnote>
  <w:footnote w:id="28">
    <w:p w:rsidR="00F318CA" w:rsidRDefault="00F318CA" w:rsidP="00252CA3">
      <w:pPr>
        <w:pStyle w:val="FootnoteText"/>
      </w:pPr>
      <w:r>
        <w:rPr>
          <w:rStyle w:val="FootnoteReference"/>
        </w:rPr>
        <w:footnoteRef/>
      </w:r>
      <w:r>
        <w:t xml:space="preserve"> </w:t>
      </w:r>
      <w:r w:rsidRPr="00CC174C">
        <w:rPr>
          <w:color w:val="000000" w:themeColor="text1"/>
          <w:szCs w:val="16"/>
        </w:rPr>
        <w:t>Australian Law Reform Commission, Elder abuse – A national legal response, (Commonwealth of Australia, Sydney, 2017).</w:t>
      </w:r>
    </w:p>
  </w:footnote>
  <w:footnote w:id="29">
    <w:p w:rsidR="00F318CA" w:rsidRPr="00EF6B6C" w:rsidRDefault="00F318CA" w:rsidP="007F13A4">
      <w:pPr>
        <w:pStyle w:val="FootnoteText"/>
      </w:pPr>
      <w:r>
        <w:rPr>
          <w:rStyle w:val="FootnoteReference"/>
        </w:rPr>
        <w:footnoteRef/>
      </w:r>
      <w:r>
        <w:t xml:space="preserve"> </w:t>
      </w:r>
      <w:r w:rsidRPr="00305E44">
        <w:t>Victorian Ombudsman, Reporting and investigation of allegations of abuse in the disability sector: Phase 1 - the effectiveness of statutory oversight (Victorian government, June 2015) P.P. No. 49.</w:t>
      </w:r>
    </w:p>
  </w:footnote>
  <w:footnote w:id="30">
    <w:p w:rsidR="00F318CA" w:rsidRDefault="00F318CA" w:rsidP="007F13A4">
      <w:pPr>
        <w:pStyle w:val="FootnoteText"/>
      </w:pPr>
      <w:r>
        <w:rPr>
          <w:rStyle w:val="FootnoteReference"/>
        </w:rPr>
        <w:footnoteRef/>
      </w:r>
      <w:r>
        <w:t xml:space="preserve"> </w:t>
      </w:r>
      <w:r w:rsidRPr="00305E44">
        <w:t>Family and Community Development Committee, Inquiry into abuse in disability services: Final report (Parliament of Victoria, May 2016)</w:t>
      </w:r>
      <w:r>
        <w:t xml:space="preserve">. </w:t>
      </w:r>
    </w:p>
  </w:footnote>
  <w:footnote w:id="31">
    <w:p w:rsidR="00F318CA" w:rsidRPr="007F3B9E" w:rsidRDefault="00F318CA" w:rsidP="00310B07">
      <w:pPr>
        <w:pStyle w:val="FootnoteText"/>
        <w:rPr>
          <w:szCs w:val="16"/>
        </w:rPr>
      </w:pPr>
      <w:r w:rsidRPr="007F3B9E">
        <w:rPr>
          <w:rStyle w:val="FootnoteReference"/>
          <w:szCs w:val="16"/>
        </w:rPr>
        <w:footnoteRef/>
      </w:r>
      <w:r w:rsidRPr="007F3B9E">
        <w:rPr>
          <w:szCs w:val="16"/>
        </w:rPr>
        <w:t xml:space="preserve"> KPMG on behalf of the Commonwealth Department of Health (2018), Strengthening protections for older Australians, accessed on 20 October 2019, available at </w:t>
      </w:r>
      <w:hyperlink r:id="rId2" w:tooltip="Link to the 2019 Proposal for a National Aged Care Serious Incident Response Schemedf" w:history="1">
        <w:r w:rsidRPr="00D11740">
          <w:rPr>
            <w:rStyle w:val="Hyperlink"/>
            <w:szCs w:val="16"/>
          </w:rPr>
          <w:t>https://agedcare.health.gov.au/sites/default/files/documents/04_2019/23012019_proposal_for_a_national_aged_care_serious_incident_response_sch._.pdf</w:t>
        </w:r>
      </w:hyperlink>
      <w:r w:rsidRPr="007F3B9E">
        <w:rPr>
          <w:szCs w:val="16"/>
        </w:rPr>
        <w:t>.</w:t>
      </w:r>
      <w:r>
        <w:rPr>
          <w:szCs w:val="16"/>
        </w:rPr>
        <w:t xml:space="preserve"> </w:t>
      </w:r>
    </w:p>
  </w:footnote>
  <w:footnote w:id="32">
    <w:p w:rsidR="00F318CA" w:rsidRPr="007F3B9E" w:rsidRDefault="00F318CA" w:rsidP="0011136A">
      <w:pPr>
        <w:pStyle w:val="FootnoteText"/>
        <w:rPr>
          <w:szCs w:val="16"/>
        </w:rPr>
      </w:pPr>
      <w:r w:rsidRPr="007F3B9E">
        <w:rPr>
          <w:rStyle w:val="FootnoteReference"/>
          <w:szCs w:val="16"/>
        </w:rPr>
        <w:footnoteRef/>
      </w:r>
      <w:r w:rsidRPr="007F3B9E">
        <w:rPr>
          <w:szCs w:val="16"/>
        </w:rPr>
        <w:t xml:space="preserve"> KPMG on behalf of the Commonwealth Department of Health (2018), Strengthening protections for older Australians, accessed on 20 October 2019, available at https://agedcare.health.gov.au/sites/default/files/documents/04_2019/23012019_proposal_for_a_national_aged_care_serious_incident_response_sch._.pdf.</w:t>
      </w:r>
    </w:p>
  </w:footnote>
  <w:footnote w:id="33">
    <w:p w:rsidR="00F318CA" w:rsidRPr="007F3B9E" w:rsidRDefault="00F318CA" w:rsidP="0011136A">
      <w:pPr>
        <w:pStyle w:val="FootnoteText"/>
        <w:rPr>
          <w:szCs w:val="16"/>
        </w:rPr>
      </w:pPr>
      <w:r w:rsidRPr="007F3B9E">
        <w:rPr>
          <w:rStyle w:val="FootnoteReference"/>
          <w:szCs w:val="16"/>
        </w:rPr>
        <w:footnoteRef/>
      </w:r>
      <w:r w:rsidRPr="007F3B9E">
        <w:rPr>
          <w:szCs w:val="16"/>
        </w:rPr>
        <w:t xml:space="preserve"> Australian Law Reform Commission, Elder abuse – A national legal response, (Commonwealth of Australia, Sydney, 2017).</w:t>
      </w:r>
    </w:p>
  </w:footnote>
  <w:footnote w:id="34">
    <w:p w:rsidR="00F318CA" w:rsidRPr="007F3B9E" w:rsidRDefault="00F318CA" w:rsidP="0011136A">
      <w:pPr>
        <w:pStyle w:val="FootnoteText"/>
        <w:rPr>
          <w:szCs w:val="16"/>
        </w:rPr>
      </w:pPr>
      <w:r w:rsidRPr="007F3B9E">
        <w:rPr>
          <w:rStyle w:val="FootnoteReference"/>
          <w:szCs w:val="16"/>
        </w:rPr>
        <w:footnoteRef/>
      </w:r>
      <w:r w:rsidRPr="007F3B9E">
        <w:rPr>
          <w:szCs w:val="16"/>
        </w:rPr>
        <w:t xml:space="preserve"> Prof. Joseph E Ibrahim, Recommendations for prevention of injury-related deaths in residential aged care services, (Monash University: Southbank 2017).</w:t>
      </w:r>
    </w:p>
  </w:footnote>
  <w:footnote w:id="35">
    <w:p w:rsidR="00F318CA" w:rsidRDefault="00F318CA" w:rsidP="0011136A">
      <w:pPr>
        <w:pStyle w:val="FootnoteText"/>
      </w:pPr>
      <w:r w:rsidRPr="007F3B9E">
        <w:rPr>
          <w:rStyle w:val="FootnoteReference"/>
          <w:szCs w:val="16"/>
        </w:rPr>
        <w:footnoteRef/>
      </w:r>
      <w:r w:rsidRPr="007F3B9E">
        <w:rPr>
          <w:szCs w:val="16"/>
        </w:rPr>
        <w:t xml:space="preserve"> KPMG on behalf of the Commonwealth Department of Health (2018), Strengthening protections for older Australians, accessed on 20 October 2019, available at https://agedcare.health.gov.au/sites/default/files/documents/04_2019/23012019_proposal_for_a_national_aged_care_serious_incident_response_sch._.pdf.</w:t>
      </w:r>
    </w:p>
  </w:footnote>
  <w:footnote w:id="36">
    <w:p w:rsidR="00F318CA" w:rsidRPr="007F3B9E" w:rsidRDefault="00F318CA" w:rsidP="0011136A">
      <w:pPr>
        <w:pStyle w:val="FootnoteText"/>
        <w:rPr>
          <w:szCs w:val="16"/>
        </w:rPr>
      </w:pPr>
      <w:r w:rsidRPr="007F3B9E">
        <w:rPr>
          <w:rStyle w:val="FootnoteReference"/>
          <w:szCs w:val="16"/>
        </w:rPr>
        <w:footnoteRef/>
      </w:r>
      <w:r w:rsidRPr="007F3B9E">
        <w:rPr>
          <w:szCs w:val="16"/>
        </w:rPr>
        <w:t xml:space="preserve"> Baker PRA et al, Interventions for preventing abuse in the elderly. (Cochrane Database of Systematic Reviews, 2016) Issue 8. Art. No. CD10321.</w:t>
      </w:r>
    </w:p>
  </w:footnote>
  <w:footnote w:id="37">
    <w:p w:rsidR="00F318CA" w:rsidRPr="00E961AC" w:rsidRDefault="00F318CA" w:rsidP="00957988">
      <w:pPr>
        <w:pStyle w:val="FootnoteText"/>
      </w:pPr>
      <w:r w:rsidRPr="00E961AC">
        <w:rPr>
          <w:rStyle w:val="FootnoteReference"/>
        </w:rPr>
        <w:footnoteRef/>
      </w:r>
      <w:r w:rsidRPr="00E961AC">
        <w:t xml:space="preserve"> With the exception of </w:t>
      </w:r>
      <w:r>
        <w:t>“Did any of these incidents involve the same resident?”. This question was only displayed to respondents who entered a Type 1 incident number of two or higher. Errors can result when forcing responses for a question that is only displayed to some respondents, hence, forcing responses was avoided for this question.</w:t>
      </w:r>
    </w:p>
  </w:footnote>
  <w:footnote w:id="38">
    <w:p w:rsidR="00F318CA" w:rsidRPr="00E70A06" w:rsidRDefault="00F318CA" w:rsidP="008320E0">
      <w:pPr>
        <w:pStyle w:val="FootnoteText"/>
        <w:rPr>
          <w:szCs w:val="16"/>
        </w:rPr>
      </w:pPr>
      <w:r w:rsidRPr="00E70A06">
        <w:rPr>
          <w:rStyle w:val="FootnoteReference"/>
          <w:szCs w:val="16"/>
        </w:rPr>
        <w:footnoteRef/>
      </w:r>
      <w:r w:rsidRPr="00E70A06">
        <w:rPr>
          <w:szCs w:val="16"/>
        </w:rPr>
        <w:t xml:space="preserve"> Australian Bureau of Statistics (ABS) 2003. Survey Methods 1 (Internal Publication). ABS, Canberra. </w:t>
      </w:r>
    </w:p>
  </w:footnote>
  <w:footnote w:id="39">
    <w:p w:rsidR="00F318CA" w:rsidRDefault="00F318CA" w:rsidP="008320E0">
      <w:pPr>
        <w:pStyle w:val="FootnoteText"/>
      </w:pPr>
      <w:r w:rsidRPr="00E70A06">
        <w:rPr>
          <w:rStyle w:val="FootnoteReference"/>
          <w:szCs w:val="16"/>
        </w:rPr>
        <w:footnoteRef/>
      </w:r>
      <w:r w:rsidRPr="00E70A06">
        <w:rPr>
          <w:szCs w:val="16"/>
        </w:rPr>
        <w:t xml:space="preserve"> This provider had 16 services participate and contributed 35.4 per cent of all Type 1 incidents in the sample.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Default="00F318CA">
    <w:pPr>
      <w:pStyle w:val="Header"/>
    </w:pPr>
    <w:r>
      <w:rPr>
        <w:noProof/>
        <w:lang w:eastAsia="en-AU"/>
      </w:rPr>
      <mc:AlternateContent>
        <mc:Choice Requires="wps">
          <w:drawing>
            <wp:anchor distT="0" distB="0" distL="114300" distR="114300" simplePos="0" relativeHeight="251718656" behindDoc="1" locked="0" layoutInCell="1" allowOverlap="1" wp14:anchorId="2CD02891" wp14:editId="48B1030A">
              <wp:simplePos x="0" y="0"/>
              <wp:positionH relativeFrom="page">
                <wp:align>center</wp:align>
              </wp:positionH>
              <wp:positionV relativeFrom="page">
                <wp:align>center</wp:align>
              </wp:positionV>
              <wp:extent cx="4964430" cy="1724025"/>
              <wp:effectExtent l="0" t="1517015" r="0" b="1521460"/>
              <wp:wrapNone/>
              <wp:docPr id="14544" name="Text Box 14544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D02891" id="_x0000_t202" coordsize="21600,21600" o:spt="202" path="m,l,21600r21600,l21600,xe">
              <v:stroke joinstyle="miter"/>
              <v:path gradientshapeok="t" o:connecttype="rect"/>
            </v:shapetype>
            <v:shape id="Text Box 14544 KISDraft" o:spid="_x0000_s1030" type="#_x0000_t202" style="position:absolute;left:0;text-align:left;margin-left:0;margin-top:0;width:390.9pt;height:135.75pt;rotation:-45;z-index:-251597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" filled="f" stroked="f">
              <o:lock v:ext="edit" shapetype="t"/>
              <v:textbox style="mso-fit-shape-to-text:t">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Default="00F318CA">
    <w:pPr>
      <w:pStyle w:val="Header"/>
    </w:pPr>
    <w:r>
      <w:rPr>
        <w:noProof/>
        <w:lang w:eastAsia="en-AU"/>
      </w:rPr>
      <mc:AlternateContent>
        <mc:Choice Requires="wps">
          <w:drawing>
            <wp:anchor distT="0" distB="0" distL="114300" distR="114300" simplePos="0" relativeHeight="251739136" behindDoc="1" locked="0" layoutInCell="1" allowOverlap="1" wp14:anchorId="21320305" wp14:editId="16AA9C94">
              <wp:simplePos x="0" y="0"/>
              <wp:positionH relativeFrom="page">
                <wp:align>center</wp:align>
              </wp:positionH>
              <wp:positionV relativeFrom="page">
                <wp:align>center</wp:align>
              </wp:positionV>
              <wp:extent cx="4964430" cy="1724025"/>
              <wp:effectExtent l="0" t="1517015" r="0" b="1521460"/>
              <wp:wrapNone/>
              <wp:docPr id="14554" name="Text Box 14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320305" id="_x0000_t202" coordsize="21600,21600" o:spt="202" path="m,l,21600r21600,l21600,xe">
              <v:stroke joinstyle="miter"/>
              <v:path gradientshapeok="t" o:connecttype="rect"/>
            </v:shapetype>
            <v:shape id="Text Box 14554" o:spid="_x0000_s1036" type="#_x0000_t202" style="position:absolute;left:0;text-align:left;margin-left:0;margin-top:0;width:390.9pt;height:135.75pt;rotation:-45;z-index:-251577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" filled="f" stroked="f">
              <o:lock v:ext="edit" shapetype="t"/>
              <v:textbox style="mso-fit-shape-to-text:t">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Default="00F318CA">
    <w:pPr>
      <w:pStyle w:val="Header"/>
    </w:pPr>
    <w:r>
      <w:rPr>
        <w:noProof/>
        <w:lang w:eastAsia="en-AU"/>
      </w:rPr>
      <mc:AlternateContent>
        <mc:Choice Requires="wps">
          <w:drawing>
            <wp:anchor distT="0" distB="0" distL="114300" distR="114300" simplePos="0" relativeHeight="251737088" behindDoc="1" locked="0" layoutInCell="1" allowOverlap="1" wp14:anchorId="2A45915D" wp14:editId="49E66E15">
              <wp:simplePos x="0" y="0"/>
              <wp:positionH relativeFrom="page">
                <wp:align>center</wp:align>
              </wp:positionH>
              <wp:positionV relativeFrom="page">
                <wp:align>center</wp:align>
              </wp:positionV>
              <wp:extent cx="4964430" cy="1724025"/>
              <wp:effectExtent l="0" t="1517015" r="0" b="1521460"/>
              <wp:wrapNone/>
              <wp:docPr id="14553" name="Text Box 14553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45915D" id="_x0000_t202" coordsize="21600,21600" o:spt="202" path="m,l,21600r21600,l21600,xe">
              <v:stroke joinstyle="miter"/>
              <v:path gradientshapeok="t" o:connecttype="rect"/>
            </v:shapetype>
            <v:shape id="Text Box 14553 KISDraft" o:spid="_x0000_s1037" type="#_x0000_t202" style="position:absolute;left:0;text-align:left;margin-left:0;margin-top:0;width:390.9pt;height:135.75pt;rotation:-45;z-index:-2515793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" filled="f" stroked="f">
              <o:lock v:ext="edit" shapetype="t"/>
              <v:textbox style="mso-fit-shape-to-text:t">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Default="00F318CA" w:rsidP="009E1E3F">
    <w:pPr>
      <w:pStyle w:val="Header"/>
      <w:jc w:val="center"/>
    </w:pPr>
  </w:p>
  <w:p w:rsidR="00F318CA" w:rsidRDefault="00F318CA" w:rsidP="007E78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Default="00F318CA">
    <w:pPr>
      <w:pStyle w:val="Header"/>
    </w:pPr>
    <w:r>
      <w:rPr>
        <w:noProof/>
        <w:lang w:eastAsia="en-AU"/>
      </w:rPr>
      <mc:AlternateContent>
        <mc:Choice Requires="wps">
          <w:drawing>
            <wp:anchor distT="0" distB="0" distL="114300" distR="114300" simplePos="0" relativeHeight="251716608" behindDoc="1" locked="0" layoutInCell="1" allowOverlap="1" wp14:anchorId="782B6F17" wp14:editId="3551BC7E">
              <wp:simplePos x="0" y="0"/>
              <wp:positionH relativeFrom="page">
                <wp:align>center</wp:align>
              </wp:positionH>
              <wp:positionV relativeFrom="page">
                <wp:align>center</wp:align>
              </wp:positionV>
              <wp:extent cx="4964430" cy="1724025"/>
              <wp:effectExtent l="0" t="1517015" r="0" b="1521460"/>
              <wp:wrapNone/>
              <wp:docPr id="14543" name="Text Box 14543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2B6F17" id="_x0000_t202" coordsize="21600,21600" o:spt="202" path="m,l,21600r21600,l21600,xe">
              <v:stroke joinstyle="miter"/>
              <v:path gradientshapeok="t" o:connecttype="rect"/>
            </v:shapetype>
            <v:shape id="Text Box 14543 KISDraft" o:spid="_x0000_s1031" type="#_x0000_t202" style="position:absolute;left:0;text-align:left;margin-left:0;margin-top:0;width:390.9pt;height:135.75pt;rotation:-45;z-index:-251599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" filled="f" stroked="f">
              <o:lock v:ext="edit" shapetype="t"/>
              <v:textbox style="mso-fit-shape-to-text:t">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Default="00F318CA">
    <w:pPr>
      <w:pStyle w:val="Header"/>
    </w:pPr>
    <w:r>
      <w:rPr>
        <w:noProof/>
        <w:lang w:eastAsia="en-AU"/>
      </w:rPr>
      <mc:AlternateContent>
        <mc:Choice Requires="wps">
          <w:drawing>
            <wp:anchor distT="0" distB="0" distL="114300" distR="114300" simplePos="0" relativeHeight="251724800" behindDoc="1" locked="0" layoutInCell="1" allowOverlap="1" wp14:anchorId="1BB9006C" wp14:editId="2351F020">
              <wp:simplePos x="0" y="0"/>
              <wp:positionH relativeFrom="page">
                <wp:align>center</wp:align>
              </wp:positionH>
              <wp:positionV relativeFrom="page">
                <wp:align>center</wp:align>
              </wp:positionV>
              <wp:extent cx="4964430" cy="1724025"/>
              <wp:effectExtent l="0" t="1517015" r="0" b="1521460"/>
              <wp:wrapNone/>
              <wp:docPr id="14547" name="Text Box 14547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B9006C" id="_x0000_t202" coordsize="21600,21600" o:spt="202" path="m,l,21600r21600,l21600,xe">
              <v:stroke joinstyle="miter"/>
              <v:path gradientshapeok="t" o:connecttype="rect"/>
            </v:shapetype>
            <v:shape id="Text Box 14547 KISDraft" o:spid="_x0000_s1032" type="#_x0000_t202" style="position:absolute;left:0;text-align:left;margin-left:0;margin-top:0;width:390.9pt;height:135.75pt;rotation:-45;z-index:-251591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" filled="f" stroked="f">
              <o:lock v:ext="edit" shapetype="t"/>
              <v:textbox style="mso-fit-shape-to-text:t">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Default="00F318CA" w:rsidP="007E78A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Default="00F318CA">
    <w:pPr>
      <w:pStyle w:val="Header"/>
    </w:pPr>
    <w:r>
      <w:rPr>
        <w:noProof/>
        <w:lang w:eastAsia="en-AU"/>
      </w:rPr>
      <mc:AlternateContent>
        <mc:Choice Requires="wps">
          <w:drawing>
            <wp:anchor distT="0" distB="0" distL="114300" distR="114300" simplePos="0" relativeHeight="251722752" behindDoc="1" locked="0" layoutInCell="1" allowOverlap="1" wp14:anchorId="3242ED74" wp14:editId="4C9C3655">
              <wp:simplePos x="0" y="0"/>
              <wp:positionH relativeFrom="page">
                <wp:align>center</wp:align>
              </wp:positionH>
              <wp:positionV relativeFrom="page">
                <wp:align>center</wp:align>
              </wp:positionV>
              <wp:extent cx="4964430" cy="1724025"/>
              <wp:effectExtent l="0" t="1517015" r="0" b="1521460"/>
              <wp:wrapNone/>
              <wp:docPr id="14546" name="Text Box 14546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42ED74" id="_x0000_t202" coordsize="21600,21600" o:spt="202" path="m,l,21600r21600,l21600,xe">
              <v:stroke joinstyle="miter"/>
              <v:path gradientshapeok="t" o:connecttype="rect"/>
            </v:shapetype>
            <v:shape id="Text Box 14546 KISDraft" o:spid="_x0000_s1033" type="#_x0000_t202" style="position:absolute;left:0;text-align:left;margin-left:0;margin-top:0;width:390.9pt;height:135.75pt;rotation:-45;z-index:-251593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" filled="f" stroked="f">
              <o:lock v:ext="edit" shapetype="t"/>
              <v:textbox style="mso-fit-shape-to-text:t">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Default="00F318CA">
    <w:pPr>
      <w:pStyle w:val="Header"/>
    </w:pPr>
    <w:r>
      <w:rPr>
        <w:noProof/>
        <w:lang w:eastAsia="en-AU"/>
      </w:rPr>
      <mc:AlternateContent>
        <mc:Choice Requires="wps">
          <w:drawing>
            <wp:anchor distT="0" distB="0" distL="114300" distR="114300" simplePos="0" relativeHeight="251730944" behindDoc="1" locked="0" layoutInCell="1" allowOverlap="1" wp14:anchorId="18647152" wp14:editId="605C0FBC">
              <wp:simplePos x="0" y="0"/>
              <wp:positionH relativeFrom="page">
                <wp:align>center</wp:align>
              </wp:positionH>
              <wp:positionV relativeFrom="page">
                <wp:align>center</wp:align>
              </wp:positionV>
              <wp:extent cx="4964430" cy="1724025"/>
              <wp:effectExtent l="0" t="1517015" r="0" b="1521460"/>
              <wp:wrapNone/>
              <wp:docPr id="14550" name="Text Box 14550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647152" id="_x0000_t202" coordsize="21600,21600" o:spt="202" path="m,l,21600r21600,l21600,xe">
              <v:stroke joinstyle="miter"/>
              <v:path gradientshapeok="t" o:connecttype="rect"/>
            </v:shapetype>
            <v:shape id="Text Box 14550 KISDraft" o:spid="_x0000_s1034" type="#_x0000_t202" style="position:absolute;left:0;text-align:left;margin-left:0;margin-top:0;width:390.9pt;height:135.75pt;rotation:-45;z-index:-2515855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" filled="f" stroked="f">
              <o:lock v:ext="edit" shapetype="t"/>
              <v:textbox style="mso-fit-shape-to-text:t">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Pr="002A68D2" w:rsidRDefault="00F318CA" w:rsidP="0093030E">
    <w:pPr>
      <w:pStyle w:val="Header"/>
      <w:rPr>
        <w:noProof/>
        <w:lang w:eastAsia="en-AU"/>
      </w:rPr>
    </w:pPr>
    <w:r w:rsidRPr="009E0749">
      <w:rPr>
        <w:noProof/>
        <w:lang w:eastAsia="en-AU"/>
      </w:rPr>
      <w:t xml:space="preserve"> </w:t>
    </w:r>
    <w:r>
      <w:rPr>
        <w:noProof/>
        <w:lang w:eastAsia="en-AU"/>
      </w:rPr>
      <w:t xml:space="preserve">Prevalence </w:t>
    </w:r>
    <w:r w:rsidRPr="009F1F87">
      <w:t>Study</w:t>
    </w:r>
    <w:r>
      <w:rPr>
        <w:noProof/>
        <w:lang w:eastAsia="en-AU"/>
      </w:rPr>
      <w:t xml:space="preserve"> for a SIRS</w:t>
    </w:r>
    <w:r w:rsidRPr="002A68D2">
      <w:rPr>
        <w:noProof/>
        <w:lang w:eastAsia="en-AU"/>
      </w:rPr>
      <w:t xml:space="preserve"> </w:t>
    </w:r>
  </w:p>
  <w:p w:rsidR="00F318CA" w:rsidRPr="00A61795" w:rsidRDefault="00F318CA" w:rsidP="0093030E">
    <w:pPr>
      <w:pStyle w:val="Header"/>
    </w:pPr>
    <w:r w:rsidRPr="0093030E">
      <w:t>Final</w:t>
    </w:r>
    <w:r>
      <w:t xml:space="preserve"> Report</w:t>
    </w:r>
  </w:p>
  <w:p w:rsidR="00F318CA" w:rsidRDefault="00F318CA" w:rsidP="007E78AD">
    <w:pPr>
      <w:pStyle w:val="Header"/>
    </w:pPr>
    <w:r>
      <w:t>November 2019</w:t>
    </w:r>
  </w:p>
  <w:p w:rsidR="00F318CA" w:rsidRDefault="00F318CA" w:rsidP="007E78AD">
    <w:pPr>
      <w:pStyle w:val="Header"/>
    </w:pPr>
  </w:p>
  <w:p w:rsidR="00F318CA" w:rsidRDefault="00F318CA" w:rsidP="007E78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Default="00F318CA">
    <w:pPr>
      <w:pStyle w:val="Header"/>
    </w:pPr>
    <w:r>
      <w:rPr>
        <w:noProof/>
        <w:lang w:eastAsia="en-AU"/>
      </w:rPr>
      <mc:AlternateContent>
        <mc:Choice Requires="wps">
          <w:drawing>
            <wp:anchor distT="0" distB="0" distL="114300" distR="114300" simplePos="0" relativeHeight="251728896" behindDoc="1" locked="0" layoutInCell="1" allowOverlap="1" wp14:anchorId="0D7C7A22" wp14:editId="7B661429">
              <wp:simplePos x="0" y="0"/>
              <wp:positionH relativeFrom="page">
                <wp:align>center</wp:align>
              </wp:positionH>
              <wp:positionV relativeFrom="page">
                <wp:align>center</wp:align>
              </wp:positionV>
              <wp:extent cx="4964430" cy="1724025"/>
              <wp:effectExtent l="0" t="1517015" r="0" b="1521460"/>
              <wp:wrapNone/>
              <wp:docPr id="14549" name="Text Box 14549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7C7A22" id="_x0000_t202" coordsize="21600,21600" o:spt="202" path="m,l,21600r21600,l21600,xe">
              <v:stroke joinstyle="miter"/>
              <v:path gradientshapeok="t" o:connecttype="rect"/>
            </v:shapetype>
            <v:shape id="Text Box 14549 KISDraft" o:spid="_x0000_s1035" type="#_x0000_t202" style="position:absolute;left:0;text-align:left;margin-left:0;margin-top:0;width:390.9pt;height:135.75pt;rotation:-45;z-index:-251587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" filled="f" stroked="f">
              <o:lock v:ext="edit" shapetype="t"/>
              <v:textbox style="mso-fit-shape-to-text:t">
                <w:txbxContent>
                  <w:p w:rsidR="00F318CA" w:rsidRDefault="00F318CA" w:rsidP="00D01C60">
                    <w:pPr>
                      <w:pStyle w:val="NormalWeb"/>
                      <w:spacing w:before="0" w:beforeAutospacing="0" w:after="0" w:afterAutospacing="0"/>
                      <w:jc w:val="cente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CA" w:rsidRPr="002A68D2" w:rsidRDefault="00F318CA" w:rsidP="0093030E">
    <w:pPr>
      <w:pStyle w:val="Header"/>
      <w:rPr>
        <w:noProof/>
        <w:lang w:eastAsia="en-AU"/>
      </w:rPr>
    </w:pPr>
    <w:r w:rsidRPr="009E0749">
      <w:rPr>
        <w:noProof/>
        <w:lang w:eastAsia="en-AU"/>
      </w:rPr>
      <w:t xml:space="preserve"> </w:t>
    </w:r>
    <w:r>
      <w:rPr>
        <w:noProof/>
        <w:lang w:eastAsia="en-AU"/>
      </w:rPr>
      <w:t xml:space="preserve">Prevalence </w:t>
    </w:r>
    <w:r w:rsidRPr="009F1F87">
      <w:t>Study</w:t>
    </w:r>
    <w:r>
      <w:rPr>
        <w:noProof/>
        <w:lang w:eastAsia="en-AU"/>
      </w:rPr>
      <w:t xml:space="preserve"> for a SIRS</w:t>
    </w:r>
    <w:r w:rsidRPr="002A68D2">
      <w:rPr>
        <w:noProof/>
        <w:lang w:eastAsia="en-AU"/>
      </w:rPr>
      <w:t xml:space="preserve"> </w:t>
    </w:r>
  </w:p>
  <w:p w:rsidR="00F318CA" w:rsidRPr="00A61795" w:rsidRDefault="00F318CA" w:rsidP="0093030E">
    <w:pPr>
      <w:pStyle w:val="Header"/>
    </w:pPr>
    <w:r w:rsidRPr="0093030E">
      <w:t>Final</w:t>
    </w:r>
    <w:r>
      <w:t xml:space="preserve"> Report</w:t>
    </w:r>
  </w:p>
  <w:p w:rsidR="00F318CA" w:rsidRDefault="00B078F7" w:rsidP="00B078F7">
    <w:pPr>
      <w:pStyle w:val="Header"/>
      <w:spacing w:after="600"/>
    </w:pPr>
    <w:r>
      <w:t>November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329AC82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5AA5F08"/>
    <w:lvl w:ilvl="0">
      <w:start w:val="1"/>
      <w:numFmt w:val="bullet"/>
      <w:pStyle w:val="ListBullet2"/>
      <w:lvlText w:val="-"/>
      <w:lvlJc w:val="left"/>
      <w:pPr>
        <w:tabs>
          <w:tab w:val="num" w:pos="697"/>
        </w:tabs>
        <w:ind w:left="697" w:hanging="340"/>
      </w:pPr>
      <w:rPr>
        <w:rFonts w:ascii="9999999" w:hAnsi="9999999" w:cs="Courier New" w:hint="default"/>
      </w:rPr>
    </w:lvl>
  </w:abstractNum>
  <w:abstractNum w:abstractNumId="2" w15:restartNumberingAfterBreak="0">
    <w:nsid w:val="FFFFFF89"/>
    <w:multiLevelType w:val="singleLevel"/>
    <w:tmpl w:val="71543BDE"/>
    <w:lvl w:ilvl="0">
      <w:start w:val="1"/>
      <w:numFmt w:val="bullet"/>
      <w:pStyle w:val="ListBullet"/>
      <w:lvlText w:val=""/>
      <w:lvlJc w:val="left"/>
      <w:pPr>
        <w:tabs>
          <w:tab w:val="num" w:pos="482"/>
        </w:tabs>
        <w:ind w:left="482" w:hanging="340"/>
      </w:pPr>
      <w:rPr>
        <w:rFonts w:ascii="Symbol" w:hAnsi="Symbol" w:hint="default"/>
        <w:color w:val="auto"/>
        <w:sz w:val="22"/>
      </w:rPr>
    </w:lvl>
  </w:abstractNum>
  <w:abstractNum w:abstractNumId="3" w15:restartNumberingAfterBreak="0">
    <w:nsid w:val="0BAF59A8"/>
    <w:multiLevelType w:val="singleLevel"/>
    <w:tmpl w:val="91BC7E84"/>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EE238E1"/>
    <w:multiLevelType w:val="hybridMultilevel"/>
    <w:tmpl w:val="BF6C4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E162C5"/>
    <w:multiLevelType w:val="singleLevel"/>
    <w:tmpl w:val="B1E41EA0"/>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1607363C"/>
    <w:multiLevelType w:val="singleLevel"/>
    <w:tmpl w:val="0E38E60E"/>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183E36D2"/>
    <w:multiLevelType w:val="singleLevel"/>
    <w:tmpl w:val="F4FCF96C"/>
    <w:lvl w:ilvl="0">
      <w:start w:val="1"/>
      <w:numFmt w:val="bullet"/>
      <w:lvlText w:val=""/>
      <w:lvlJc w:val="left"/>
      <w:pPr>
        <w:tabs>
          <w:tab w:val="num" w:pos="340"/>
        </w:tabs>
        <w:ind w:left="340" w:hanging="340"/>
      </w:pPr>
      <w:rPr>
        <w:rFonts w:ascii="Symbol" w:hAnsi="Symbol" w:hint="default"/>
        <w:color w:val="auto"/>
        <w:sz w:val="22"/>
      </w:rPr>
    </w:lvl>
  </w:abstractNum>
  <w:abstractNum w:abstractNumId="8" w15:restartNumberingAfterBreak="0">
    <w:nsid w:val="1C6D4A54"/>
    <w:multiLevelType w:val="hybridMultilevel"/>
    <w:tmpl w:val="7F64C2CE"/>
    <w:lvl w:ilvl="0" w:tplc="D1205D2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286DF9"/>
    <w:multiLevelType w:val="singleLevel"/>
    <w:tmpl w:val="8DC2BF80"/>
    <w:lvl w:ilvl="0">
      <w:start w:val="1"/>
      <w:numFmt w:val="bullet"/>
      <w:lvlText w:val=""/>
      <w:lvlJc w:val="left"/>
      <w:pPr>
        <w:tabs>
          <w:tab w:val="num" w:pos="340"/>
        </w:tabs>
        <w:ind w:left="340" w:hanging="340"/>
      </w:pPr>
      <w:rPr>
        <w:rFonts w:ascii="Symbol" w:hAnsi="Symbol" w:hint="default"/>
        <w:color w:val="auto"/>
        <w:sz w:val="22"/>
      </w:rPr>
    </w:lvl>
  </w:abstractNum>
  <w:abstractNum w:abstractNumId="10" w15:restartNumberingAfterBreak="0">
    <w:nsid w:val="21644034"/>
    <w:multiLevelType w:val="hybridMultilevel"/>
    <w:tmpl w:val="9B3E43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8C412A"/>
    <w:multiLevelType w:val="hybridMultilevel"/>
    <w:tmpl w:val="60F2B00A"/>
    <w:lvl w:ilvl="0" w:tplc="0C090001">
      <w:start w:val="1"/>
      <w:numFmt w:val="bullet"/>
      <w:lvlText w:val=""/>
      <w:lvlJc w:val="left"/>
      <w:pPr>
        <w:tabs>
          <w:tab w:val="num" w:pos="720"/>
        </w:tabs>
        <w:ind w:left="720" w:hanging="360"/>
      </w:pPr>
      <w:rPr>
        <w:rFonts w:ascii="Symbol" w:hAnsi="Symbol" w:hint="default"/>
      </w:rPr>
    </w:lvl>
    <w:lvl w:ilvl="1" w:tplc="5E90534C">
      <w:start w:val="1"/>
      <w:numFmt w:val="bullet"/>
      <w:lvlText w:val="o"/>
      <w:lvlJc w:val="left"/>
      <w:pPr>
        <w:ind w:left="1800" w:hanging="720"/>
      </w:pPr>
      <w:rPr>
        <w:rFonts w:ascii="Courier New" w:hAnsi="Courier New" w:hint="default"/>
        <w:sz w:val="20"/>
      </w:rPr>
    </w:lvl>
    <w:lvl w:ilvl="2" w:tplc="2304A2CE" w:tentative="1">
      <w:start w:val="1"/>
      <w:numFmt w:val="bullet"/>
      <w:lvlText w:val="•"/>
      <w:lvlJc w:val="left"/>
      <w:pPr>
        <w:tabs>
          <w:tab w:val="num" w:pos="2160"/>
        </w:tabs>
        <w:ind w:left="2160" w:hanging="360"/>
      </w:pPr>
      <w:rPr>
        <w:rFonts w:ascii="Arial" w:hAnsi="Arial" w:hint="default"/>
      </w:rPr>
    </w:lvl>
    <w:lvl w:ilvl="3" w:tplc="600418A8" w:tentative="1">
      <w:start w:val="1"/>
      <w:numFmt w:val="bullet"/>
      <w:lvlText w:val="•"/>
      <w:lvlJc w:val="left"/>
      <w:pPr>
        <w:tabs>
          <w:tab w:val="num" w:pos="2880"/>
        </w:tabs>
        <w:ind w:left="2880" w:hanging="360"/>
      </w:pPr>
      <w:rPr>
        <w:rFonts w:ascii="Arial" w:hAnsi="Arial" w:hint="default"/>
      </w:rPr>
    </w:lvl>
    <w:lvl w:ilvl="4" w:tplc="337A2BCC" w:tentative="1">
      <w:start w:val="1"/>
      <w:numFmt w:val="bullet"/>
      <w:lvlText w:val="•"/>
      <w:lvlJc w:val="left"/>
      <w:pPr>
        <w:tabs>
          <w:tab w:val="num" w:pos="3600"/>
        </w:tabs>
        <w:ind w:left="3600" w:hanging="360"/>
      </w:pPr>
      <w:rPr>
        <w:rFonts w:ascii="Arial" w:hAnsi="Arial" w:hint="default"/>
      </w:rPr>
    </w:lvl>
    <w:lvl w:ilvl="5" w:tplc="87AC4478" w:tentative="1">
      <w:start w:val="1"/>
      <w:numFmt w:val="bullet"/>
      <w:lvlText w:val="•"/>
      <w:lvlJc w:val="left"/>
      <w:pPr>
        <w:tabs>
          <w:tab w:val="num" w:pos="4320"/>
        </w:tabs>
        <w:ind w:left="4320" w:hanging="360"/>
      </w:pPr>
      <w:rPr>
        <w:rFonts w:ascii="Arial" w:hAnsi="Arial" w:hint="default"/>
      </w:rPr>
    </w:lvl>
    <w:lvl w:ilvl="6" w:tplc="0124FD14" w:tentative="1">
      <w:start w:val="1"/>
      <w:numFmt w:val="bullet"/>
      <w:lvlText w:val="•"/>
      <w:lvlJc w:val="left"/>
      <w:pPr>
        <w:tabs>
          <w:tab w:val="num" w:pos="5040"/>
        </w:tabs>
        <w:ind w:left="5040" w:hanging="360"/>
      </w:pPr>
      <w:rPr>
        <w:rFonts w:ascii="Arial" w:hAnsi="Arial" w:hint="default"/>
      </w:rPr>
    </w:lvl>
    <w:lvl w:ilvl="7" w:tplc="8E109D66" w:tentative="1">
      <w:start w:val="1"/>
      <w:numFmt w:val="bullet"/>
      <w:lvlText w:val="•"/>
      <w:lvlJc w:val="left"/>
      <w:pPr>
        <w:tabs>
          <w:tab w:val="num" w:pos="5760"/>
        </w:tabs>
        <w:ind w:left="5760" w:hanging="360"/>
      </w:pPr>
      <w:rPr>
        <w:rFonts w:ascii="Arial" w:hAnsi="Arial" w:hint="default"/>
      </w:rPr>
    </w:lvl>
    <w:lvl w:ilvl="8" w:tplc="C64A85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C72E2C"/>
    <w:multiLevelType w:val="singleLevel"/>
    <w:tmpl w:val="88D86490"/>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276630AF"/>
    <w:multiLevelType w:val="singleLevel"/>
    <w:tmpl w:val="2D7406BA"/>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27F808D7"/>
    <w:multiLevelType w:val="singleLevel"/>
    <w:tmpl w:val="3FB2F57C"/>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2AB816C5"/>
    <w:multiLevelType w:val="hybridMultilevel"/>
    <w:tmpl w:val="A16055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1D03DA2"/>
    <w:multiLevelType w:val="multilevel"/>
    <w:tmpl w:val="145C8906"/>
    <w:lvl w:ilvl="0">
      <w:start w:val="1"/>
      <w:numFmt w:val="decimal"/>
      <w:lvlText w:val="%1."/>
      <w:lvlJc w:val="left"/>
      <w:pPr>
        <w:tabs>
          <w:tab w:val="num" w:pos="340"/>
        </w:tabs>
        <w:ind w:left="340" w:hanging="340"/>
      </w:pPr>
      <w:rPr>
        <w:rFonts w:ascii="Univers 45 Light" w:hAnsi="Univers 45 Light" w:hint="default"/>
        <w:b w:val="0"/>
        <w:i w:val="0"/>
        <w:sz w:val="20"/>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7" w15:restartNumberingAfterBreak="0">
    <w:nsid w:val="32313A71"/>
    <w:multiLevelType w:val="hybridMultilevel"/>
    <w:tmpl w:val="88A259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F61997"/>
    <w:multiLevelType w:val="multilevel"/>
    <w:tmpl w:val="4756084E"/>
    <w:lvl w:ilvl="0">
      <w:start w:val="1"/>
      <w:numFmt w:val="decimal"/>
      <w:pStyle w:val="Heading1"/>
      <w:lvlText w:val="%1"/>
      <w:lvlJc w:val="left"/>
      <w:pPr>
        <w:tabs>
          <w:tab w:val="num" w:pos="964"/>
        </w:tabs>
        <w:ind w:left="964" w:hanging="964"/>
      </w:pPr>
      <w:rPr>
        <w:rFonts w:hint="default"/>
      </w:rPr>
    </w:lvl>
    <w:lvl w:ilvl="1">
      <w:start w:val="1"/>
      <w:numFmt w:val="decimal"/>
      <w:pStyle w:val="Heading2"/>
      <w:lvlText w:val="%1.%2"/>
      <w:lvlJc w:val="left"/>
      <w:pPr>
        <w:tabs>
          <w:tab w:val="num" w:pos="964"/>
        </w:tabs>
        <w:ind w:left="964" w:hanging="964"/>
      </w:pPr>
      <w:rPr>
        <w:rFonts w:hint="default"/>
      </w:rPr>
    </w:lvl>
    <w:lvl w:ilvl="2">
      <w:start w:val="1"/>
      <w:numFmt w:val="decimal"/>
      <w:pStyle w:val="Heading3"/>
      <w:lvlText w:val="%1.%2.%3"/>
      <w:lvlJc w:val="left"/>
      <w:pPr>
        <w:tabs>
          <w:tab w:val="num" w:pos="964"/>
        </w:tabs>
        <w:ind w:left="964" w:hanging="964"/>
      </w:pPr>
      <w:rPr>
        <w:rFonts w:hint="default"/>
      </w:rPr>
    </w:lvl>
    <w:lvl w:ilvl="3">
      <w:start w:val="1"/>
      <w:numFmt w:val="decimal"/>
      <w:lvlText w:val="%1.%2.%3.%4"/>
      <w:lvlJc w:val="left"/>
      <w:pPr>
        <w:tabs>
          <w:tab w:val="num" w:pos="964"/>
        </w:tabs>
        <w:ind w:left="964" w:hanging="964"/>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9" w15:restartNumberingAfterBreak="0">
    <w:nsid w:val="357F166A"/>
    <w:multiLevelType w:val="multilevel"/>
    <w:tmpl w:val="CCD48FF2"/>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7F8628B"/>
    <w:multiLevelType w:val="singleLevel"/>
    <w:tmpl w:val="287C9908"/>
    <w:lvl w:ilvl="0">
      <w:start w:val="1"/>
      <w:numFmt w:val="bullet"/>
      <w:lvlText w:val=""/>
      <w:lvlJc w:val="left"/>
      <w:pPr>
        <w:tabs>
          <w:tab w:val="num" w:pos="340"/>
        </w:tabs>
        <w:ind w:left="340" w:hanging="340"/>
      </w:pPr>
      <w:rPr>
        <w:rFonts w:ascii="Symbol" w:hAnsi="Symbol" w:hint="default"/>
        <w:color w:val="auto"/>
        <w:sz w:val="22"/>
      </w:rPr>
    </w:lvl>
  </w:abstractNum>
  <w:abstractNum w:abstractNumId="21" w15:restartNumberingAfterBreak="0">
    <w:nsid w:val="39355F83"/>
    <w:multiLevelType w:val="hybridMultilevel"/>
    <w:tmpl w:val="F45626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BD34954"/>
    <w:multiLevelType w:val="hybridMultilevel"/>
    <w:tmpl w:val="FFFAAB60"/>
    <w:lvl w:ilvl="0" w:tplc="BA30461C">
      <w:start w:val="1"/>
      <w:numFmt w:val="bullet"/>
      <w:pStyle w:val="CVbullet2"/>
      <w:lvlText w:val="–"/>
      <w:lvlJc w:val="left"/>
      <w:pPr>
        <w:ind w:left="360" w:hanging="360"/>
      </w:pPr>
      <w:rPr>
        <w:rFonts w:ascii="Univers 45 Light" w:hAnsi="Univers 45 Light" w:hint="default"/>
        <w:color w:val="auto"/>
        <w:sz w:val="22"/>
      </w:rPr>
    </w:lvl>
    <w:lvl w:ilvl="1" w:tplc="1E0E701A" w:tentative="1">
      <w:start w:val="1"/>
      <w:numFmt w:val="bullet"/>
      <w:lvlText w:val="o"/>
      <w:lvlJc w:val="left"/>
      <w:pPr>
        <w:ind w:left="1080" w:hanging="360"/>
      </w:pPr>
      <w:rPr>
        <w:rFonts w:ascii="Courier New" w:hAnsi="Courier New" w:cs="Courier New" w:hint="default"/>
      </w:rPr>
    </w:lvl>
    <w:lvl w:ilvl="2" w:tplc="0298E8B4" w:tentative="1">
      <w:start w:val="1"/>
      <w:numFmt w:val="bullet"/>
      <w:lvlText w:val=""/>
      <w:lvlJc w:val="left"/>
      <w:pPr>
        <w:ind w:left="1800" w:hanging="360"/>
      </w:pPr>
      <w:rPr>
        <w:rFonts w:ascii="Wingdings" w:hAnsi="Wingdings" w:hint="default"/>
      </w:rPr>
    </w:lvl>
    <w:lvl w:ilvl="3" w:tplc="FECEBEDA" w:tentative="1">
      <w:start w:val="1"/>
      <w:numFmt w:val="bullet"/>
      <w:lvlText w:val=""/>
      <w:lvlJc w:val="left"/>
      <w:pPr>
        <w:ind w:left="2520" w:hanging="360"/>
      </w:pPr>
      <w:rPr>
        <w:rFonts w:ascii="Symbol" w:hAnsi="Symbol" w:hint="default"/>
      </w:rPr>
    </w:lvl>
    <w:lvl w:ilvl="4" w:tplc="5DEECB56" w:tentative="1">
      <w:start w:val="1"/>
      <w:numFmt w:val="bullet"/>
      <w:lvlText w:val="o"/>
      <w:lvlJc w:val="left"/>
      <w:pPr>
        <w:ind w:left="3240" w:hanging="360"/>
      </w:pPr>
      <w:rPr>
        <w:rFonts w:ascii="Courier New" w:hAnsi="Courier New" w:cs="Courier New" w:hint="default"/>
      </w:rPr>
    </w:lvl>
    <w:lvl w:ilvl="5" w:tplc="40FEDF0C" w:tentative="1">
      <w:start w:val="1"/>
      <w:numFmt w:val="bullet"/>
      <w:lvlText w:val=""/>
      <w:lvlJc w:val="left"/>
      <w:pPr>
        <w:ind w:left="3960" w:hanging="360"/>
      </w:pPr>
      <w:rPr>
        <w:rFonts w:ascii="Wingdings" w:hAnsi="Wingdings" w:hint="default"/>
      </w:rPr>
    </w:lvl>
    <w:lvl w:ilvl="6" w:tplc="71B0036C" w:tentative="1">
      <w:start w:val="1"/>
      <w:numFmt w:val="bullet"/>
      <w:lvlText w:val=""/>
      <w:lvlJc w:val="left"/>
      <w:pPr>
        <w:ind w:left="4680" w:hanging="360"/>
      </w:pPr>
      <w:rPr>
        <w:rFonts w:ascii="Symbol" w:hAnsi="Symbol" w:hint="default"/>
      </w:rPr>
    </w:lvl>
    <w:lvl w:ilvl="7" w:tplc="A14C5DD6" w:tentative="1">
      <w:start w:val="1"/>
      <w:numFmt w:val="bullet"/>
      <w:lvlText w:val="o"/>
      <w:lvlJc w:val="left"/>
      <w:pPr>
        <w:ind w:left="5400" w:hanging="360"/>
      </w:pPr>
      <w:rPr>
        <w:rFonts w:ascii="Courier New" w:hAnsi="Courier New" w:cs="Courier New" w:hint="default"/>
      </w:rPr>
    </w:lvl>
    <w:lvl w:ilvl="8" w:tplc="46DA77AE" w:tentative="1">
      <w:start w:val="1"/>
      <w:numFmt w:val="bullet"/>
      <w:lvlText w:val=""/>
      <w:lvlJc w:val="left"/>
      <w:pPr>
        <w:ind w:left="6120" w:hanging="360"/>
      </w:pPr>
      <w:rPr>
        <w:rFonts w:ascii="Wingdings" w:hAnsi="Wingdings" w:hint="default"/>
      </w:rPr>
    </w:lvl>
  </w:abstractNum>
  <w:abstractNum w:abstractNumId="23" w15:restartNumberingAfterBreak="0">
    <w:nsid w:val="3C2933E5"/>
    <w:multiLevelType w:val="hybridMultilevel"/>
    <w:tmpl w:val="D6CA7B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121B2E"/>
    <w:multiLevelType w:val="singleLevel"/>
    <w:tmpl w:val="5A92EFF0"/>
    <w:lvl w:ilvl="0">
      <w:start w:val="1"/>
      <w:numFmt w:val="bullet"/>
      <w:lvlText w:val=""/>
      <w:lvlJc w:val="left"/>
      <w:pPr>
        <w:tabs>
          <w:tab w:val="num" w:pos="340"/>
        </w:tabs>
        <w:ind w:left="340" w:hanging="340"/>
      </w:pPr>
      <w:rPr>
        <w:rFonts w:ascii="Symbol" w:hAnsi="Symbol" w:hint="default"/>
        <w:color w:val="auto"/>
        <w:sz w:val="22"/>
      </w:rPr>
    </w:lvl>
  </w:abstractNum>
  <w:abstractNum w:abstractNumId="25" w15:restartNumberingAfterBreak="0">
    <w:nsid w:val="40780831"/>
    <w:multiLevelType w:val="singleLevel"/>
    <w:tmpl w:val="F51826EC"/>
    <w:lvl w:ilvl="0">
      <w:start w:val="1"/>
      <w:numFmt w:val="bullet"/>
      <w:lvlText w:val=""/>
      <w:lvlJc w:val="left"/>
      <w:pPr>
        <w:tabs>
          <w:tab w:val="num" w:pos="340"/>
        </w:tabs>
        <w:ind w:left="340" w:hanging="340"/>
      </w:pPr>
      <w:rPr>
        <w:rFonts w:ascii="Symbol" w:hAnsi="Symbol" w:hint="default"/>
        <w:color w:val="auto"/>
        <w:sz w:val="22"/>
      </w:rPr>
    </w:lvl>
  </w:abstractNum>
  <w:abstractNum w:abstractNumId="26" w15:restartNumberingAfterBreak="0">
    <w:nsid w:val="41BE5699"/>
    <w:multiLevelType w:val="singleLevel"/>
    <w:tmpl w:val="A1E65C54"/>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41DB3BBE"/>
    <w:multiLevelType w:val="singleLevel"/>
    <w:tmpl w:val="452E65BE"/>
    <w:lvl w:ilvl="0">
      <w:start w:val="1"/>
      <w:numFmt w:val="bullet"/>
      <w:lvlText w:val=""/>
      <w:lvlJc w:val="left"/>
      <w:pPr>
        <w:tabs>
          <w:tab w:val="num" w:pos="340"/>
        </w:tabs>
        <w:ind w:left="340" w:hanging="340"/>
      </w:pPr>
      <w:rPr>
        <w:rFonts w:ascii="Symbol" w:hAnsi="Symbol" w:hint="default"/>
        <w:color w:val="auto"/>
        <w:sz w:val="22"/>
      </w:rPr>
    </w:lvl>
  </w:abstractNum>
  <w:abstractNum w:abstractNumId="28" w15:restartNumberingAfterBreak="0">
    <w:nsid w:val="44937B98"/>
    <w:multiLevelType w:val="hybridMultilevel"/>
    <w:tmpl w:val="7C52C0E8"/>
    <w:lvl w:ilvl="0" w:tplc="071C08F4">
      <w:start w:val="1"/>
      <w:numFmt w:val="bullet"/>
      <w:pStyle w:val="Bullet1stleve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FF1B45"/>
    <w:multiLevelType w:val="hybridMultilevel"/>
    <w:tmpl w:val="BA0CD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71D65CE"/>
    <w:multiLevelType w:val="singleLevel"/>
    <w:tmpl w:val="43B85118"/>
    <w:lvl w:ilvl="0">
      <w:start w:val="1"/>
      <w:numFmt w:val="bullet"/>
      <w:lvlText w:val=""/>
      <w:lvlJc w:val="left"/>
      <w:pPr>
        <w:tabs>
          <w:tab w:val="num" w:pos="340"/>
        </w:tabs>
        <w:ind w:left="340" w:hanging="340"/>
      </w:pPr>
      <w:rPr>
        <w:rFonts w:ascii="Symbol" w:hAnsi="Symbol" w:hint="default"/>
        <w:color w:val="auto"/>
        <w:sz w:val="22"/>
      </w:rPr>
    </w:lvl>
  </w:abstractNum>
  <w:abstractNum w:abstractNumId="31" w15:restartNumberingAfterBreak="0">
    <w:nsid w:val="4C830B73"/>
    <w:multiLevelType w:val="hybridMultilevel"/>
    <w:tmpl w:val="B5224CDA"/>
    <w:lvl w:ilvl="0" w:tplc="EAB4C1FC">
      <w:start w:val="1"/>
      <w:numFmt w:val="decimal"/>
      <w:pStyle w:val="Numberbullet2ndlevel"/>
      <w:lvlText w:val="%1)"/>
      <w:lvlJc w:val="left"/>
      <w:pPr>
        <w:ind w:left="720" w:hanging="360"/>
      </w:pPr>
    </w:lvl>
    <w:lvl w:ilvl="1" w:tplc="57304F80" w:tentative="1">
      <w:start w:val="1"/>
      <w:numFmt w:val="lowerLetter"/>
      <w:lvlText w:val="%2."/>
      <w:lvlJc w:val="left"/>
      <w:pPr>
        <w:ind w:left="1440" w:hanging="360"/>
      </w:pPr>
    </w:lvl>
    <w:lvl w:ilvl="2" w:tplc="38EAD576" w:tentative="1">
      <w:start w:val="1"/>
      <w:numFmt w:val="lowerRoman"/>
      <w:lvlText w:val="%3."/>
      <w:lvlJc w:val="right"/>
      <w:pPr>
        <w:ind w:left="2160" w:hanging="180"/>
      </w:pPr>
    </w:lvl>
    <w:lvl w:ilvl="3" w:tplc="B8BCB97C" w:tentative="1">
      <w:start w:val="1"/>
      <w:numFmt w:val="decimal"/>
      <w:lvlText w:val="%4."/>
      <w:lvlJc w:val="left"/>
      <w:pPr>
        <w:ind w:left="2880" w:hanging="360"/>
      </w:pPr>
    </w:lvl>
    <w:lvl w:ilvl="4" w:tplc="6A3A961A" w:tentative="1">
      <w:start w:val="1"/>
      <w:numFmt w:val="lowerLetter"/>
      <w:lvlText w:val="%5."/>
      <w:lvlJc w:val="left"/>
      <w:pPr>
        <w:ind w:left="3600" w:hanging="360"/>
      </w:pPr>
    </w:lvl>
    <w:lvl w:ilvl="5" w:tplc="FC54AA70" w:tentative="1">
      <w:start w:val="1"/>
      <w:numFmt w:val="lowerRoman"/>
      <w:lvlText w:val="%6."/>
      <w:lvlJc w:val="right"/>
      <w:pPr>
        <w:ind w:left="4320" w:hanging="180"/>
      </w:pPr>
    </w:lvl>
    <w:lvl w:ilvl="6" w:tplc="238E67E8" w:tentative="1">
      <w:start w:val="1"/>
      <w:numFmt w:val="decimal"/>
      <w:lvlText w:val="%7."/>
      <w:lvlJc w:val="left"/>
      <w:pPr>
        <w:ind w:left="5040" w:hanging="360"/>
      </w:pPr>
    </w:lvl>
    <w:lvl w:ilvl="7" w:tplc="AC8E6DA4" w:tentative="1">
      <w:start w:val="1"/>
      <w:numFmt w:val="lowerLetter"/>
      <w:lvlText w:val="%8."/>
      <w:lvlJc w:val="left"/>
      <w:pPr>
        <w:ind w:left="5760" w:hanging="360"/>
      </w:pPr>
    </w:lvl>
    <w:lvl w:ilvl="8" w:tplc="843468EC" w:tentative="1">
      <w:start w:val="1"/>
      <w:numFmt w:val="lowerRoman"/>
      <w:lvlText w:val="%9."/>
      <w:lvlJc w:val="right"/>
      <w:pPr>
        <w:ind w:left="6480" w:hanging="180"/>
      </w:pPr>
    </w:lvl>
  </w:abstractNum>
  <w:abstractNum w:abstractNumId="32" w15:restartNumberingAfterBreak="0">
    <w:nsid w:val="4CB15F42"/>
    <w:multiLevelType w:val="singleLevel"/>
    <w:tmpl w:val="1E421DEE"/>
    <w:lvl w:ilvl="0">
      <w:start w:val="1"/>
      <w:numFmt w:val="bullet"/>
      <w:lvlText w:val=""/>
      <w:lvlJc w:val="left"/>
      <w:pPr>
        <w:tabs>
          <w:tab w:val="num" w:pos="340"/>
        </w:tabs>
        <w:ind w:left="340" w:hanging="340"/>
      </w:pPr>
      <w:rPr>
        <w:rFonts w:ascii="Symbol" w:hAnsi="Symbol" w:hint="default"/>
        <w:color w:val="auto"/>
        <w:sz w:val="22"/>
      </w:rPr>
    </w:lvl>
  </w:abstractNum>
  <w:abstractNum w:abstractNumId="33" w15:restartNumberingAfterBreak="0">
    <w:nsid w:val="4FE42443"/>
    <w:multiLevelType w:val="singleLevel"/>
    <w:tmpl w:val="087AB26E"/>
    <w:lvl w:ilvl="0">
      <w:start w:val="1"/>
      <w:numFmt w:val="bullet"/>
      <w:lvlText w:val=""/>
      <w:lvlJc w:val="left"/>
      <w:pPr>
        <w:tabs>
          <w:tab w:val="num" w:pos="340"/>
        </w:tabs>
        <w:ind w:left="340" w:hanging="340"/>
      </w:pPr>
      <w:rPr>
        <w:rFonts w:ascii="Symbol" w:hAnsi="Symbol" w:hint="default"/>
        <w:color w:val="auto"/>
        <w:sz w:val="22"/>
      </w:rPr>
    </w:lvl>
  </w:abstractNum>
  <w:abstractNum w:abstractNumId="34" w15:restartNumberingAfterBreak="0">
    <w:nsid w:val="51963B86"/>
    <w:multiLevelType w:val="singleLevel"/>
    <w:tmpl w:val="009A538C"/>
    <w:lvl w:ilvl="0">
      <w:start w:val="1"/>
      <w:numFmt w:val="bullet"/>
      <w:lvlText w:val=""/>
      <w:lvlJc w:val="left"/>
      <w:pPr>
        <w:tabs>
          <w:tab w:val="num" w:pos="340"/>
        </w:tabs>
        <w:ind w:left="340" w:hanging="340"/>
      </w:pPr>
      <w:rPr>
        <w:rFonts w:ascii="Symbol" w:hAnsi="Symbol" w:hint="default"/>
        <w:color w:val="auto"/>
        <w:sz w:val="22"/>
      </w:rPr>
    </w:lvl>
  </w:abstractNum>
  <w:abstractNum w:abstractNumId="35" w15:restartNumberingAfterBreak="0">
    <w:nsid w:val="54DA0866"/>
    <w:multiLevelType w:val="singleLevel"/>
    <w:tmpl w:val="A1FA909E"/>
    <w:lvl w:ilvl="0">
      <w:start w:val="1"/>
      <w:numFmt w:val="bullet"/>
      <w:lvlText w:val=""/>
      <w:lvlJc w:val="left"/>
      <w:pPr>
        <w:tabs>
          <w:tab w:val="num" w:pos="340"/>
        </w:tabs>
        <w:ind w:left="340" w:hanging="340"/>
      </w:pPr>
      <w:rPr>
        <w:rFonts w:ascii="Symbol" w:hAnsi="Symbol" w:hint="default"/>
        <w:color w:val="auto"/>
        <w:sz w:val="22"/>
      </w:rPr>
    </w:lvl>
  </w:abstractNum>
  <w:abstractNum w:abstractNumId="36" w15:restartNumberingAfterBreak="0">
    <w:nsid w:val="570F29E4"/>
    <w:multiLevelType w:val="singleLevel"/>
    <w:tmpl w:val="5AC00F64"/>
    <w:lvl w:ilvl="0">
      <w:start w:val="1"/>
      <w:numFmt w:val="bullet"/>
      <w:lvlText w:val=""/>
      <w:lvlJc w:val="left"/>
      <w:pPr>
        <w:tabs>
          <w:tab w:val="num" w:pos="340"/>
        </w:tabs>
        <w:ind w:left="340" w:hanging="340"/>
      </w:pPr>
      <w:rPr>
        <w:rFonts w:ascii="Symbol" w:hAnsi="Symbol" w:hint="default"/>
        <w:color w:val="auto"/>
        <w:sz w:val="22"/>
      </w:rPr>
    </w:lvl>
  </w:abstractNum>
  <w:abstractNum w:abstractNumId="37" w15:restartNumberingAfterBreak="0">
    <w:nsid w:val="5A042708"/>
    <w:multiLevelType w:val="hybridMultilevel"/>
    <w:tmpl w:val="ECA2B3FE"/>
    <w:lvl w:ilvl="0" w:tplc="2C80A400">
      <w:start w:val="1"/>
      <w:numFmt w:val="bullet"/>
      <w:pStyle w:val="CVbullet1"/>
      <w:lvlText w:val=""/>
      <w:lvlJc w:val="left"/>
      <w:pPr>
        <w:tabs>
          <w:tab w:val="num" w:pos="340"/>
        </w:tabs>
        <w:ind w:left="340" w:hanging="340"/>
      </w:pPr>
      <w:rPr>
        <w:rFonts w:ascii="Symbol" w:hAnsi="Symbol" w:hint="default"/>
        <w:color w:val="0091DA" w:themeColor="accent2"/>
        <w:sz w:val="22"/>
      </w:rPr>
    </w:lvl>
    <w:lvl w:ilvl="1" w:tplc="275AEF52" w:tentative="1">
      <w:start w:val="1"/>
      <w:numFmt w:val="bullet"/>
      <w:lvlText w:val="o"/>
      <w:lvlJc w:val="left"/>
      <w:pPr>
        <w:ind w:left="1440" w:hanging="360"/>
      </w:pPr>
      <w:rPr>
        <w:rFonts w:ascii="Courier New" w:hAnsi="Courier New" w:cs="Courier New" w:hint="default"/>
      </w:rPr>
    </w:lvl>
    <w:lvl w:ilvl="2" w:tplc="D840D1C2" w:tentative="1">
      <w:start w:val="1"/>
      <w:numFmt w:val="bullet"/>
      <w:lvlText w:val=""/>
      <w:lvlJc w:val="left"/>
      <w:pPr>
        <w:ind w:left="2160" w:hanging="360"/>
      </w:pPr>
      <w:rPr>
        <w:rFonts w:ascii="Wingdings" w:hAnsi="Wingdings" w:hint="default"/>
      </w:rPr>
    </w:lvl>
    <w:lvl w:ilvl="3" w:tplc="A5EE0AF0" w:tentative="1">
      <w:start w:val="1"/>
      <w:numFmt w:val="bullet"/>
      <w:lvlText w:val=""/>
      <w:lvlJc w:val="left"/>
      <w:pPr>
        <w:ind w:left="2880" w:hanging="360"/>
      </w:pPr>
      <w:rPr>
        <w:rFonts w:ascii="Symbol" w:hAnsi="Symbol" w:hint="default"/>
      </w:rPr>
    </w:lvl>
    <w:lvl w:ilvl="4" w:tplc="F836CDDE" w:tentative="1">
      <w:start w:val="1"/>
      <w:numFmt w:val="bullet"/>
      <w:lvlText w:val="o"/>
      <w:lvlJc w:val="left"/>
      <w:pPr>
        <w:ind w:left="3600" w:hanging="360"/>
      </w:pPr>
      <w:rPr>
        <w:rFonts w:ascii="Courier New" w:hAnsi="Courier New" w:cs="Courier New" w:hint="default"/>
      </w:rPr>
    </w:lvl>
    <w:lvl w:ilvl="5" w:tplc="40F68D9C" w:tentative="1">
      <w:start w:val="1"/>
      <w:numFmt w:val="bullet"/>
      <w:lvlText w:val=""/>
      <w:lvlJc w:val="left"/>
      <w:pPr>
        <w:ind w:left="4320" w:hanging="360"/>
      </w:pPr>
      <w:rPr>
        <w:rFonts w:ascii="Wingdings" w:hAnsi="Wingdings" w:hint="default"/>
      </w:rPr>
    </w:lvl>
    <w:lvl w:ilvl="6" w:tplc="32FA2F12" w:tentative="1">
      <w:start w:val="1"/>
      <w:numFmt w:val="bullet"/>
      <w:lvlText w:val=""/>
      <w:lvlJc w:val="left"/>
      <w:pPr>
        <w:ind w:left="5040" w:hanging="360"/>
      </w:pPr>
      <w:rPr>
        <w:rFonts w:ascii="Symbol" w:hAnsi="Symbol" w:hint="default"/>
      </w:rPr>
    </w:lvl>
    <w:lvl w:ilvl="7" w:tplc="30AED730" w:tentative="1">
      <w:start w:val="1"/>
      <w:numFmt w:val="bullet"/>
      <w:lvlText w:val="o"/>
      <w:lvlJc w:val="left"/>
      <w:pPr>
        <w:ind w:left="5760" w:hanging="360"/>
      </w:pPr>
      <w:rPr>
        <w:rFonts w:ascii="Courier New" w:hAnsi="Courier New" w:cs="Courier New" w:hint="default"/>
      </w:rPr>
    </w:lvl>
    <w:lvl w:ilvl="8" w:tplc="01C67264" w:tentative="1">
      <w:start w:val="1"/>
      <w:numFmt w:val="bullet"/>
      <w:lvlText w:val=""/>
      <w:lvlJc w:val="left"/>
      <w:pPr>
        <w:ind w:left="6480" w:hanging="360"/>
      </w:pPr>
      <w:rPr>
        <w:rFonts w:ascii="Wingdings" w:hAnsi="Wingdings" w:hint="default"/>
      </w:rPr>
    </w:lvl>
  </w:abstractNum>
  <w:abstractNum w:abstractNumId="38" w15:restartNumberingAfterBreak="0">
    <w:nsid w:val="5C9E7566"/>
    <w:multiLevelType w:val="hybridMultilevel"/>
    <w:tmpl w:val="2AEC010A"/>
    <w:lvl w:ilvl="0" w:tplc="6B62F1E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A365BA"/>
    <w:multiLevelType w:val="hybridMultilevel"/>
    <w:tmpl w:val="61567BE2"/>
    <w:lvl w:ilvl="0" w:tplc="8E721C6C">
      <w:start w:val="1"/>
      <w:numFmt w:val="bullet"/>
      <w:pStyle w:val="Bullet3rdlevel"/>
      <w:lvlText w:val="■"/>
      <w:lvlJc w:val="left"/>
      <w:pPr>
        <w:tabs>
          <w:tab w:val="num" w:pos="340"/>
        </w:tabs>
        <w:ind w:left="340" w:hanging="340"/>
      </w:pPr>
      <w:rPr>
        <w:rFonts w:ascii="Arial" w:hAnsi="Arial" w:hint="default"/>
        <w:color w:val="auto"/>
        <w:sz w:val="22"/>
      </w:rPr>
    </w:lvl>
    <w:lvl w:ilvl="1" w:tplc="AFC22C08" w:tentative="1">
      <w:start w:val="1"/>
      <w:numFmt w:val="bullet"/>
      <w:lvlText w:val="o"/>
      <w:lvlJc w:val="left"/>
      <w:pPr>
        <w:ind w:left="1440" w:hanging="360"/>
      </w:pPr>
      <w:rPr>
        <w:rFonts w:ascii="Courier New" w:hAnsi="Courier New" w:cs="Courier New" w:hint="default"/>
      </w:rPr>
    </w:lvl>
    <w:lvl w:ilvl="2" w:tplc="B3CE8886" w:tentative="1">
      <w:start w:val="1"/>
      <w:numFmt w:val="bullet"/>
      <w:lvlText w:val=""/>
      <w:lvlJc w:val="left"/>
      <w:pPr>
        <w:ind w:left="2160" w:hanging="360"/>
      </w:pPr>
      <w:rPr>
        <w:rFonts w:ascii="Wingdings" w:hAnsi="Wingdings" w:hint="default"/>
      </w:rPr>
    </w:lvl>
    <w:lvl w:ilvl="3" w:tplc="EEB8A12E" w:tentative="1">
      <w:start w:val="1"/>
      <w:numFmt w:val="bullet"/>
      <w:lvlText w:val=""/>
      <w:lvlJc w:val="left"/>
      <w:pPr>
        <w:ind w:left="2880" w:hanging="360"/>
      </w:pPr>
      <w:rPr>
        <w:rFonts w:ascii="Symbol" w:hAnsi="Symbol" w:hint="default"/>
      </w:rPr>
    </w:lvl>
    <w:lvl w:ilvl="4" w:tplc="FCD62468" w:tentative="1">
      <w:start w:val="1"/>
      <w:numFmt w:val="bullet"/>
      <w:lvlText w:val="o"/>
      <w:lvlJc w:val="left"/>
      <w:pPr>
        <w:ind w:left="3600" w:hanging="360"/>
      </w:pPr>
      <w:rPr>
        <w:rFonts w:ascii="Courier New" w:hAnsi="Courier New" w:cs="Courier New" w:hint="default"/>
      </w:rPr>
    </w:lvl>
    <w:lvl w:ilvl="5" w:tplc="02CCA7BE" w:tentative="1">
      <w:start w:val="1"/>
      <w:numFmt w:val="bullet"/>
      <w:lvlText w:val=""/>
      <w:lvlJc w:val="left"/>
      <w:pPr>
        <w:ind w:left="4320" w:hanging="360"/>
      </w:pPr>
      <w:rPr>
        <w:rFonts w:ascii="Wingdings" w:hAnsi="Wingdings" w:hint="default"/>
      </w:rPr>
    </w:lvl>
    <w:lvl w:ilvl="6" w:tplc="BD8072EE" w:tentative="1">
      <w:start w:val="1"/>
      <w:numFmt w:val="bullet"/>
      <w:lvlText w:val=""/>
      <w:lvlJc w:val="left"/>
      <w:pPr>
        <w:ind w:left="5040" w:hanging="360"/>
      </w:pPr>
      <w:rPr>
        <w:rFonts w:ascii="Symbol" w:hAnsi="Symbol" w:hint="default"/>
      </w:rPr>
    </w:lvl>
    <w:lvl w:ilvl="7" w:tplc="6E728646" w:tentative="1">
      <w:start w:val="1"/>
      <w:numFmt w:val="bullet"/>
      <w:lvlText w:val="o"/>
      <w:lvlJc w:val="left"/>
      <w:pPr>
        <w:ind w:left="5760" w:hanging="360"/>
      </w:pPr>
      <w:rPr>
        <w:rFonts w:ascii="Courier New" w:hAnsi="Courier New" w:cs="Courier New" w:hint="default"/>
      </w:rPr>
    </w:lvl>
    <w:lvl w:ilvl="8" w:tplc="D0587384" w:tentative="1">
      <w:start w:val="1"/>
      <w:numFmt w:val="bullet"/>
      <w:lvlText w:val=""/>
      <w:lvlJc w:val="left"/>
      <w:pPr>
        <w:ind w:left="6480" w:hanging="360"/>
      </w:pPr>
      <w:rPr>
        <w:rFonts w:ascii="Wingdings" w:hAnsi="Wingdings" w:hint="default"/>
      </w:rPr>
    </w:lvl>
  </w:abstractNum>
  <w:abstractNum w:abstractNumId="40" w15:restartNumberingAfterBreak="0">
    <w:nsid w:val="619675BF"/>
    <w:multiLevelType w:val="singleLevel"/>
    <w:tmpl w:val="4A2A9404"/>
    <w:lvl w:ilvl="0">
      <w:start w:val="1"/>
      <w:numFmt w:val="bullet"/>
      <w:lvlText w:val=""/>
      <w:lvlJc w:val="left"/>
      <w:pPr>
        <w:tabs>
          <w:tab w:val="num" w:pos="340"/>
        </w:tabs>
        <w:ind w:left="340" w:hanging="340"/>
      </w:pPr>
      <w:rPr>
        <w:rFonts w:ascii="Symbol" w:hAnsi="Symbol" w:hint="default"/>
        <w:color w:val="auto"/>
        <w:sz w:val="22"/>
      </w:rPr>
    </w:lvl>
  </w:abstractNum>
  <w:abstractNum w:abstractNumId="41" w15:restartNumberingAfterBreak="0">
    <w:nsid w:val="67766F22"/>
    <w:multiLevelType w:val="singleLevel"/>
    <w:tmpl w:val="2500BE72"/>
    <w:lvl w:ilvl="0">
      <w:start w:val="1"/>
      <w:numFmt w:val="bullet"/>
      <w:lvlText w:val=""/>
      <w:lvlJc w:val="left"/>
      <w:pPr>
        <w:tabs>
          <w:tab w:val="num" w:pos="340"/>
        </w:tabs>
        <w:ind w:left="340" w:hanging="340"/>
      </w:pPr>
      <w:rPr>
        <w:rFonts w:ascii="Symbol" w:hAnsi="Symbol" w:hint="default"/>
        <w:color w:val="auto"/>
        <w:sz w:val="22"/>
      </w:rPr>
    </w:lvl>
  </w:abstractNum>
  <w:abstractNum w:abstractNumId="42" w15:restartNumberingAfterBreak="0">
    <w:nsid w:val="6AF501E6"/>
    <w:multiLevelType w:val="singleLevel"/>
    <w:tmpl w:val="96166DC6"/>
    <w:lvl w:ilvl="0">
      <w:start w:val="1"/>
      <w:numFmt w:val="bullet"/>
      <w:lvlText w:val=""/>
      <w:lvlJc w:val="left"/>
      <w:pPr>
        <w:tabs>
          <w:tab w:val="num" w:pos="340"/>
        </w:tabs>
        <w:ind w:left="340" w:hanging="340"/>
      </w:pPr>
      <w:rPr>
        <w:rFonts w:ascii="Symbol" w:hAnsi="Symbol" w:hint="default"/>
        <w:color w:val="auto"/>
        <w:sz w:val="22"/>
      </w:rPr>
    </w:lvl>
  </w:abstractNum>
  <w:abstractNum w:abstractNumId="43" w15:restartNumberingAfterBreak="0">
    <w:nsid w:val="723E78FB"/>
    <w:multiLevelType w:val="singleLevel"/>
    <w:tmpl w:val="8140DAC8"/>
    <w:lvl w:ilvl="0">
      <w:start w:val="1"/>
      <w:numFmt w:val="bullet"/>
      <w:lvlText w:val=""/>
      <w:lvlJc w:val="left"/>
      <w:pPr>
        <w:tabs>
          <w:tab w:val="num" w:pos="340"/>
        </w:tabs>
        <w:ind w:left="340" w:hanging="340"/>
      </w:pPr>
      <w:rPr>
        <w:rFonts w:ascii="Symbol" w:hAnsi="Symbol" w:hint="default"/>
        <w:color w:val="auto"/>
        <w:sz w:val="22"/>
      </w:rPr>
    </w:lvl>
  </w:abstractNum>
  <w:abstractNum w:abstractNumId="44" w15:restartNumberingAfterBreak="0">
    <w:nsid w:val="79951CD9"/>
    <w:multiLevelType w:val="hybridMultilevel"/>
    <w:tmpl w:val="E7487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F0668D7"/>
    <w:multiLevelType w:val="hybridMultilevel"/>
    <w:tmpl w:val="8744C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31"/>
  </w:num>
  <w:num w:numId="4">
    <w:abstractNumId w:val="37"/>
  </w:num>
  <w:num w:numId="5">
    <w:abstractNumId w:val="22"/>
  </w:num>
  <w:num w:numId="6">
    <w:abstractNumId w:val="2"/>
  </w:num>
  <w:num w:numId="7">
    <w:abstractNumId w:val="1"/>
  </w:num>
  <w:num w:numId="8">
    <w:abstractNumId w:val="0"/>
  </w:num>
  <w:num w:numId="9">
    <w:abstractNumId w:val="18"/>
  </w:num>
  <w:num w:numId="10">
    <w:abstractNumId w:val="19"/>
  </w:num>
  <w:num w:numId="11">
    <w:abstractNumId w:val="11"/>
  </w:num>
  <w:num w:numId="12">
    <w:abstractNumId w:val="26"/>
  </w:num>
  <w:num w:numId="13">
    <w:abstractNumId w:val="5"/>
  </w:num>
  <w:num w:numId="14">
    <w:abstractNumId w:val="12"/>
  </w:num>
  <w:num w:numId="15">
    <w:abstractNumId w:val="42"/>
  </w:num>
  <w:num w:numId="16">
    <w:abstractNumId w:val="7"/>
  </w:num>
  <w:num w:numId="17">
    <w:abstractNumId w:val="34"/>
  </w:num>
  <w:num w:numId="18">
    <w:abstractNumId w:val="30"/>
  </w:num>
  <w:num w:numId="19">
    <w:abstractNumId w:val="9"/>
  </w:num>
  <w:num w:numId="20">
    <w:abstractNumId w:val="43"/>
  </w:num>
  <w:num w:numId="21">
    <w:abstractNumId w:val="40"/>
  </w:num>
  <w:num w:numId="22">
    <w:abstractNumId w:val="41"/>
  </w:num>
  <w:num w:numId="23">
    <w:abstractNumId w:val="13"/>
  </w:num>
  <w:num w:numId="24">
    <w:abstractNumId w:val="8"/>
  </w:num>
  <w:num w:numId="25">
    <w:abstractNumId w:val="15"/>
  </w:num>
  <w:num w:numId="26">
    <w:abstractNumId w:val="29"/>
  </w:num>
  <w:num w:numId="27">
    <w:abstractNumId w:val="32"/>
  </w:num>
  <w:num w:numId="28">
    <w:abstractNumId w:val="16"/>
  </w:num>
  <w:num w:numId="29">
    <w:abstractNumId w:val="3"/>
  </w:num>
  <w:num w:numId="30">
    <w:abstractNumId w:val="27"/>
  </w:num>
  <w:num w:numId="31">
    <w:abstractNumId w:val="45"/>
  </w:num>
  <w:num w:numId="32">
    <w:abstractNumId w:val="35"/>
  </w:num>
  <w:num w:numId="33">
    <w:abstractNumId w:val="36"/>
  </w:num>
  <w:num w:numId="34">
    <w:abstractNumId w:val="4"/>
  </w:num>
  <w:num w:numId="35">
    <w:abstractNumId w:val="21"/>
  </w:num>
  <w:num w:numId="36">
    <w:abstractNumId w:val="38"/>
  </w:num>
  <w:num w:numId="37">
    <w:abstractNumId w:val="10"/>
  </w:num>
  <w:num w:numId="38">
    <w:abstractNumId w:val="26"/>
  </w:num>
  <w:num w:numId="39">
    <w:abstractNumId w:val="23"/>
  </w:num>
  <w:num w:numId="40">
    <w:abstractNumId w:val="28"/>
  </w:num>
  <w:num w:numId="41">
    <w:abstractNumId w:val="18"/>
  </w:num>
  <w:num w:numId="42">
    <w:abstractNumId w:val="17"/>
  </w:num>
  <w:num w:numId="43">
    <w:abstractNumId w:val="44"/>
  </w:num>
  <w:num w:numId="44">
    <w:abstractNumId w:val="18"/>
  </w:num>
  <w:num w:numId="45">
    <w:abstractNumId w:val="24"/>
  </w:num>
  <w:num w:numId="46">
    <w:abstractNumId w:val="2"/>
  </w:num>
  <w:num w:numId="47">
    <w:abstractNumId w:val="2"/>
  </w:num>
  <w:num w:numId="48">
    <w:abstractNumId w:val="2"/>
  </w:num>
  <w:num w:numId="49">
    <w:abstractNumId w:val="2"/>
  </w:num>
  <w:num w:numId="50">
    <w:abstractNumId w:val="2"/>
  </w:num>
  <w:num w:numId="51">
    <w:abstractNumId w:val="2"/>
  </w:num>
  <w:num w:numId="52">
    <w:abstractNumId w:val="2"/>
  </w:num>
  <w:num w:numId="53">
    <w:abstractNumId w:val="2"/>
  </w:num>
  <w:num w:numId="54">
    <w:abstractNumId w:val="2"/>
  </w:num>
  <w:num w:numId="55">
    <w:abstractNumId w:val="2"/>
  </w:num>
  <w:num w:numId="56">
    <w:abstractNumId w:val="2"/>
  </w:num>
  <w:num w:numId="57">
    <w:abstractNumId w:val="2"/>
  </w:num>
  <w:num w:numId="58">
    <w:abstractNumId w:val="2"/>
  </w:num>
  <w:num w:numId="59">
    <w:abstractNumId w:val="2"/>
  </w:num>
  <w:num w:numId="60">
    <w:abstractNumId w:val="2"/>
  </w:num>
  <w:num w:numId="61">
    <w:abstractNumId w:val="2"/>
  </w:num>
  <w:num w:numId="62">
    <w:abstractNumId w:val="2"/>
  </w:num>
  <w:num w:numId="63">
    <w:abstractNumId w:val="2"/>
  </w:num>
  <w:num w:numId="64">
    <w:abstractNumId w:val="2"/>
  </w:num>
  <w:num w:numId="65">
    <w:abstractNumId w:val="2"/>
  </w:num>
  <w:num w:numId="66">
    <w:abstractNumId w:val="2"/>
  </w:num>
  <w:num w:numId="67">
    <w:abstractNumId w:val="2"/>
  </w:num>
  <w:num w:numId="68">
    <w:abstractNumId w:val="2"/>
  </w:num>
  <w:num w:numId="69">
    <w:abstractNumId w:val="2"/>
  </w:num>
  <w:num w:numId="70">
    <w:abstractNumId w:val="2"/>
  </w:num>
  <w:num w:numId="71">
    <w:abstractNumId w:val="2"/>
  </w:num>
  <w:num w:numId="72">
    <w:abstractNumId w:val="14"/>
  </w:num>
  <w:num w:numId="73">
    <w:abstractNumId w:val="25"/>
  </w:num>
  <w:num w:numId="74">
    <w:abstractNumId w:val="20"/>
  </w:num>
  <w:num w:numId="75">
    <w:abstractNumId w:val="6"/>
  </w:num>
  <w:num w:numId="76">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r4Ep49Ifpq446TwoaiNtZQj3FyFNWorA0dVijODPEdOBeQHqkr0BXp3oQtmsM809eEnap20IIZCHh5bhdNjyA==" w:salt="zlMlkZKeaD3FdyGrhc9A0A=="/>
  <w:defaultTabStop w:val="720"/>
  <w:characterSpacingControl w:val="doNotCompress"/>
  <w:hdrShapeDefaults>
    <o:shapedefaults v:ext="edit" spidmax="8193">
      <o:colormru v:ext="edit" colors="#005e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WxsDQ2NDcyMrUwtzBW0lEKTi0uzszPAykwrAUAyYaHRSwAAAA="/>
    <w:docVar w:name="DraftWatermark" w:val="1"/>
  </w:docVars>
  <w:rsids>
    <w:rsidRoot w:val="002C0678"/>
    <w:rsid w:val="00001BDC"/>
    <w:rsid w:val="00001F36"/>
    <w:rsid w:val="00004988"/>
    <w:rsid w:val="00007890"/>
    <w:rsid w:val="0000798B"/>
    <w:rsid w:val="00010035"/>
    <w:rsid w:val="000114C9"/>
    <w:rsid w:val="00013018"/>
    <w:rsid w:val="00013847"/>
    <w:rsid w:val="00013EDA"/>
    <w:rsid w:val="000227B8"/>
    <w:rsid w:val="000238E3"/>
    <w:rsid w:val="00023AAF"/>
    <w:rsid w:val="000337FB"/>
    <w:rsid w:val="00033FAB"/>
    <w:rsid w:val="00035EB4"/>
    <w:rsid w:val="0003698B"/>
    <w:rsid w:val="00037465"/>
    <w:rsid w:val="0004353F"/>
    <w:rsid w:val="00045703"/>
    <w:rsid w:val="00047116"/>
    <w:rsid w:val="0004791D"/>
    <w:rsid w:val="0005234E"/>
    <w:rsid w:val="000528AD"/>
    <w:rsid w:val="00053A68"/>
    <w:rsid w:val="00054009"/>
    <w:rsid w:val="00056417"/>
    <w:rsid w:val="00057888"/>
    <w:rsid w:val="0006033D"/>
    <w:rsid w:val="000605C9"/>
    <w:rsid w:val="00060E5A"/>
    <w:rsid w:val="00061ECE"/>
    <w:rsid w:val="000637C3"/>
    <w:rsid w:val="00063F64"/>
    <w:rsid w:val="0006732F"/>
    <w:rsid w:val="00067CEC"/>
    <w:rsid w:val="00067FF5"/>
    <w:rsid w:val="00072960"/>
    <w:rsid w:val="000732AD"/>
    <w:rsid w:val="0007405B"/>
    <w:rsid w:val="0007493B"/>
    <w:rsid w:val="00077364"/>
    <w:rsid w:val="00080367"/>
    <w:rsid w:val="0008252F"/>
    <w:rsid w:val="00082DCA"/>
    <w:rsid w:val="0008492A"/>
    <w:rsid w:val="000859C8"/>
    <w:rsid w:val="00085D67"/>
    <w:rsid w:val="000862CF"/>
    <w:rsid w:val="00087149"/>
    <w:rsid w:val="000878AF"/>
    <w:rsid w:val="00090FED"/>
    <w:rsid w:val="00091DDB"/>
    <w:rsid w:val="0009263B"/>
    <w:rsid w:val="00095196"/>
    <w:rsid w:val="00095582"/>
    <w:rsid w:val="0009654A"/>
    <w:rsid w:val="000A0672"/>
    <w:rsid w:val="000A0FA1"/>
    <w:rsid w:val="000A1142"/>
    <w:rsid w:val="000A11A8"/>
    <w:rsid w:val="000A1976"/>
    <w:rsid w:val="000A2D13"/>
    <w:rsid w:val="000A2E48"/>
    <w:rsid w:val="000A3C13"/>
    <w:rsid w:val="000A40D4"/>
    <w:rsid w:val="000A419D"/>
    <w:rsid w:val="000A460F"/>
    <w:rsid w:val="000A462C"/>
    <w:rsid w:val="000A592B"/>
    <w:rsid w:val="000A5A9E"/>
    <w:rsid w:val="000A6C1A"/>
    <w:rsid w:val="000A7857"/>
    <w:rsid w:val="000A7952"/>
    <w:rsid w:val="000B1A3D"/>
    <w:rsid w:val="000B2B6F"/>
    <w:rsid w:val="000B3532"/>
    <w:rsid w:val="000B44EB"/>
    <w:rsid w:val="000B4862"/>
    <w:rsid w:val="000B57F0"/>
    <w:rsid w:val="000B6E94"/>
    <w:rsid w:val="000B78A8"/>
    <w:rsid w:val="000C10D1"/>
    <w:rsid w:val="000C263D"/>
    <w:rsid w:val="000C4400"/>
    <w:rsid w:val="000C49D5"/>
    <w:rsid w:val="000C5B15"/>
    <w:rsid w:val="000C5B79"/>
    <w:rsid w:val="000C6F01"/>
    <w:rsid w:val="000C7C55"/>
    <w:rsid w:val="000D03F0"/>
    <w:rsid w:val="000D0C93"/>
    <w:rsid w:val="000D0E37"/>
    <w:rsid w:val="000D1E7E"/>
    <w:rsid w:val="000D3A24"/>
    <w:rsid w:val="000D7BEA"/>
    <w:rsid w:val="000E1088"/>
    <w:rsid w:val="000E1D17"/>
    <w:rsid w:val="000E2363"/>
    <w:rsid w:val="000E23A4"/>
    <w:rsid w:val="000E4DD8"/>
    <w:rsid w:val="000E5013"/>
    <w:rsid w:val="000E6E3C"/>
    <w:rsid w:val="000E6F7D"/>
    <w:rsid w:val="000E714B"/>
    <w:rsid w:val="000E7E80"/>
    <w:rsid w:val="000F2798"/>
    <w:rsid w:val="000F5A36"/>
    <w:rsid w:val="000F5AC7"/>
    <w:rsid w:val="000F698A"/>
    <w:rsid w:val="000F6A87"/>
    <w:rsid w:val="000F7D38"/>
    <w:rsid w:val="00103EE8"/>
    <w:rsid w:val="00105D7B"/>
    <w:rsid w:val="0011136A"/>
    <w:rsid w:val="00111424"/>
    <w:rsid w:val="00112075"/>
    <w:rsid w:val="0011249A"/>
    <w:rsid w:val="00117995"/>
    <w:rsid w:val="00121387"/>
    <w:rsid w:val="00122441"/>
    <w:rsid w:val="001229E3"/>
    <w:rsid w:val="00123D73"/>
    <w:rsid w:val="00125EA1"/>
    <w:rsid w:val="00126004"/>
    <w:rsid w:val="00126808"/>
    <w:rsid w:val="00130C50"/>
    <w:rsid w:val="00131319"/>
    <w:rsid w:val="00132912"/>
    <w:rsid w:val="00135A30"/>
    <w:rsid w:val="001407C0"/>
    <w:rsid w:val="0014198A"/>
    <w:rsid w:val="00141DB1"/>
    <w:rsid w:val="00142159"/>
    <w:rsid w:val="001426F8"/>
    <w:rsid w:val="00143121"/>
    <w:rsid w:val="0014352E"/>
    <w:rsid w:val="00143F6C"/>
    <w:rsid w:val="00145ABB"/>
    <w:rsid w:val="00146091"/>
    <w:rsid w:val="001466BB"/>
    <w:rsid w:val="0014682B"/>
    <w:rsid w:val="001506B9"/>
    <w:rsid w:val="00150792"/>
    <w:rsid w:val="001514BD"/>
    <w:rsid w:val="00152C4A"/>
    <w:rsid w:val="001545CC"/>
    <w:rsid w:val="00155AA9"/>
    <w:rsid w:val="001562FF"/>
    <w:rsid w:val="0015706D"/>
    <w:rsid w:val="001572E5"/>
    <w:rsid w:val="00162CCC"/>
    <w:rsid w:val="001635BE"/>
    <w:rsid w:val="001639A7"/>
    <w:rsid w:val="00166CE2"/>
    <w:rsid w:val="00172A2E"/>
    <w:rsid w:val="0017402B"/>
    <w:rsid w:val="001741E0"/>
    <w:rsid w:val="001757AF"/>
    <w:rsid w:val="001762FE"/>
    <w:rsid w:val="00176747"/>
    <w:rsid w:val="0017702B"/>
    <w:rsid w:val="00177281"/>
    <w:rsid w:val="0017767C"/>
    <w:rsid w:val="00177C36"/>
    <w:rsid w:val="00177D1A"/>
    <w:rsid w:val="001808C2"/>
    <w:rsid w:val="00181500"/>
    <w:rsid w:val="00181551"/>
    <w:rsid w:val="00182DC2"/>
    <w:rsid w:val="00184CAD"/>
    <w:rsid w:val="00187311"/>
    <w:rsid w:val="001876D1"/>
    <w:rsid w:val="00191F66"/>
    <w:rsid w:val="00194FCC"/>
    <w:rsid w:val="001952BF"/>
    <w:rsid w:val="001967AE"/>
    <w:rsid w:val="0019758E"/>
    <w:rsid w:val="001A241C"/>
    <w:rsid w:val="001A6201"/>
    <w:rsid w:val="001A699C"/>
    <w:rsid w:val="001A75DF"/>
    <w:rsid w:val="001A7998"/>
    <w:rsid w:val="001B18F0"/>
    <w:rsid w:val="001B1BD6"/>
    <w:rsid w:val="001B1DFE"/>
    <w:rsid w:val="001B1FB7"/>
    <w:rsid w:val="001B41A0"/>
    <w:rsid w:val="001B5861"/>
    <w:rsid w:val="001B77F4"/>
    <w:rsid w:val="001C34C5"/>
    <w:rsid w:val="001C6067"/>
    <w:rsid w:val="001D2A5B"/>
    <w:rsid w:val="001D33CF"/>
    <w:rsid w:val="001D738F"/>
    <w:rsid w:val="001D7E4C"/>
    <w:rsid w:val="001D7EC9"/>
    <w:rsid w:val="001E121E"/>
    <w:rsid w:val="001E2702"/>
    <w:rsid w:val="001E3099"/>
    <w:rsid w:val="001E325E"/>
    <w:rsid w:val="001E33A1"/>
    <w:rsid w:val="001F0CB3"/>
    <w:rsid w:val="001F125E"/>
    <w:rsid w:val="001F1E33"/>
    <w:rsid w:val="001F4273"/>
    <w:rsid w:val="002008A0"/>
    <w:rsid w:val="002010F8"/>
    <w:rsid w:val="00210DDB"/>
    <w:rsid w:val="00210FC9"/>
    <w:rsid w:val="002118BE"/>
    <w:rsid w:val="002139D6"/>
    <w:rsid w:val="00220563"/>
    <w:rsid w:val="002209B8"/>
    <w:rsid w:val="002216A1"/>
    <w:rsid w:val="00223D8D"/>
    <w:rsid w:val="00227979"/>
    <w:rsid w:val="00232205"/>
    <w:rsid w:val="00234097"/>
    <w:rsid w:val="00236093"/>
    <w:rsid w:val="002360FF"/>
    <w:rsid w:val="00237E1D"/>
    <w:rsid w:val="002434DD"/>
    <w:rsid w:val="0024581B"/>
    <w:rsid w:val="00245F26"/>
    <w:rsid w:val="0024695E"/>
    <w:rsid w:val="0024699F"/>
    <w:rsid w:val="00246ADE"/>
    <w:rsid w:val="002473B5"/>
    <w:rsid w:val="00247AC8"/>
    <w:rsid w:val="00250AE6"/>
    <w:rsid w:val="00250CB3"/>
    <w:rsid w:val="00251208"/>
    <w:rsid w:val="00252CA3"/>
    <w:rsid w:val="00253480"/>
    <w:rsid w:val="00253CB1"/>
    <w:rsid w:val="0025458B"/>
    <w:rsid w:val="0025564C"/>
    <w:rsid w:val="00256A52"/>
    <w:rsid w:val="0025716B"/>
    <w:rsid w:val="0025778F"/>
    <w:rsid w:val="00257C0F"/>
    <w:rsid w:val="002624FF"/>
    <w:rsid w:val="0026303A"/>
    <w:rsid w:val="002641A2"/>
    <w:rsid w:val="00264560"/>
    <w:rsid w:val="002653EC"/>
    <w:rsid w:val="00270388"/>
    <w:rsid w:val="00270748"/>
    <w:rsid w:val="00271033"/>
    <w:rsid w:val="002757C8"/>
    <w:rsid w:val="00276468"/>
    <w:rsid w:val="00277C13"/>
    <w:rsid w:val="0028709D"/>
    <w:rsid w:val="0028792C"/>
    <w:rsid w:val="00287CE1"/>
    <w:rsid w:val="002903FB"/>
    <w:rsid w:val="00291E59"/>
    <w:rsid w:val="002927D4"/>
    <w:rsid w:val="0029441E"/>
    <w:rsid w:val="00296CCD"/>
    <w:rsid w:val="00296FEB"/>
    <w:rsid w:val="002A06BF"/>
    <w:rsid w:val="002A3FF1"/>
    <w:rsid w:val="002A529C"/>
    <w:rsid w:val="002A68D2"/>
    <w:rsid w:val="002B2522"/>
    <w:rsid w:val="002B57EC"/>
    <w:rsid w:val="002B58BE"/>
    <w:rsid w:val="002B63E8"/>
    <w:rsid w:val="002C0678"/>
    <w:rsid w:val="002C0C1E"/>
    <w:rsid w:val="002C1092"/>
    <w:rsid w:val="002C4E5E"/>
    <w:rsid w:val="002C7161"/>
    <w:rsid w:val="002C743F"/>
    <w:rsid w:val="002D014E"/>
    <w:rsid w:val="002D1E81"/>
    <w:rsid w:val="002D2D42"/>
    <w:rsid w:val="002D4F13"/>
    <w:rsid w:val="002D5580"/>
    <w:rsid w:val="002D677B"/>
    <w:rsid w:val="002E3F3D"/>
    <w:rsid w:val="002E7D8E"/>
    <w:rsid w:val="002F005B"/>
    <w:rsid w:val="002F1A1A"/>
    <w:rsid w:val="002F20CC"/>
    <w:rsid w:val="002F256B"/>
    <w:rsid w:val="002F2EE6"/>
    <w:rsid w:val="002F3D00"/>
    <w:rsid w:val="002F3FBE"/>
    <w:rsid w:val="002F40D6"/>
    <w:rsid w:val="002F54AD"/>
    <w:rsid w:val="002F585F"/>
    <w:rsid w:val="00302294"/>
    <w:rsid w:val="00303E4E"/>
    <w:rsid w:val="0030612B"/>
    <w:rsid w:val="003105B8"/>
    <w:rsid w:val="00310B07"/>
    <w:rsid w:val="003111AC"/>
    <w:rsid w:val="00311526"/>
    <w:rsid w:val="00313864"/>
    <w:rsid w:val="003139FD"/>
    <w:rsid w:val="00315F60"/>
    <w:rsid w:val="00320400"/>
    <w:rsid w:val="0032151E"/>
    <w:rsid w:val="00321DD7"/>
    <w:rsid w:val="00322426"/>
    <w:rsid w:val="00322E20"/>
    <w:rsid w:val="00324D35"/>
    <w:rsid w:val="00324DE2"/>
    <w:rsid w:val="00331327"/>
    <w:rsid w:val="00332860"/>
    <w:rsid w:val="003349C8"/>
    <w:rsid w:val="00334A2C"/>
    <w:rsid w:val="00337C4E"/>
    <w:rsid w:val="00343A92"/>
    <w:rsid w:val="0034486D"/>
    <w:rsid w:val="00345561"/>
    <w:rsid w:val="0034654F"/>
    <w:rsid w:val="00346A72"/>
    <w:rsid w:val="003517D4"/>
    <w:rsid w:val="00352620"/>
    <w:rsid w:val="003527FA"/>
    <w:rsid w:val="00352DE8"/>
    <w:rsid w:val="00355382"/>
    <w:rsid w:val="00357FF0"/>
    <w:rsid w:val="00361137"/>
    <w:rsid w:val="00365823"/>
    <w:rsid w:val="00366547"/>
    <w:rsid w:val="00371CA6"/>
    <w:rsid w:val="00373011"/>
    <w:rsid w:val="0037374F"/>
    <w:rsid w:val="00375A6E"/>
    <w:rsid w:val="00384C64"/>
    <w:rsid w:val="00385229"/>
    <w:rsid w:val="00385D52"/>
    <w:rsid w:val="00386D4A"/>
    <w:rsid w:val="00387F8B"/>
    <w:rsid w:val="0039041F"/>
    <w:rsid w:val="003927C8"/>
    <w:rsid w:val="00393F6D"/>
    <w:rsid w:val="003940E3"/>
    <w:rsid w:val="0039679C"/>
    <w:rsid w:val="003971E4"/>
    <w:rsid w:val="00397CC1"/>
    <w:rsid w:val="00397F65"/>
    <w:rsid w:val="003A3877"/>
    <w:rsid w:val="003A4258"/>
    <w:rsid w:val="003A679B"/>
    <w:rsid w:val="003B2314"/>
    <w:rsid w:val="003B38DC"/>
    <w:rsid w:val="003B4C2B"/>
    <w:rsid w:val="003B785F"/>
    <w:rsid w:val="003C02A7"/>
    <w:rsid w:val="003C06DC"/>
    <w:rsid w:val="003C0885"/>
    <w:rsid w:val="003C13CE"/>
    <w:rsid w:val="003C33B2"/>
    <w:rsid w:val="003C480F"/>
    <w:rsid w:val="003C7346"/>
    <w:rsid w:val="003D0C29"/>
    <w:rsid w:val="003D499D"/>
    <w:rsid w:val="003E16C7"/>
    <w:rsid w:val="003E201D"/>
    <w:rsid w:val="003E6365"/>
    <w:rsid w:val="003E75C8"/>
    <w:rsid w:val="003E75E6"/>
    <w:rsid w:val="003E79E2"/>
    <w:rsid w:val="003F10B1"/>
    <w:rsid w:val="003F18BC"/>
    <w:rsid w:val="003F4FA7"/>
    <w:rsid w:val="003F6064"/>
    <w:rsid w:val="003F6AC6"/>
    <w:rsid w:val="003F6DD6"/>
    <w:rsid w:val="003F7F59"/>
    <w:rsid w:val="00400984"/>
    <w:rsid w:val="00401090"/>
    <w:rsid w:val="004023DC"/>
    <w:rsid w:val="00404161"/>
    <w:rsid w:val="00404A84"/>
    <w:rsid w:val="004066BE"/>
    <w:rsid w:val="00410551"/>
    <w:rsid w:val="004113F9"/>
    <w:rsid w:val="00411FCA"/>
    <w:rsid w:val="00412B33"/>
    <w:rsid w:val="00412CFF"/>
    <w:rsid w:val="00413248"/>
    <w:rsid w:val="00414FF5"/>
    <w:rsid w:val="00415F9D"/>
    <w:rsid w:val="004168F1"/>
    <w:rsid w:val="00417F55"/>
    <w:rsid w:val="0042186E"/>
    <w:rsid w:val="004222DF"/>
    <w:rsid w:val="0042257B"/>
    <w:rsid w:val="00424C5C"/>
    <w:rsid w:val="004256C2"/>
    <w:rsid w:val="004271DA"/>
    <w:rsid w:val="004277D4"/>
    <w:rsid w:val="004307D7"/>
    <w:rsid w:val="00430990"/>
    <w:rsid w:val="00431E31"/>
    <w:rsid w:val="00433FBB"/>
    <w:rsid w:val="00434579"/>
    <w:rsid w:val="004355CA"/>
    <w:rsid w:val="00435602"/>
    <w:rsid w:val="00437103"/>
    <w:rsid w:val="00437D4A"/>
    <w:rsid w:val="00441C42"/>
    <w:rsid w:val="00442B9F"/>
    <w:rsid w:val="00443F67"/>
    <w:rsid w:val="004452DC"/>
    <w:rsid w:val="004555E6"/>
    <w:rsid w:val="00457116"/>
    <w:rsid w:val="00463826"/>
    <w:rsid w:val="0046690F"/>
    <w:rsid w:val="00466C0E"/>
    <w:rsid w:val="00467F47"/>
    <w:rsid w:val="00470207"/>
    <w:rsid w:val="004714A1"/>
    <w:rsid w:val="00471D12"/>
    <w:rsid w:val="004729E1"/>
    <w:rsid w:val="00475197"/>
    <w:rsid w:val="004755E9"/>
    <w:rsid w:val="004830AB"/>
    <w:rsid w:val="004841CE"/>
    <w:rsid w:val="00485661"/>
    <w:rsid w:val="00486764"/>
    <w:rsid w:val="00490C76"/>
    <w:rsid w:val="004913B0"/>
    <w:rsid w:val="00492EBE"/>
    <w:rsid w:val="00493132"/>
    <w:rsid w:val="00493C10"/>
    <w:rsid w:val="00494E82"/>
    <w:rsid w:val="004951C1"/>
    <w:rsid w:val="00495DDE"/>
    <w:rsid w:val="0049652D"/>
    <w:rsid w:val="00496A78"/>
    <w:rsid w:val="004A0474"/>
    <w:rsid w:val="004A2B04"/>
    <w:rsid w:val="004A2B8F"/>
    <w:rsid w:val="004A3F32"/>
    <w:rsid w:val="004A4848"/>
    <w:rsid w:val="004B1B12"/>
    <w:rsid w:val="004B1C4D"/>
    <w:rsid w:val="004B1E7B"/>
    <w:rsid w:val="004B1F3B"/>
    <w:rsid w:val="004B2397"/>
    <w:rsid w:val="004B3407"/>
    <w:rsid w:val="004B3D85"/>
    <w:rsid w:val="004B700B"/>
    <w:rsid w:val="004C040F"/>
    <w:rsid w:val="004C107E"/>
    <w:rsid w:val="004C3530"/>
    <w:rsid w:val="004C3BDA"/>
    <w:rsid w:val="004C4435"/>
    <w:rsid w:val="004C4FAE"/>
    <w:rsid w:val="004C5A0A"/>
    <w:rsid w:val="004C6E4E"/>
    <w:rsid w:val="004D0067"/>
    <w:rsid w:val="004D1888"/>
    <w:rsid w:val="004D24DE"/>
    <w:rsid w:val="004D2A8E"/>
    <w:rsid w:val="004D2C2B"/>
    <w:rsid w:val="004D3108"/>
    <w:rsid w:val="004D3683"/>
    <w:rsid w:val="004D63CE"/>
    <w:rsid w:val="004E29FD"/>
    <w:rsid w:val="004E2CA8"/>
    <w:rsid w:val="004E4D6F"/>
    <w:rsid w:val="004E5BE8"/>
    <w:rsid w:val="004E7E05"/>
    <w:rsid w:val="004F15B2"/>
    <w:rsid w:val="004F777F"/>
    <w:rsid w:val="004F7879"/>
    <w:rsid w:val="005006BD"/>
    <w:rsid w:val="005023F1"/>
    <w:rsid w:val="005041B4"/>
    <w:rsid w:val="00505E46"/>
    <w:rsid w:val="00506A16"/>
    <w:rsid w:val="00507B76"/>
    <w:rsid w:val="00507D68"/>
    <w:rsid w:val="00512CB2"/>
    <w:rsid w:val="005130CE"/>
    <w:rsid w:val="00513934"/>
    <w:rsid w:val="00514407"/>
    <w:rsid w:val="0051446E"/>
    <w:rsid w:val="005149F4"/>
    <w:rsid w:val="00516109"/>
    <w:rsid w:val="00516F23"/>
    <w:rsid w:val="00517385"/>
    <w:rsid w:val="005203BE"/>
    <w:rsid w:val="00521D1C"/>
    <w:rsid w:val="005247BB"/>
    <w:rsid w:val="00524FAA"/>
    <w:rsid w:val="00525FD5"/>
    <w:rsid w:val="00526B9E"/>
    <w:rsid w:val="00526D3E"/>
    <w:rsid w:val="005276F7"/>
    <w:rsid w:val="005278C5"/>
    <w:rsid w:val="00530CC5"/>
    <w:rsid w:val="00532166"/>
    <w:rsid w:val="00535FA8"/>
    <w:rsid w:val="0053747F"/>
    <w:rsid w:val="00537D2F"/>
    <w:rsid w:val="00541DAA"/>
    <w:rsid w:val="00550096"/>
    <w:rsid w:val="005503B4"/>
    <w:rsid w:val="005520FF"/>
    <w:rsid w:val="00553300"/>
    <w:rsid w:val="005614F5"/>
    <w:rsid w:val="005627E4"/>
    <w:rsid w:val="005633C5"/>
    <w:rsid w:val="005640E1"/>
    <w:rsid w:val="005649C2"/>
    <w:rsid w:val="0056567B"/>
    <w:rsid w:val="00566779"/>
    <w:rsid w:val="005677BB"/>
    <w:rsid w:val="00567EFC"/>
    <w:rsid w:val="005708C3"/>
    <w:rsid w:val="00571D06"/>
    <w:rsid w:val="005741AA"/>
    <w:rsid w:val="00581A68"/>
    <w:rsid w:val="00590744"/>
    <w:rsid w:val="0059079B"/>
    <w:rsid w:val="00590D58"/>
    <w:rsid w:val="005919ED"/>
    <w:rsid w:val="00591BE0"/>
    <w:rsid w:val="005922BE"/>
    <w:rsid w:val="00592C99"/>
    <w:rsid w:val="00594FFE"/>
    <w:rsid w:val="0059560F"/>
    <w:rsid w:val="005A246D"/>
    <w:rsid w:val="005A4368"/>
    <w:rsid w:val="005A47D7"/>
    <w:rsid w:val="005B05C4"/>
    <w:rsid w:val="005B110F"/>
    <w:rsid w:val="005B28F5"/>
    <w:rsid w:val="005B3339"/>
    <w:rsid w:val="005B361A"/>
    <w:rsid w:val="005B4930"/>
    <w:rsid w:val="005B5E24"/>
    <w:rsid w:val="005B76A6"/>
    <w:rsid w:val="005C10FD"/>
    <w:rsid w:val="005C164D"/>
    <w:rsid w:val="005C297F"/>
    <w:rsid w:val="005C39B3"/>
    <w:rsid w:val="005C4D9B"/>
    <w:rsid w:val="005C676E"/>
    <w:rsid w:val="005C6D47"/>
    <w:rsid w:val="005C7A29"/>
    <w:rsid w:val="005D0F1F"/>
    <w:rsid w:val="005D15C2"/>
    <w:rsid w:val="005D381F"/>
    <w:rsid w:val="005D7713"/>
    <w:rsid w:val="005D7CCF"/>
    <w:rsid w:val="005E0D36"/>
    <w:rsid w:val="005E18A7"/>
    <w:rsid w:val="005E2243"/>
    <w:rsid w:val="005E2657"/>
    <w:rsid w:val="005E2839"/>
    <w:rsid w:val="005E32E6"/>
    <w:rsid w:val="005E5302"/>
    <w:rsid w:val="005E5E1D"/>
    <w:rsid w:val="005E66DF"/>
    <w:rsid w:val="005F0E9D"/>
    <w:rsid w:val="005F3976"/>
    <w:rsid w:val="005F5415"/>
    <w:rsid w:val="005F6810"/>
    <w:rsid w:val="006023E8"/>
    <w:rsid w:val="00604910"/>
    <w:rsid w:val="006053E5"/>
    <w:rsid w:val="00605889"/>
    <w:rsid w:val="006070D0"/>
    <w:rsid w:val="006076C3"/>
    <w:rsid w:val="006078FB"/>
    <w:rsid w:val="00610848"/>
    <w:rsid w:val="006117D8"/>
    <w:rsid w:val="00612376"/>
    <w:rsid w:val="00615FF1"/>
    <w:rsid w:val="006165F2"/>
    <w:rsid w:val="00621278"/>
    <w:rsid w:val="006215A9"/>
    <w:rsid w:val="006226B0"/>
    <w:rsid w:val="006241C6"/>
    <w:rsid w:val="006250BB"/>
    <w:rsid w:val="00625592"/>
    <w:rsid w:val="00625E26"/>
    <w:rsid w:val="0062660C"/>
    <w:rsid w:val="0062666C"/>
    <w:rsid w:val="00630247"/>
    <w:rsid w:val="006305F6"/>
    <w:rsid w:val="00630964"/>
    <w:rsid w:val="00632761"/>
    <w:rsid w:val="00633B77"/>
    <w:rsid w:val="00634346"/>
    <w:rsid w:val="006354F4"/>
    <w:rsid w:val="00635BE7"/>
    <w:rsid w:val="00637186"/>
    <w:rsid w:val="00637578"/>
    <w:rsid w:val="006416E8"/>
    <w:rsid w:val="00644135"/>
    <w:rsid w:val="006452B6"/>
    <w:rsid w:val="00645520"/>
    <w:rsid w:val="00646072"/>
    <w:rsid w:val="00646641"/>
    <w:rsid w:val="006474D2"/>
    <w:rsid w:val="00651925"/>
    <w:rsid w:val="00652E6B"/>
    <w:rsid w:val="006536D6"/>
    <w:rsid w:val="00653898"/>
    <w:rsid w:val="00655CCB"/>
    <w:rsid w:val="00655D98"/>
    <w:rsid w:val="0065699C"/>
    <w:rsid w:val="00656E29"/>
    <w:rsid w:val="006579F1"/>
    <w:rsid w:val="00661222"/>
    <w:rsid w:val="0066265D"/>
    <w:rsid w:val="00663426"/>
    <w:rsid w:val="006648FE"/>
    <w:rsid w:val="006660FB"/>
    <w:rsid w:val="00667A26"/>
    <w:rsid w:val="00670868"/>
    <w:rsid w:val="00670A7A"/>
    <w:rsid w:val="00670AFC"/>
    <w:rsid w:val="00671CE0"/>
    <w:rsid w:val="00671DD1"/>
    <w:rsid w:val="00673CED"/>
    <w:rsid w:val="006748CF"/>
    <w:rsid w:val="00683A38"/>
    <w:rsid w:val="00684B5E"/>
    <w:rsid w:val="00685318"/>
    <w:rsid w:val="006870B0"/>
    <w:rsid w:val="006903EA"/>
    <w:rsid w:val="00691122"/>
    <w:rsid w:val="006959F9"/>
    <w:rsid w:val="00695C2D"/>
    <w:rsid w:val="0069667F"/>
    <w:rsid w:val="00696CA9"/>
    <w:rsid w:val="006A1881"/>
    <w:rsid w:val="006A2DAD"/>
    <w:rsid w:val="006A2FB5"/>
    <w:rsid w:val="006A356A"/>
    <w:rsid w:val="006A414E"/>
    <w:rsid w:val="006A6B02"/>
    <w:rsid w:val="006A7B87"/>
    <w:rsid w:val="006B1626"/>
    <w:rsid w:val="006B1D78"/>
    <w:rsid w:val="006B3DF6"/>
    <w:rsid w:val="006B7C35"/>
    <w:rsid w:val="006C020C"/>
    <w:rsid w:val="006C1D0D"/>
    <w:rsid w:val="006C444B"/>
    <w:rsid w:val="006C47FA"/>
    <w:rsid w:val="006D1C7F"/>
    <w:rsid w:val="006D2780"/>
    <w:rsid w:val="006D29F0"/>
    <w:rsid w:val="006D2BF4"/>
    <w:rsid w:val="006D4922"/>
    <w:rsid w:val="006D50D3"/>
    <w:rsid w:val="006D57CE"/>
    <w:rsid w:val="006D61AE"/>
    <w:rsid w:val="006E208E"/>
    <w:rsid w:val="006E2099"/>
    <w:rsid w:val="006E4542"/>
    <w:rsid w:val="006E7701"/>
    <w:rsid w:val="006F2141"/>
    <w:rsid w:val="006F293F"/>
    <w:rsid w:val="006F30CD"/>
    <w:rsid w:val="006F334A"/>
    <w:rsid w:val="006F4C86"/>
    <w:rsid w:val="006F53DE"/>
    <w:rsid w:val="006F55D5"/>
    <w:rsid w:val="00703106"/>
    <w:rsid w:val="00704302"/>
    <w:rsid w:val="00704942"/>
    <w:rsid w:val="00704C7F"/>
    <w:rsid w:val="0070733A"/>
    <w:rsid w:val="007119B4"/>
    <w:rsid w:val="00711C66"/>
    <w:rsid w:val="00712B08"/>
    <w:rsid w:val="007168C5"/>
    <w:rsid w:val="0071695B"/>
    <w:rsid w:val="00716F34"/>
    <w:rsid w:val="007228E4"/>
    <w:rsid w:val="00723858"/>
    <w:rsid w:val="00723D3C"/>
    <w:rsid w:val="00726071"/>
    <w:rsid w:val="007316D0"/>
    <w:rsid w:val="00733950"/>
    <w:rsid w:val="00735009"/>
    <w:rsid w:val="00735198"/>
    <w:rsid w:val="00735619"/>
    <w:rsid w:val="00735D2A"/>
    <w:rsid w:val="00740AFE"/>
    <w:rsid w:val="0074178E"/>
    <w:rsid w:val="00742552"/>
    <w:rsid w:val="00742E35"/>
    <w:rsid w:val="00745901"/>
    <w:rsid w:val="007476E8"/>
    <w:rsid w:val="007504E0"/>
    <w:rsid w:val="0075164E"/>
    <w:rsid w:val="00752300"/>
    <w:rsid w:val="0075589E"/>
    <w:rsid w:val="00760F63"/>
    <w:rsid w:val="00761C3A"/>
    <w:rsid w:val="007623A1"/>
    <w:rsid w:val="0076323E"/>
    <w:rsid w:val="007634C5"/>
    <w:rsid w:val="00764A62"/>
    <w:rsid w:val="00764DFF"/>
    <w:rsid w:val="00764E72"/>
    <w:rsid w:val="00766437"/>
    <w:rsid w:val="00766819"/>
    <w:rsid w:val="00766DCF"/>
    <w:rsid w:val="0076713A"/>
    <w:rsid w:val="00767F21"/>
    <w:rsid w:val="00773634"/>
    <w:rsid w:val="00773AFA"/>
    <w:rsid w:val="00774E89"/>
    <w:rsid w:val="0077569C"/>
    <w:rsid w:val="00776C92"/>
    <w:rsid w:val="007820B2"/>
    <w:rsid w:val="00782C53"/>
    <w:rsid w:val="007846A7"/>
    <w:rsid w:val="0078533F"/>
    <w:rsid w:val="0078563A"/>
    <w:rsid w:val="00785A6B"/>
    <w:rsid w:val="00786660"/>
    <w:rsid w:val="00790627"/>
    <w:rsid w:val="00791A9D"/>
    <w:rsid w:val="0079355D"/>
    <w:rsid w:val="00795075"/>
    <w:rsid w:val="00797A1C"/>
    <w:rsid w:val="00797A64"/>
    <w:rsid w:val="00797D07"/>
    <w:rsid w:val="007A0E30"/>
    <w:rsid w:val="007A13B1"/>
    <w:rsid w:val="007A1576"/>
    <w:rsid w:val="007A22C4"/>
    <w:rsid w:val="007A3509"/>
    <w:rsid w:val="007A48EE"/>
    <w:rsid w:val="007A53A4"/>
    <w:rsid w:val="007A587B"/>
    <w:rsid w:val="007A5B0B"/>
    <w:rsid w:val="007A636F"/>
    <w:rsid w:val="007B40FD"/>
    <w:rsid w:val="007B6160"/>
    <w:rsid w:val="007C30CC"/>
    <w:rsid w:val="007C4E6F"/>
    <w:rsid w:val="007C52FD"/>
    <w:rsid w:val="007C5699"/>
    <w:rsid w:val="007C5767"/>
    <w:rsid w:val="007C6423"/>
    <w:rsid w:val="007C6D2E"/>
    <w:rsid w:val="007C7F4E"/>
    <w:rsid w:val="007D22EB"/>
    <w:rsid w:val="007D233B"/>
    <w:rsid w:val="007D2B24"/>
    <w:rsid w:val="007D2E6A"/>
    <w:rsid w:val="007D42D5"/>
    <w:rsid w:val="007E0C8C"/>
    <w:rsid w:val="007E23D9"/>
    <w:rsid w:val="007E2680"/>
    <w:rsid w:val="007E3EC4"/>
    <w:rsid w:val="007E50B3"/>
    <w:rsid w:val="007E55B1"/>
    <w:rsid w:val="007E6D29"/>
    <w:rsid w:val="007E6EBB"/>
    <w:rsid w:val="007E78AD"/>
    <w:rsid w:val="007F13A4"/>
    <w:rsid w:val="007F17F9"/>
    <w:rsid w:val="007F1CF7"/>
    <w:rsid w:val="007F3B9E"/>
    <w:rsid w:val="007F6575"/>
    <w:rsid w:val="007F6E4A"/>
    <w:rsid w:val="00801093"/>
    <w:rsid w:val="00801CF5"/>
    <w:rsid w:val="00802C21"/>
    <w:rsid w:val="00803FEB"/>
    <w:rsid w:val="00804D5C"/>
    <w:rsid w:val="0080656A"/>
    <w:rsid w:val="00807B1B"/>
    <w:rsid w:val="00807DA9"/>
    <w:rsid w:val="008111E6"/>
    <w:rsid w:val="008124D6"/>
    <w:rsid w:val="0081267E"/>
    <w:rsid w:val="00812DAD"/>
    <w:rsid w:val="00815F39"/>
    <w:rsid w:val="00815F63"/>
    <w:rsid w:val="00816141"/>
    <w:rsid w:val="00816FD6"/>
    <w:rsid w:val="00820818"/>
    <w:rsid w:val="00821FAB"/>
    <w:rsid w:val="00822550"/>
    <w:rsid w:val="008232DA"/>
    <w:rsid w:val="008237C6"/>
    <w:rsid w:val="00823841"/>
    <w:rsid w:val="008239E4"/>
    <w:rsid w:val="008262E2"/>
    <w:rsid w:val="00826506"/>
    <w:rsid w:val="008320E0"/>
    <w:rsid w:val="00833A99"/>
    <w:rsid w:val="00833E8A"/>
    <w:rsid w:val="00834846"/>
    <w:rsid w:val="008357C5"/>
    <w:rsid w:val="00835B6D"/>
    <w:rsid w:val="008366DF"/>
    <w:rsid w:val="00837C0C"/>
    <w:rsid w:val="00841F8B"/>
    <w:rsid w:val="008451BB"/>
    <w:rsid w:val="00845DC5"/>
    <w:rsid w:val="008460A1"/>
    <w:rsid w:val="00846C65"/>
    <w:rsid w:val="00847504"/>
    <w:rsid w:val="0085058C"/>
    <w:rsid w:val="00853B9F"/>
    <w:rsid w:val="00854D52"/>
    <w:rsid w:val="00855699"/>
    <w:rsid w:val="00855871"/>
    <w:rsid w:val="00856482"/>
    <w:rsid w:val="00860A83"/>
    <w:rsid w:val="00861EFA"/>
    <w:rsid w:val="00862371"/>
    <w:rsid w:val="00864EAA"/>
    <w:rsid w:val="008650A0"/>
    <w:rsid w:val="00870223"/>
    <w:rsid w:val="00870687"/>
    <w:rsid w:val="00870E4A"/>
    <w:rsid w:val="008766A0"/>
    <w:rsid w:val="00877FF6"/>
    <w:rsid w:val="00880187"/>
    <w:rsid w:val="00880D98"/>
    <w:rsid w:val="00881278"/>
    <w:rsid w:val="0088210D"/>
    <w:rsid w:val="00882453"/>
    <w:rsid w:val="00882CFB"/>
    <w:rsid w:val="00883F1B"/>
    <w:rsid w:val="00884734"/>
    <w:rsid w:val="0088573B"/>
    <w:rsid w:val="00886656"/>
    <w:rsid w:val="00887101"/>
    <w:rsid w:val="0088729E"/>
    <w:rsid w:val="00890AE6"/>
    <w:rsid w:val="0089360B"/>
    <w:rsid w:val="008955DD"/>
    <w:rsid w:val="00896491"/>
    <w:rsid w:val="008A2284"/>
    <w:rsid w:val="008A2748"/>
    <w:rsid w:val="008A2AAD"/>
    <w:rsid w:val="008A4B82"/>
    <w:rsid w:val="008A5CF9"/>
    <w:rsid w:val="008A6823"/>
    <w:rsid w:val="008B0937"/>
    <w:rsid w:val="008B1B1E"/>
    <w:rsid w:val="008B47C6"/>
    <w:rsid w:val="008B7090"/>
    <w:rsid w:val="008C0330"/>
    <w:rsid w:val="008C04FD"/>
    <w:rsid w:val="008C2670"/>
    <w:rsid w:val="008C2863"/>
    <w:rsid w:val="008C3BDF"/>
    <w:rsid w:val="008C408B"/>
    <w:rsid w:val="008C46CD"/>
    <w:rsid w:val="008D059A"/>
    <w:rsid w:val="008D0862"/>
    <w:rsid w:val="008D2E3A"/>
    <w:rsid w:val="008D4369"/>
    <w:rsid w:val="008D5920"/>
    <w:rsid w:val="008D5C5E"/>
    <w:rsid w:val="008D5E2C"/>
    <w:rsid w:val="008E1A75"/>
    <w:rsid w:val="008E1D7E"/>
    <w:rsid w:val="008E27AD"/>
    <w:rsid w:val="008E28C1"/>
    <w:rsid w:val="008E57F0"/>
    <w:rsid w:val="008E6E7E"/>
    <w:rsid w:val="008E7108"/>
    <w:rsid w:val="008E71BD"/>
    <w:rsid w:val="008E7303"/>
    <w:rsid w:val="008F43E6"/>
    <w:rsid w:val="008F6417"/>
    <w:rsid w:val="009008E0"/>
    <w:rsid w:val="00900C88"/>
    <w:rsid w:val="00900E1C"/>
    <w:rsid w:val="00902110"/>
    <w:rsid w:val="00903423"/>
    <w:rsid w:val="00903E5E"/>
    <w:rsid w:val="00904568"/>
    <w:rsid w:val="00905383"/>
    <w:rsid w:val="00905F0E"/>
    <w:rsid w:val="0090746C"/>
    <w:rsid w:val="00910CE9"/>
    <w:rsid w:val="00910EA2"/>
    <w:rsid w:val="00910F78"/>
    <w:rsid w:val="0091361D"/>
    <w:rsid w:val="00913F96"/>
    <w:rsid w:val="009177FF"/>
    <w:rsid w:val="009207F5"/>
    <w:rsid w:val="00920900"/>
    <w:rsid w:val="0092111D"/>
    <w:rsid w:val="00921137"/>
    <w:rsid w:val="009220AE"/>
    <w:rsid w:val="00922CAB"/>
    <w:rsid w:val="00924044"/>
    <w:rsid w:val="00924EE0"/>
    <w:rsid w:val="009258A8"/>
    <w:rsid w:val="00926323"/>
    <w:rsid w:val="00926C88"/>
    <w:rsid w:val="00927326"/>
    <w:rsid w:val="00927DB5"/>
    <w:rsid w:val="0093030E"/>
    <w:rsid w:val="00931131"/>
    <w:rsid w:val="0093135E"/>
    <w:rsid w:val="00932EBF"/>
    <w:rsid w:val="009345E7"/>
    <w:rsid w:val="00934BB3"/>
    <w:rsid w:val="0093582C"/>
    <w:rsid w:val="009367D0"/>
    <w:rsid w:val="009418BF"/>
    <w:rsid w:val="00943D20"/>
    <w:rsid w:val="00944D49"/>
    <w:rsid w:val="00944F6B"/>
    <w:rsid w:val="009450FD"/>
    <w:rsid w:val="00951B83"/>
    <w:rsid w:val="00951DE7"/>
    <w:rsid w:val="00952D49"/>
    <w:rsid w:val="009541EA"/>
    <w:rsid w:val="00955391"/>
    <w:rsid w:val="00955836"/>
    <w:rsid w:val="00955BCF"/>
    <w:rsid w:val="00956FA0"/>
    <w:rsid w:val="00957988"/>
    <w:rsid w:val="00957C00"/>
    <w:rsid w:val="00960158"/>
    <w:rsid w:val="0096055B"/>
    <w:rsid w:val="00960DFA"/>
    <w:rsid w:val="00962FA0"/>
    <w:rsid w:val="009633A2"/>
    <w:rsid w:val="00963D1E"/>
    <w:rsid w:val="009642B0"/>
    <w:rsid w:val="00966B41"/>
    <w:rsid w:val="00966E24"/>
    <w:rsid w:val="00970D94"/>
    <w:rsid w:val="00971F39"/>
    <w:rsid w:val="00974BCC"/>
    <w:rsid w:val="009757F4"/>
    <w:rsid w:val="0098044D"/>
    <w:rsid w:val="009809CE"/>
    <w:rsid w:val="00982718"/>
    <w:rsid w:val="00985389"/>
    <w:rsid w:val="00985656"/>
    <w:rsid w:val="00986865"/>
    <w:rsid w:val="00990D34"/>
    <w:rsid w:val="00991E50"/>
    <w:rsid w:val="00992302"/>
    <w:rsid w:val="009939B0"/>
    <w:rsid w:val="009A10D1"/>
    <w:rsid w:val="009A15BB"/>
    <w:rsid w:val="009A18D0"/>
    <w:rsid w:val="009A4A4F"/>
    <w:rsid w:val="009A4E2A"/>
    <w:rsid w:val="009B0176"/>
    <w:rsid w:val="009B0220"/>
    <w:rsid w:val="009B04CD"/>
    <w:rsid w:val="009B10C7"/>
    <w:rsid w:val="009B2F62"/>
    <w:rsid w:val="009B39C3"/>
    <w:rsid w:val="009B5612"/>
    <w:rsid w:val="009B5D13"/>
    <w:rsid w:val="009B5EE7"/>
    <w:rsid w:val="009B6047"/>
    <w:rsid w:val="009C0723"/>
    <w:rsid w:val="009C4544"/>
    <w:rsid w:val="009C4EC3"/>
    <w:rsid w:val="009C646B"/>
    <w:rsid w:val="009C7B36"/>
    <w:rsid w:val="009D0A7F"/>
    <w:rsid w:val="009D3A1E"/>
    <w:rsid w:val="009D64BC"/>
    <w:rsid w:val="009D685C"/>
    <w:rsid w:val="009D770F"/>
    <w:rsid w:val="009E0415"/>
    <w:rsid w:val="009E0749"/>
    <w:rsid w:val="009E0E97"/>
    <w:rsid w:val="009E10AA"/>
    <w:rsid w:val="009E1E3F"/>
    <w:rsid w:val="009E43B3"/>
    <w:rsid w:val="009E455C"/>
    <w:rsid w:val="009E497B"/>
    <w:rsid w:val="009E59A1"/>
    <w:rsid w:val="009E7E96"/>
    <w:rsid w:val="009F1495"/>
    <w:rsid w:val="009F1F87"/>
    <w:rsid w:val="009F20CC"/>
    <w:rsid w:val="009F4A19"/>
    <w:rsid w:val="009F4E5B"/>
    <w:rsid w:val="009F4EFC"/>
    <w:rsid w:val="00A018F0"/>
    <w:rsid w:val="00A03669"/>
    <w:rsid w:val="00A1242A"/>
    <w:rsid w:val="00A12E78"/>
    <w:rsid w:val="00A15046"/>
    <w:rsid w:val="00A22D5F"/>
    <w:rsid w:val="00A23F8F"/>
    <w:rsid w:val="00A26E32"/>
    <w:rsid w:val="00A27D0B"/>
    <w:rsid w:val="00A31482"/>
    <w:rsid w:val="00A321F9"/>
    <w:rsid w:val="00A32F72"/>
    <w:rsid w:val="00A35BDF"/>
    <w:rsid w:val="00A37050"/>
    <w:rsid w:val="00A372B8"/>
    <w:rsid w:val="00A37AC2"/>
    <w:rsid w:val="00A37B34"/>
    <w:rsid w:val="00A4597C"/>
    <w:rsid w:val="00A474A3"/>
    <w:rsid w:val="00A5098B"/>
    <w:rsid w:val="00A50E62"/>
    <w:rsid w:val="00A61795"/>
    <w:rsid w:val="00A617E7"/>
    <w:rsid w:val="00A61FC4"/>
    <w:rsid w:val="00A62C55"/>
    <w:rsid w:val="00A63786"/>
    <w:rsid w:val="00A63A74"/>
    <w:rsid w:val="00A65CE4"/>
    <w:rsid w:val="00A65DE5"/>
    <w:rsid w:val="00A6641D"/>
    <w:rsid w:val="00A66A80"/>
    <w:rsid w:val="00A67400"/>
    <w:rsid w:val="00A70D6B"/>
    <w:rsid w:val="00A70D81"/>
    <w:rsid w:val="00A716E4"/>
    <w:rsid w:val="00A72A48"/>
    <w:rsid w:val="00A72CAC"/>
    <w:rsid w:val="00A72CE9"/>
    <w:rsid w:val="00A74577"/>
    <w:rsid w:val="00A75F38"/>
    <w:rsid w:val="00A76683"/>
    <w:rsid w:val="00A8184A"/>
    <w:rsid w:val="00A84F52"/>
    <w:rsid w:val="00A85F7C"/>
    <w:rsid w:val="00A87B95"/>
    <w:rsid w:val="00A9002E"/>
    <w:rsid w:val="00A934B1"/>
    <w:rsid w:val="00A96D11"/>
    <w:rsid w:val="00AA0144"/>
    <w:rsid w:val="00AA1134"/>
    <w:rsid w:val="00AA3BA0"/>
    <w:rsid w:val="00AA482A"/>
    <w:rsid w:val="00AA74B7"/>
    <w:rsid w:val="00AA79C4"/>
    <w:rsid w:val="00AB1C79"/>
    <w:rsid w:val="00AB3FDF"/>
    <w:rsid w:val="00AB4507"/>
    <w:rsid w:val="00AB49B4"/>
    <w:rsid w:val="00AB7141"/>
    <w:rsid w:val="00AC280F"/>
    <w:rsid w:val="00AC4406"/>
    <w:rsid w:val="00AC4DA4"/>
    <w:rsid w:val="00AC5A65"/>
    <w:rsid w:val="00AD2BD6"/>
    <w:rsid w:val="00AD383C"/>
    <w:rsid w:val="00AD38BE"/>
    <w:rsid w:val="00AD452E"/>
    <w:rsid w:val="00AD528A"/>
    <w:rsid w:val="00AD688F"/>
    <w:rsid w:val="00AD71F7"/>
    <w:rsid w:val="00AE3046"/>
    <w:rsid w:val="00AE3725"/>
    <w:rsid w:val="00AE461E"/>
    <w:rsid w:val="00AE4F20"/>
    <w:rsid w:val="00AE5929"/>
    <w:rsid w:val="00AE5C4A"/>
    <w:rsid w:val="00AE7599"/>
    <w:rsid w:val="00AE790D"/>
    <w:rsid w:val="00AF0275"/>
    <w:rsid w:val="00AF1328"/>
    <w:rsid w:val="00AF404C"/>
    <w:rsid w:val="00B01734"/>
    <w:rsid w:val="00B029C3"/>
    <w:rsid w:val="00B045C2"/>
    <w:rsid w:val="00B050EC"/>
    <w:rsid w:val="00B0520F"/>
    <w:rsid w:val="00B05490"/>
    <w:rsid w:val="00B078F7"/>
    <w:rsid w:val="00B1158C"/>
    <w:rsid w:val="00B1358C"/>
    <w:rsid w:val="00B13E1D"/>
    <w:rsid w:val="00B15194"/>
    <w:rsid w:val="00B15DDD"/>
    <w:rsid w:val="00B166E9"/>
    <w:rsid w:val="00B202EC"/>
    <w:rsid w:val="00B204E1"/>
    <w:rsid w:val="00B2319C"/>
    <w:rsid w:val="00B26444"/>
    <w:rsid w:val="00B35989"/>
    <w:rsid w:val="00B35C76"/>
    <w:rsid w:val="00B37579"/>
    <w:rsid w:val="00B40B0E"/>
    <w:rsid w:val="00B40BD8"/>
    <w:rsid w:val="00B420C4"/>
    <w:rsid w:val="00B42FA2"/>
    <w:rsid w:val="00B453E3"/>
    <w:rsid w:val="00B462EB"/>
    <w:rsid w:val="00B50538"/>
    <w:rsid w:val="00B524E9"/>
    <w:rsid w:val="00B537DA"/>
    <w:rsid w:val="00B54A1E"/>
    <w:rsid w:val="00B57664"/>
    <w:rsid w:val="00B577CB"/>
    <w:rsid w:val="00B60C30"/>
    <w:rsid w:val="00B62C78"/>
    <w:rsid w:val="00B6390E"/>
    <w:rsid w:val="00B63C62"/>
    <w:rsid w:val="00B647D8"/>
    <w:rsid w:val="00B652CC"/>
    <w:rsid w:val="00B65714"/>
    <w:rsid w:val="00B66647"/>
    <w:rsid w:val="00B70CC1"/>
    <w:rsid w:val="00B714FF"/>
    <w:rsid w:val="00B71702"/>
    <w:rsid w:val="00B735B0"/>
    <w:rsid w:val="00B73C30"/>
    <w:rsid w:val="00B742C5"/>
    <w:rsid w:val="00B77380"/>
    <w:rsid w:val="00B8197A"/>
    <w:rsid w:val="00B81CD5"/>
    <w:rsid w:val="00B82C5C"/>
    <w:rsid w:val="00B82EE7"/>
    <w:rsid w:val="00B84459"/>
    <w:rsid w:val="00B848B8"/>
    <w:rsid w:val="00B92404"/>
    <w:rsid w:val="00B92CD7"/>
    <w:rsid w:val="00B93B13"/>
    <w:rsid w:val="00B973D2"/>
    <w:rsid w:val="00BA1D66"/>
    <w:rsid w:val="00BA22D0"/>
    <w:rsid w:val="00BA4108"/>
    <w:rsid w:val="00BA5C9A"/>
    <w:rsid w:val="00BA65C2"/>
    <w:rsid w:val="00BA7201"/>
    <w:rsid w:val="00BB01BE"/>
    <w:rsid w:val="00BB0B2B"/>
    <w:rsid w:val="00BB171A"/>
    <w:rsid w:val="00BB1D46"/>
    <w:rsid w:val="00BB2752"/>
    <w:rsid w:val="00BB45A0"/>
    <w:rsid w:val="00BB4E84"/>
    <w:rsid w:val="00BB4F26"/>
    <w:rsid w:val="00BB5031"/>
    <w:rsid w:val="00BB53D8"/>
    <w:rsid w:val="00BC1D22"/>
    <w:rsid w:val="00BC1E62"/>
    <w:rsid w:val="00BC5A56"/>
    <w:rsid w:val="00BC6CE1"/>
    <w:rsid w:val="00BD1A98"/>
    <w:rsid w:val="00BD25A1"/>
    <w:rsid w:val="00BD3553"/>
    <w:rsid w:val="00BD35F4"/>
    <w:rsid w:val="00BE155C"/>
    <w:rsid w:val="00BE1A9C"/>
    <w:rsid w:val="00BE3167"/>
    <w:rsid w:val="00BE4F6C"/>
    <w:rsid w:val="00BE6B70"/>
    <w:rsid w:val="00BF0A03"/>
    <w:rsid w:val="00BF4611"/>
    <w:rsid w:val="00BF4B1D"/>
    <w:rsid w:val="00BF4F46"/>
    <w:rsid w:val="00BF5B5A"/>
    <w:rsid w:val="00BF7DD7"/>
    <w:rsid w:val="00C00DCA"/>
    <w:rsid w:val="00C01685"/>
    <w:rsid w:val="00C02FFC"/>
    <w:rsid w:val="00C04C08"/>
    <w:rsid w:val="00C055BB"/>
    <w:rsid w:val="00C05ECD"/>
    <w:rsid w:val="00C078F8"/>
    <w:rsid w:val="00C1112C"/>
    <w:rsid w:val="00C12F80"/>
    <w:rsid w:val="00C14DCE"/>
    <w:rsid w:val="00C14FC3"/>
    <w:rsid w:val="00C159C2"/>
    <w:rsid w:val="00C172C0"/>
    <w:rsid w:val="00C17A67"/>
    <w:rsid w:val="00C205A9"/>
    <w:rsid w:val="00C2193F"/>
    <w:rsid w:val="00C22BB4"/>
    <w:rsid w:val="00C230E1"/>
    <w:rsid w:val="00C2351D"/>
    <w:rsid w:val="00C239FF"/>
    <w:rsid w:val="00C25254"/>
    <w:rsid w:val="00C27AF8"/>
    <w:rsid w:val="00C309D7"/>
    <w:rsid w:val="00C31756"/>
    <w:rsid w:val="00C33D67"/>
    <w:rsid w:val="00C42066"/>
    <w:rsid w:val="00C439C7"/>
    <w:rsid w:val="00C472BB"/>
    <w:rsid w:val="00C5004C"/>
    <w:rsid w:val="00C50C55"/>
    <w:rsid w:val="00C5277B"/>
    <w:rsid w:val="00C5303E"/>
    <w:rsid w:val="00C55BE6"/>
    <w:rsid w:val="00C5738B"/>
    <w:rsid w:val="00C606BF"/>
    <w:rsid w:val="00C60B5F"/>
    <w:rsid w:val="00C61F6E"/>
    <w:rsid w:val="00C62BFD"/>
    <w:rsid w:val="00C62DD3"/>
    <w:rsid w:val="00C654EA"/>
    <w:rsid w:val="00C71C32"/>
    <w:rsid w:val="00C72169"/>
    <w:rsid w:val="00C72CE3"/>
    <w:rsid w:val="00C75B31"/>
    <w:rsid w:val="00C76215"/>
    <w:rsid w:val="00C77C74"/>
    <w:rsid w:val="00C81753"/>
    <w:rsid w:val="00C81BC6"/>
    <w:rsid w:val="00C82B90"/>
    <w:rsid w:val="00C83C3B"/>
    <w:rsid w:val="00C8580C"/>
    <w:rsid w:val="00C86F77"/>
    <w:rsid w:val="00C87A0A"/>
    <w:rsid w:val="00C9080B"/>
    <w:rsid w:val="00C90917"/>
    <w:rsid w:val="00C917CE"/>
    <w:rsid w:val="00C9536F"/>
    <w:rsid w:val="00C96BD8"/>
    <w:rsid w:val="00CA113B"/>
    <w:rsid w:val="00CA1775"/>
    <w:rsid w:val="00CA196C"/>
    <w:rsid w:val="00CA237C"/>
    <w:rsid w:val="00CA2A08"/>
    <w:rsid w:val="00CA4B06"/>
    <w:rsid w:val="00CA5109"/>
    <w:rsid w:val="00CA5E8D"/>
    <w:rsid w:val="00CB27B9"/>
    <w:rsid w:val="00CB4AD2"/>
    <w:rsid w:val="00CB686F"/>
    <w:rsid w:val="00CC074E"/>
    <w:rsid w:val="00CC0E5A"/>
    <w:rsid w:val="00CC1984"/>
    <w:rsid w:val="00CC26B1"/>
    <w:rsid w:val="00CC2F3C"/>
    <w:rsid w:val="00CC5F1C"/>
    <w:rsid w:val="00CC7A82"/>
    <w:rsid w:val="00CC7FBF"/>
    <w:rsid w:val="00CD074E"/>
    <w:rsid w:val="00CD1642"/>
    <w:rsid w:val="00CD26B6"/>
    <w:rsid w:val="00CD2B7C"/>
    <w:rsid w:val="00CD37A1"/>
    <w:rsid w:val="00CD37E9"/>
    <w:rsid w:val="00CD485B"/>
    <w:rsid w:val="00CD4A05"/>
    <w:rsid w:val="00CD6A88"/>
    <w:rsid w:val="00CE17A7"/>
    <w:rsid w:val="00CE3C85"/>
    <w:rsid w:val="00CE64BB"/>
    <w:rsid w:val="00CE7F53"/>
    <w:rsid w:val="00CF007C"/>
    <w:rsid w:val="00CF118A"/>
    <w:rsid w:val="00CF4688"/>
    <w:rsid w:val="00CF4C5C"/>
    <w:rsid w:val="00CF71F3"/>
    <w:rsid w:val="00D01C60"/>
    <w:rsid w:val="00D01CF2"/>
    <w:rsid w:val="00D0293A"/>
    <w:rsid w:val="00D0311C"/>
    <w:rsid w:val="00D0404C"/>
    <w:rsid w:val="00D04F2A"/>
    <w:rsid w:val="00D062D8"/>
    <w:rsid w:val="00D065D0"/>
    <w:rsid w:val="00D06AA4"/>
    <w:rsid w:val="00D12BCD"/>
    <w:rsid w:val="00D13E1C"/>
    <w:rsid w:val="00D146AA"/>
    <w:rsid w:val="00D14F8B"/>
    <w:rsid w:val="00D15821"/>
    <w:rsid w:val="00D169ED"/>
    <w:rsid w:val="00D16CDB"/>
    <w:rsid w:val="00D200BD"/>
    <w:rsid w:val="00D21F83"/>
    <w:rsid w:val="00D22E3D"/>
    <w:rsid w:val="00D23AD5"/>
    <w:rsid w:val="00D25EB4"/>
    <w:rsid w:val="00D30296"/>
    <w:rsid w:val="00D3099D"/>
    <w:rsid w:val="00D312F4"/>
    <w:rsid w:val="00D32B86"/>
    <w:rsid w:val="00D32D53"/>
    <w:rsid w:val="00D3433E"/>
    <w:rsid w:val="00D34835"/>
    <w:rsid w:val="00D36403"/>
    <w:rsid w:val="00D36D1B"/>
    <w:rsid w:val="00D36D62"/>
    <w:rsid w:val="00D44957"/>
    <w:rsid w:val="00D44958"/>
    <w:rsid w:val="00D454AC"/>
    <w:rsid w:val="00D459DC"/>
    <w:rsid w:val="00D45AE0"/>
    <w:rsid w:val="00D52293"/>
    <w:rsid w:val="00D533A5"/>
    <w:rsid w:val="00D54BAC"/>
    <w:rsid w:val="00D5538B"/>
    <w:rsid w:val="00D56E48"/>
    <w:rsid w:val="00D57D90"/>
    <w:rsid w:val="00D62160"/>
    <w:rsid w:val="00D64F51"/>
    <w:rsid w:val="00D656A9"/>
    <w:rsid w:val="00D65A2D"/>
    <w:rsid w:val="00D70CC8"/>
    <w:rsid w:val="00D71ABD"/>
    <w:rsid w:val="00D727D6"/>
    <w:rsid w:val="00D759A5"/>
    <w:rsid w:val="00D75A3A"/>
    <w:rsid w:val="00D7603B"/>
    <w:rsid w:val="00D77479"/>
    <w:rsid w:val="00D77E25"/>
    <w:rsid w:val="00D803DD"/>
    <w:rsid w:val="00D842C7"/>
    <w:rsid w:val="00D8516A"/>
    <w:rsid w:val="00D86EDA"/>
    <w:rsid w:val="00D86FEE"/>
    <w:rsid w:val="00D930C0"/>
    <w:rsid w:val="00D93AA9"/>
    <w:rsid w:val="00D9569C"/>
    <w:rsid w:val="00DA1226"/>
    <w:rsid w:val="00DA1391"/>
    <w:rsid w:val="00DA221B"/>
    <w:rsid w:val="00DA2EA8"/>
    <w:rsid w:val="00DA3D73"/>
    <w:rsid w:val="00DA457C"/>
    <w:rsid w:val="00DA4A69"/>
    <w:rsid w:val="00DA4B86"/>
    <w:rsid w:val="00DA4F27"/>
    <w:rsid w:val="00DA6CCB"/>
    <w:rsid w:val="00DB15F0"/>
    <w:rsid w:val="00DB3B6B"/>
    <w:rsid w:val="00DB4EB1"/>
    <w:rsid w:val="00DB62FD"/>
    <w:rsid w:val="00DB7333"/>
    <w:rsid w:val="00DC0267"/>
    <w:rsid w:val="00DC13B3"/>
    <w:rsid w:val="00DC25B3"/>
    <w:rsid w:val="00DC44EE"/>
    <w:rsid w:val="00DC5971"/>
    <w:rsid w:val="00DC5F29"/>
    <w:rsid w:val="00DC6886"/>
    <w:rsid w:val="00DC7771"/>
    <w:rsid w:val="00DC7D1D"/>
    <w:rsid w:val="00DD2691"/>
    <w:rsid w:val="00DD3998"/>
    <w:rsid w:val="00DD3A90"/>
    <w:rsid w:val="00DD624B"/>
    <w:rsid w:val="00DE2C83"/>
    <w:rsid w:val="00DE342E"/>
    <w:rsid w:val="00DE483E"/>
    <w:rsid w:val="00DF03D8"/>
    <w:rsid w:val="00DF0921"/>
    <w:rsid w:val="00DF20CD"/>
    <w:rsid w:val="00DF48DE"/>
    <w:rsid w:val="00DF4F63"/>
    <w:rsid w:val="00DF6E36"/>
    <w:rsid w:val="00DF6F8D"/>
    <w:rsid w:val="00DF78FA"/>
    <w:rsid w:val="00DF7F19"/>
    <w:rsid w:val="00E02C03"/>
    <w:rsid w:val="00E02F2F"/>
    <w:rsid w:val="00E03047"/>
    <w:rsid w:val="00E043E9"/>
    <w:rsid w:val="00E048D5"/>
    <w:rsid w:val="00E07C40"/>
    <w:rsid w:val="00E11262"/>
    <w:rsid w:val="00E12BB0"/>
    <w:rsid w:val="00E14334"/>
    <w:rsid w:val="00E14D80"/>
    <w:rsid w:val="00E14E7E"/>
    <w:rsid w:val="00E17039"/>
    <w:rsid w:val="00E20B06"/>
    <w:rsid w:val="00E227F9"/>
    <w:rsid w:val="00E24921"/>
    <w:rsid w:val="00E268E1"/>
    <w:rsid w:val="00E269AD"/>
    <w:rsid w:val="00E27302"/>
    <w:rsid w:val="00E273F2"/>
    <w:rsid w:val="00E27B61"/>
    <w:rsid w:val="00E27EB1"/>
    <w:rsid w:val="00E30036"/>
    <w:rsid w:val="00E30DAF"/>
    <w:rsid w:val="00E31285"/>
    <w:rsid w:val="00E31531"/>
    <w:rsid w:val="00E3321D"/>
    <w:rsid w:val="00E36BED"/>
    <w:rsid w:val="00E37C95"/>
    <w:rsid w:val="00E40710"/>
    <w:rsid w:val="00E43694"/>
    <w:rsid w:val="00E43AB7"/>
    <w:rsid w:val="00E46996"/>
    <w:rsid w:val="00E47AC1"/>
    <w:rsid w:val="00E50914"/>
    <w:rsid w:val="00E55C90"/>
    <w:rsid w:val="00E60C87"/>
    <w:rsid w:val="00E60E8B"/>
    <w:rsid w:val="00E62F98"/>
    <w:rsid w:val="00E6482E"/>
    <w:rsid w:val="00E661AB"/>
    <w:rsid w:val="00E70854"/>
    <w:rsid w:val="00E7398C"/>
    <w:rsid w:val="00E73C87"/>
    <w:rsid w:val="00E74625"/>
    <w:rsid w:val="00E74BE0"/>
    <w:rsid w:val="00E8155D"/>
    <w:rsid w:val="00E82A56"/>
    <w:rsid w:val="00E907E2"/>
    <w:rsid w:val="00E90974"/>
    <w:rsid w:val="00E92559"/>
    <w:rsid w:val="00E93DB0"/>
    <w:rsid w:val="00E95DD1"/>
    <w:rsid w:val="00E96892"/>
    <w:rsid w:val="00EA11A8"/>
    <w:rsid w:val="00EA1F87"/>
    <w:rsid w:val="00EA2B07"/>
    <w:rsid w:val="00EA5E7D"/>
    <w:rsid w:val="00EA7D37"/>
    <w:rsid w:val="00EB1C78"/>
    <w:rsid w:val="00EB210F"/>
    <w:rsid w:val="00EB3E41"/>
    <w:rsid w:val="00EB428C"/>
    <w:rsid w:val="00EC05FB"/>
    <w:rsid w:val="00EC119A"/>
    <w:rsid w:val="00EC4012"/>
    <w:rsid w:val="00EC4EFC"/>
    <w:rsid w:val="00EC52E0"/>
    <w:rsid w:val="00ED02C5"/>
    <w:rsid w:val="00ED1311"/>
    <w:rsid w:val="00ED2230"/>
    <w:rsid w:val="00ED3FAA"/>
    <w:rsid w:val="00ED5EE0"/>
    <w:rsid w:val="00ED6621"/>
    <w:rsid w:val="00ED71DF"/>
    <w:rsid w:val="00EE0126"/>
    <w:rsid w:val="00EE1516"/>
    <w:rsid w:val="00EE1DC3"/>
    <w:rsid w:val="00EE5074"/>
    <w:rsid w:val="00EE6259"/>
    <w:rsid w:val="00EE70DD"/>
    <w:rsid w:val="00EF20B8"/>
    <w:rsid w:val="00EF30FD"/>
    <w:rsid w:val="00EF49FD"/>
    <w:rsid w:val="00EF4CFD"/>
    <w:rsid w:val="00EF64E6"/>
    <w:rsid w:val="00EF6B6C"/>
    <w:rsid w:val="00EF6CB9"/>
    <w:rsid w:val="00EF7B13"/>
    <w:rsid w:val="00F003DD"/>
    <w:rsid w:val="00F00FE6"/>
    <w:rsid w:val="00F041C1"/>
    <w:rsid w:val="00F05B28"/>
    <w:rsid w:val="00F06902"/>
    <w:rsid w:val="00F07F41"/>
    <w:rsid w:val="00F16257"/>
    <w:rsid w:val="00F16F65"/>
    <w:rsid w:val="00F21C6C"/>
    <w:rsid w:val="00F21CAB"/>
    <w:rsid w:val="00F244E2"/>
    <w:rsid w:val="00F246A2"/>
    <w:rsid w:val="00F24C36"/>
    <w:rsid w:val="00F3078A"/>
    <w:rsid w:val="00F30BEA"/>
    <w:rsid w:val="00F318CA"/>
    <w:rsid w:val="00F327C8"/>
    <w:rsid w:val="00F32BEA"/>
    <w:rsid w:val="00F334B5"/>
    <w:rsid w:val="00F334FF"/>
    <w:rsid w:val="00F33958"/>
    <w:rsid w:val="00F4058C"/>
    <w:rsid w:val="00F409E6"/>
    <w:rsid w:val="00F43563"/>
    <w:rsid w:val="00F44DFD"/>
    <w:rsid w:val="00F455AD"/>
    <w:rsid w:val="00F45D96"/>
    <w:rsid w:val="00F4608E"/>
    <w:rsid w:val="00F475B8"/>
    <w:rsid w:val="00F505B5"/>
    <w:rsid w:val="00F50FF9"/>
    <w:rsid w:val="00F51F87"/>
    <w:rsid w:val="00F533D0"/>
    <w:rsid w:val="00F5452A"/>
    <w:rsid w:val="00F554F7"/>
    <w:rsid w:val="00F55FF2"/>
    <w:rsid w:val="00F5787F"/>
    <w:rsid w:val="00F631EF"/>
    <w:rsid w:val="00F6605E"/>
    <w:rsid w:val="00F665D7"/>
    <w:rsid w:val="00F70075"/>
    <w:rsid w:val="00F7098B"/>
    <w:rsid w:val="00F70A5B"/>
    <w:rsid w:val="00F710EA"/>
    <w:rsid w:val="00F719EF"/>
    <w:rsid w:val="00F71A76"/>
    <w:rsid w:val="00F72F2C"/>
    <w:rsid w:val="00F7357D"/>
    <w:rsid w:val="00F74E67"/>
    <w:rsid w:val="00F77889"/>
    <w:rsid w:val="00F82D87"/>
    <w:rsid w:val="00F8547C"/>
    <w:rsid w:val="00F864F4"/>
    <w:rsid w:val="00F86F07"/>
    <w:rsid w:val="00F90350"/>
    <w:rsid w:val="00F90FB7"/>
    <w:rsid w:val="00FA0BA9"/>
    <w:rsid w:val="00FA1D7D"/>
    <w:rsid w:val="00FA42B7"/>
    <w:rsid w:val="00FA4E0B"/>
    <w:rsid w:val="00FA619F"/>
    <w:rsid w:val="00FA6D2D"/>
    <w:rsid w:val="00FB34DD"/>
    <w:rsid w:val="00FB43C4"/>
    <w:rsid w:val="00FB4FE2"/>
    <w:rsid w:val="00FB5498"/>
    <w:rsid w:val="00FC1054"/>
    <w:rsid w:val="00FC2ABB"/>
    <w:rsid w:val="00FC37A5"/>
    <w:rsid w:val="00FC3F8F"/>
    <w:rsid w:val="00FC4B5A"/>
    <w:rsid w:val="00FC5169"/>
    <w:rsid w:val="00FD3283"/>
    <w:rsid w:val="00FD4529"/>
    <w:rsid w:val="00FD494B"/>
    <w:rsid w:val="00FD5E9E"/>
    <w:rsid w:val="00FE07B1"/>
    <w:rsid w:val="00FE0B4B"/>
    <w:rsid w:val="00FE18B0"/>
    <w:rsid w:val="00FE2DA2"/>
    <w:rsid w:val="00FF470A"/>
    <w:rsid w:val="00FF73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005eb8"/>
    </o:shapedefaults>
    <o:shapelayout v:ext="edit">
      <o:idmap v:ext="edit" data="1"/>
    </o:shapelayout>
  </w:shapeDefaults>
  <w:decimalSymbol w:val="."/>
  <w:listSeparator w:val=","/>
  <w15:chartTrackingRefBased/>
  <w15:docId w15:val="{B877D9D5-7D9E-45A5-9585-10A46C69A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30E"/>
    <w:pPr>
      <w:spacing w:before="120" w:after="120" w:line="240" w:lineRule="auto"/>
    </w:pPr>
    <w:rPr>
      <w:rFonts w:ascii="Univers 45 Light" w:hAnsi="Univers 45 Light"/>
      <w:sz w:val="20"/>
    </w:rPr>
  </w:style>
  <w:style w:type="paragraph" w:styleId="Heading1">
    <w:name w:val="heading 1"/>
    <w:next w:val="BodyText"/>
    <w:link w:val="Heading1Char"/>
    <w:autoRedefine/>
    <w:uiPriority w:val="9"/>
    <w:qFormat/>
    <w:rsid w:val="00EF6B6C"/>
    <w:pPr>
      <w:keepNext/>
      <w:keepLines/>
      <w:pageBreakBefore/>
      <w:numPr>
        <w:numId w:val="9"/>
      </w:numPr>
      <w:spacing w:before="240" w:after="240" w:line="240" w:lineRule="auto"/>
      <w:outlineLvl w:val="0"/>
    </w:pPr>
    <w:rPr>
      <w:rFonts w:ascii="KPMG Light" w:eastAsiaTheme="majorEastAsia" w:hAnsi="KPMG Light" w:cstheme="majorBidi"/>
      <w:color w:val="00338D"/>
      <w:sz w:val="80"/>
      <w:szCs w:val="80"/>
    </w:rPr>
  </w:style>
  <w:style w:type="paragraph" w:styleId="Heading2">
    <w:name w:val="heading 2"/>
    <w:basedOn w:val="Normal"/>
    <w:next w:val="Normal"/>
    <w:link w:val="Heading2Char"/>
    <w:autoRedefine/>
    <w:uiPriority w:val="9"/>
    <w:unhideWhenUsed/>
    <w:qFormat/>
    <w:rsid w:val="002E7D8E"/>
    <w:pPr>
      <w:keepNext/>
      <w:keepLines/>
      <w:numPr>
        <w:ilvl w:val="1"/>
        <w:numId w:val="9"/>
      </w:numPr>
      <w:spacing w:after="240"/>
      <w:outlineLvl w:val="1"/>
    </w:pPr>
    <w:rPr>
      <w:rFonts w:ascii="KPMG Light" w:eastAsiaTheme="majorEastAsia" w:hAnsi="KPMG Light" w:cstheme="majorBidi"/>
      <w:color w:val="00338D"/>
      <w:sz w:val="56"/>
      <w:szCs w:val="26"/>
    </w:rPr>
  </w:style>
  <w:style w:type="paragraph" w:styleId="Heading3">
    <w:name w:val="heading 3"/>
    <w:basedOn w:val="Normal"/>
    <w:next w:val="Normal"/>
    <w:link w:val="Heading3Char"/>
    <w:autoRedefine/>
    <w:uiPriority w:val="9"/>
    <w:unhideWhenUsed/>
    <w:qFormat/>
    <w:rsid w:val="0093030E"/>
    <w:pPr>
      <w:keepNext/>
      <w:keepLines/>
      <w:numPr>
        <w:ilvl w:val="2"/>
        <w:numId w:val="9"/>
      </w:numPr>
      <w:spacing w:before="240"/>
      <w:jc w:val="both"/>
      <w:outlineLvl w:val="2"/>
    </w:pPr>
    <w:rPr>
      <w:rFonts w:eastAsiaTheme="majorEastAsia" w:cstheme="majorBidi"/>
      <w:color w:val="00338D" w:themeColor="background2"/>
      <w:sz w:val="24"/>
      <w:szCs w:val="24"/>
    </w:rPr>
  </w:style>
  <w:style w:type="paragraph" w:styleId="Heading4">
    <w:name w:val="heading 4"/>
    <w:basedOn w:val="Normal"/>
    <w:next w:val="Normal"/>
    <w:link w:val="Heading4Char"/>
    <w:uiPriority w:val="9"/>
    <w:unhideWhenUsed/>
    <w:qFormat/>
    <w:rsid w:val="002F54AD"/>
    <w:pPr>
      <w:keepNext/>
      <w:keepLines/>
      <w:spacing w:before="240"/>
      <w:outlineLvl w:val="3"/>
    </w:pPr>
    <w:rPr>
      <w:rFonts w:eastAsiaTheme="majorEastAsia" w:cstheme="majorBidi"/>
      <w:b/>
      <w:iCs/>
      <w:color w:val="00338D" w:themeColor="background2"/>
    </w:rPr>
  </w:style>
  <w:style w:type="paragraph" w:styleId="Heading5">
    <w:name w:val="heading 5"/>
    <w:basedOn w:val="BodyText1"/>
    <w:next w:val="BodyText"/>
    <w:link w:val="Heading5Char"/>
    <w:uiPriority w:val="9"/>
    <w:unhideWhenUsed/>
    <w:qFormat/>
    <w:rsid w:val="00FA0BA9"/>
    <w:pPr>
      <w:keepNext/>
      <w:numPr>
        <w:ilvl w:val="4"/>
        <w:numId w:val="9"/>
      </w:numPr>
      <w:spacing w:before="240"/>
      <w:outlineLvl w:val="4"/>
    </w:pPr>
    <w:rPr>
      <w:i/>
      <w:color w:val="00338D"/>
    </w:rPr>
  </w:style>
  <w:style w:type="paragraph" w:styleId="Heading6">
    <w:name w:val="heading 6"/>
    <w:basedOn w:val="Normal"/>
    <w:next w:val="Normal"/>
    <w:link w:val="Heading6Char"/>
    <w:uiPriority w:val="9"/>
    <w:unhideWhenUsed/>
    <w:qFormat/>
    <w:rsid w:val="0093030E"/>
    <w:pPr>
      <w:keepNext/>
      <w:jc w:val="both"/>
      <w:outlineLvl w:val="5"/>
    </w:pPr>
    <w:rPr>
      <w:b/>
      <w:szCs w:val="20"/>
    </w:rPr>
  </w:style>
  <w:style w:type="paragraph" w:styleId="Heading7">
    <w:name w:val="heading 7"/>
    <w:basedOn w:val="Normal"/>
    <w:next w:val="Normal"/>
    <w:link w:val="Heading7Char"/>
    <w:uiPriority w:val="9"/>
    <w:unhideWhenUsed/>
    <w:qFormat/>
    <w:rsid w:val="00AE5C4A"/>
    <w:pPr>
      <w:keepNext/>
      <w:keepLines/>
      <w:numPr>
        <w:ilvl w:val="6"/>
        <w:numId w:val="9"/>
      </w:numPr>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unhideWhenUsed/>
    <w:qFormat/>
    <w:rsid w:val="00AE5C4A"/>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C4A"/>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08pt">
    <w:name w:val="Cover title 1_108pt"/>
    <w:autoRedefine/>
    <w:qFormat/>
    <w:rsid w:val="00667A26"/>
    <w:pPr>
      <w:spacing w:after="0" w:line="240" w:lineRule="auto"/>
    </w:pPr>
    <w:rPr>
      <w:rFonts w:ascii="KPMG Light" w:hAnsi="KPMG Light"/>
      <w:noProof/>
      <w:color w:val="FFFFFF" w:themeColor="background1"/>
      <w:sz w:val="96"/>
      <w:lang w:eastAsia="en-AU"/>
    </w:rPr>
  </w:style>
  <w:style w:type="paragraph" w:customStyle="1" w:styleId="Covertitle216ptB">
    <w:name w:val="Cover title 2_16pt_B"/>
    <w:qFormat/>
    <w:rsid w:val="009B5EE7"/>
    <w:pPr>
      <w:spacing w:after="0" w:line="240" w:lineRule="auto"/>
    </w:pPr>
    <w:rPr>
      <w:rFonts w:ascii="Univers 45 Light" w:hAnsi="Univers 45 Light"/>
      <w:b/>
      <w:color w:val="FFFFFF" w:themeColor="background1"/>
      <w:sz w:val="32"/>
    </w:rPr>
  </w:style>
  <w:style w:type="paragraph" w:customStyle="1" w:styleId="Covertitle316ptNB">
    <w:name w:val="Cover title 3_16pt_NB"/>
    <w:qFormat/>
    <w:rsid w:val="001B41A0"/>
    <w:pPr>
      <w:spacing w:after="0" w:line="240" w:lineRule="auto"/>
    </w:pPr>
    <w:rPr>
      <w:rFonts w:ascii="Univers 45 Light" w:hAnsi="Univers 45 Light"/>
      <w:color w:val="FFFFFF" w:themeColor="background1"/>
      <w:sz w:val="32"/>
    </w:rPr>
  </w:style>
  <w:style w:type="paragraph" w:customStyle="1" w:styleId="Covertitle412pt">
    <w:name w:val="Cover title 4_12pt"/>
    <w:qFormat/>
    <w:rsid w:val="009B5EE7"/>
    <w:pPr>
      <w:spacing w:before="3000" w:after="120" w:line="240" w:lineRule="auto"/>
    </w:pPr>
    <w:rPr>
      <w:rFonts w:ascii="Univers 45 Light" w:hAnsi="Univers 45 Light"/>
      <w:color w:val="FFFFFF" w:themeColor="background1"/>
      <w:sz w:val="24"/>
    </w:rPr>
  </w:style>
  <w:style w:type="table" w:styleId="TableGrid">
    <w:name w:val="Table Grid"/>
    <w:aliases w:val="Basic Table,McLL Table General Text"/>
    <w:basedOn w:val="TableNormal"/>
    <w:uiPriority w:val="39"/>
    <w:rsid w:val="0088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qFormat/>
    <w:rsid w:val="0093030E"/>
    <w:pPr>
      <w:spacing w:before="40" w:after="40"/>
      <w:jc w:val="left"/>
    </w:pPr>
    <w:rPr>
      <w:rFonts w:eastAsia="Times New Roman" w:cs="Times New Roman"/>
      <w:b/>
      <w:color w:val="FFFFFF"/>
      <w:sz w:val="18"/>
      <w:szCs w:val="20"/>
      <w:lang w:eastAsia="en-AU"/>
    </w:rPr>
  </w:style>
  <w:style w:type="paragraph" w:customStyle="1" w:styleId="Tabletext">
    <w:name w:val="Table text"/>
    <w:basedOn w:val="BodyText"/>
    <w:qFormat/>
    <w:rsid w:val="002E7D8E"/>
    <w:pPr>
      <w:spacing w:before="40" w:after="40"/>
      <w:jc w:val="left"/>
    </w:pPr>
    <w:rPr>
      <w:rFonts w:eastAsia="Times New Roman" w:cs="Times New Roman"/>
      <w:sz w:val="18"/>
      <w:szCs w:val="20"/>
      <w:lang w:eastAsia="en-AU"/>
    </w:rPr>
  </w:style>
  <w:style w:type="character" w:customStyle="1" w:styleId="Heading1Char">
    <w:name w:val="Heading 1 Char"/>
    <w:basedOn w:val="DefaultParagraphFont"/>
    <w:link w:val="Heading1"/>
    <w:uiPriority w:val="9"/>
    <w:rsid w:val="00EF6B6C"/>
    <w:rPr>
      <w:rFonts w:ascii="KPMG Light" w:eastAsiaTheme="majorEastAsia" w:hAnsi="KPMG Light" w:cstheme="majorBidi"/>
      <w:color w:val="00338D"/>
      <w:sz w:val="80"/>
      <w:szCs w:val="80"/>
    </w:rPr>
  </w:style>
  <w:style w:type="paragraph" w:customStyle="1" w:styleId="BodyText1">
    <w:name w:val="Body Text1"/>
    <w:qFormat/>
    <w:rsid w:val="00D65A2D"/>
    <w:pPr>
      <w:spacing w:before="120" w:after="120" w:line="240" w:lineRule="auto"/>
    </w:pPr>
    <w:rPr>
      <w:rFonts w:ascii="Univers 45 Light" w:hAnsi="Univers 45 Light"/>
      <w:sz w:val="20"/>
    </w:rPr>
  </w:style>
  <w:style w:type="paragraph" w:styleId="BodyText">
    <w:name w:val="Body Text"/>
    <w:basedOn w:val="Normal"/>
    <w:link w:val="BodyTextChar"/>
    <w:uiPriority w:val="99"/>
    <w:unhideWhenUsed/>
    <w:rsid w:val="001A241C"/>
    <w:pPr>
      <w:jc w:val="both"/>
    </w:pPr>
  </w:style>
  <w:style w:type="character" w:customStyle="1" w:styleId="BodyTextChar">
    <w:name w:val="Body Text Char"/>
    <w:basedOn w:val="DefaultParagraphFont"/>
    <w:link w:val="BodyText"/>
    <w:uiPriority w:val="99"/>
    <w:rsid w:val="001A241C"/>
    <w:rPr>
      <w:rFonts w:ascii="Univers 45 Light" w:hAnsi="Univers 45 Light"/>
      <w:sz w:val="20"/>
    </w:rPr>
  </w:style>
  <w:style w:type="character" w:customStyle="1" w:styleId="Heading2Char">
    <w:name w:val="Heading 2 Char"/>
    <w:basedOn w:val="DefaultParagraphFont"/>
    <w:link w:val="Heading2"/>
    <w:uiPriority w:val="9"/>
    <w:rsid w:val="002E7D8E"/>
    <w:rPr>
      <w:rFonts w:ascii="KPMG Light" w:eastAsiaTheme="majorEastAsia" w:hAnsi="KPMG Light" w:cstheme="majorBidi"/>
      <w:color w:val="00338D"/>
      <w:sz w:val="56"/>
      <w:szCs w:val="26"/>
    </w:rPr>
  </w:style>
  <w:style w:type="paragraph" w:styleId="TOC1">
    <w:name w:val="toc 1"/>
    <w:basedOn w:val="Normal"/>
    <w:next w:val="Normal"/>
    <w:autoRedefine/>
    <w:uiPriority w:val="39"/>
    <w:unhideWhenUsed/>
    <w:rsid w:val="00B82C5C"/>
    <w:pPr>
      <w:tabs>
        <w:tab w:val="left" w:pos="567"/>
        <w:tab w:val="right" w:pos="8505"/>
      </w:tabs>
      <w:ind w:left="567" w:hanging="425"/>
    </w:pPr>
    <w:rPr>
      <w:rFonts w:eastAsiaTheme="majorEastAsia"/>
      <w:noProof/>
      <w:sz w:val="22"/>
    </w:rPr>
  </w:style>
  <w:style w:type="character" w:customStyle="1" w:styleId="Heading3Char">
    <w:name w:val="Heading 3 Char"/>
    <w:basedOn w:val="DefaultParagraphFont"/>
    <w:link w:val="Heading3"/>
    <w:uiPriority w:val="9"/>
    <w:rsid w:val="0093030E"/>
    <w:rPr>
      <w:rFonts w:ascii="Univers 45 Light" w:eastAsiaTheme="majorEastAsia" w:hAnsi="Univers 45 Light" w:cstheme="majorBidi"/>
      <w:color w:val="00338D" w:themeColor="background2"/>
      <w:sz w:val="24"/>
      <w:szCs w:val="24"/>
    </w:rPr>
  </w:style>
  <w:style w:type="character" w:styleId="Hyperlink">
    <w:name w:val="Hyperlink"/>
    <w:basedOn w:val="DefaultParagraphFont"/>
    <w:uiPriority w:val="99"/>
    <w:unhideWhenUsed/>
    <w:rsid w:val="000D3A24"/>
    <w:rPr>
      <w:color w:val="auto"/>
      <w:u w:val="single"/>
    </w:rPr>
  </w:style>
  <w:style w:type="paragraph" w:styleId="Header">
    <w:name w:val="header"/>
    <w:basedOn w:val="Normal"/>
    <w:link w:val="HeaderChar"/>
    <w:unhideWhenUsed/>
    <w:rsid w:val="0093030E"/>
    <w:pPr>
      <w:tabs>
        <w:tab w:val="center" w:pos="4513"/>
        <w:tab w:val="right" w:pos="9026"/>
      </w:tabs>
      <w:spacing w:before="0" w:after="0"/>
      <w:jc w:val="right"/>
    </w:pPr>
    <w:rPr>
      <w:i/>
      <w:sz w:val="16"/>
    </w:rPr>
  </w:style>
  <w:style w:type="character" w:customStyle="1" w:styleId="HeaderChar">
    <w:name w:val="Header Char"/>
    <w:basedOn w:val="DefaultParagraphFont"/>
    <w:link w:val="Header"/>
    <w:rsid w:val="0093030E"/>
    <w:rPr>
      <w:rFonts w:ascii="Univers 45 Light" w:hAnsi="Univers 45 Light"/>
      <w:i/>
      <w:sz w:val="16"/>
    </w:rPr>
  </w:style>
  <w:style w:type="paragraph" w:styleId="Footer">
    <w:name w:val="footer"/>
    <w:basedOn w:val="Normal"/>
    <w:link w:val="FooterChar"/>
    <w:uiPriority w:val="99"/>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Univers 45 Light" w:hAnsi="Univers 45 Light"/>
      <w:color w:val="808080" w:themeColor="background1" w:themeShade="80"/>
      <w:sz w:val="12"/>
    </w:rPr>
  </w:style>
  <w:style w:type="paragraph" w:customStyle="1" w:styleId="CVname">
    <w:name w:val="CV name"/>
    <w:qFormat/>
    <w:rsid w:val="008B1B1E"/>
    <w:pPr>
      <w:spacing w:after="80" w:line="240" w:lineRule="auto"/>
    </w:pPr>
    <w:rPr>
      <w:rFonts w:ascii="Univers 45 Light" w:hAnsi="Univers 45 Light"/>
      <w:color w:val="00338D"/>
      <w:sz w:val="28"/>
    </w:rPr>
  </w:style>
  <w:style w:type="paragraph" w:customStyle="1" w:styleId="CVtitle">
    <w:name w:val="CV title"/>
    <w:qFormat/>
    <w:rsid w:val="0024699F"/>
    <w:pPr>
      <w:spacing w:line="240" w:lineRule="auto"/>
    </w:pPr>
    <w:rPr>
      <w:rFonts w:ascii="Univers 45 Light" w:hAnsi="Univers 45 Light"/>
      <w:color w:val="0091DA" w:themeColor="accent2"/>
      <w:sz w:val="24"/>
    </w:rPr>
  </w:style>
  <w:style w:type="paragraph" w:customStyle="1" w:styleId="CVdetail">
    <w:name w:val="CV detail"/>
    <w:qFormat/>
    <w:rsid w:val="008B1B1E"/>
    <w:pPr>
      <w:spacing w:before="120" w:after="0" w:line="240" w:lineRule="auto"/>
    </w:pPr>
    <w:rPr>
      <w:rFonts w:ascii="Univers 45 Light" w:hAnsi="Univers 45 Light"/>
      <w:color w:val="00338D"/>
      <w:sz w:val="20"/>
    </w:rPr>
  </w:style>
  <w:style w:type="paragraph" w:customStyle="1" w:styleId="CVheader">
    <w:name w:val="CV header"/>
    <w:qFormat/>
    <w:rsid w:val="004D0067"/>
    <w:pPr>
      <w:spacing w:before="240" w:after="120" w:line="240" w:lineRule="auto"/>
    </w:pPr>
    <w:rPr>
      <w:rFonts w:ascii="Univers 45 Light" w:hAnsi="Univers 45 Light"/>
      <w:b/>
      <w:color w:val="00338D"/>
      <w:sz w:val="20"/>
    </w:rPr>
  </w:style>
  <w:style w:type="paragraph" w:customStyle="1" w:styleId="CVtext">
    <w:name w:val="CV text"/>
    <w:qFormat/>
    <w:rsid w:val="0024699F"/>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2F54AD"/>
    <w:rPr>
      <w:rFonts w:ascii="Univers 45 Light" w:eastAsiaTheme="majorEastAsia" w:hAnsi="Univers 45 Light" w:cstheme="majorBidi"/>
      <w:b/>
      <w:iCs/>
      <w:color w:val="00338D" w:themeColor="background2"/>
      <w:sz w:val="20"/>
    </w:rPr>
  </w:style>
  <w:style w:type="character" w:customStyle="1" w:styleId="Heading5Char">
    <w:name w:val="Heading 5 Char"/>
    <w:basedOn w:val="DefaultParagraphFont"/>
    <w:link w:val="Heading5"/>
    <w:uiPriority w:val="9"/>
    <w:rsid w:val="00FA0BA9"/>
    <w:rPr>
      <w:rFonts w:ascii="Univers 45 Light" w:hAnsi="Univers 45 Light"/>
      <w:i/>
      <w:color w:val="00338D"/>
      <w:sz w:val="20"/>
    </w:rPr>
  </w:style>
  <w:style w:type="character" w:customStyle="1" w:styleId="Heading6Char">
    <w:name w:val="Heading 6 Char"/>
    <w:basedOn w:val="DefaultParagraphFont"/>
    <w:link w:val="Heading6"/>
    <w:uiPriority w:val="9"/>
    <w:rsid w:val="0093030E"/>
    <w:rPr>
      <w:rFonts w:ascii="Univers 45 Light" w:hAnsi="Univers 45 Light"/>
      <w:b/>
      <w:sz w:val="20"/>
      <w:szCs w:val="20"/>
    </w:rPr>
  </w:style>
  <w:style w:type="paragraph" w:customStyle="1" w:styleId="Bullet1stlevel">
    <w:name w:val="Bullet 1st level"/>
    <w:basedOn w:val="BodyText0"/>
    <w:qFormat/>
    <w:rsid w:val="00411FCA"/>
    <w:pPr>
      <w:numPr>
        <w:numId w:val="40"/>
      </w:numPr>
      <w:ind w:left="360"/>
      <w:jc w:val="both"/>
    </w:pPr>
  </w:style>
  <w:style w:type="paragraph" w:customStyle="1" w:styleId="Bullet2ndlevel">
    <w:name w:val="Bullet 2nd level"/>
    <w:basedOn w:val="ListBullet2"/>
    <w:qFormat/>
    <w:rsid w:val="00506A16"/>
    <w:pPr>
      <w:keepNext/>
      <w:widowControl w:val="0"/>
    </w:pPr>
  </w:style>
  <w:style w:type="paragraph" w:customStyle="1" w:styleId="Bullet3rdlevel">
    <w:name w:val="Bullet 3rd level"/>
    <w:basedOn w:val="BodyText1"/>
    <w:qFormat/>
    <w:rsid w:val="007316D0"/>
    <w:pPr>
      <w:numPr>
        <w:numId w:val="1"/>
      </w:numPr>
      <w:spacing w:before="40"/>
    </w:pPr>
  </w:style>
  <w:style w:type="paragraph" w:customStyle="1" w:styleId="Numberbullet1stlevel">
    <w:name w:val="Number bullet 1st level"/>
    <w:basedOn w:val="BodyText1"/>
    <w:qFormat/>
    <w:rsid w:val="00D65A2D"/>
  </w:style>
  <w:style w:type="paragraph" w:customStyle="1" w:styleId="Numberbullet2ndlevel">
    <w:name w:val="Number bullet 2nd level"/>
    <w:basedOn w:val="BodyText1"/>
    <w:qFormat/>
    <w:rsid w:val="00D65A2D"/>
    <w:pPr>
      <w:numPr>
        <w:numId w:val="3"/>
      </w:numPr>
      <w:tabs>
        <w:tab w:val="left" w:pos="714"/>
      </w:tabs>
      <w:ind w:left="714" w:hanging="357"/>
    </w:pPr>
  </w:style>
  <w:style w:type="paragraph" w:customStyle="1" w:styleId="CVbullet1">
    <w:name w:val="CV bullet 1"/>
    <w:basedOn w:val="BodyText1"/>
    <w:qFormat/>
    <w:rsid w:val="0024699F"/>
    <w:pPr>
      <w:numPr>
        <w:numId w:val="4"/>
      </w:numPr>
    </w:pPr>
  </w:style>
  <w:style w:type="paragraph" w:customStyle="1" w:styleId="CVbullet2">
    <w:name w:val="CV bullet 2"/>
    <w:basedOn w:val="BodyText1"/>
    <w:qFormat/>
    <w:rsid w:val="002360FF"/>
    <w:pPr>
      <w:numPr>
        <w:numId w:val="5"/>
      </w:numPr>
      <w:spacing w:before="40"/>
      <w:ind w:left="714" w:hanging="357"/>
    </w:pPr>
  </w:style>
  <w:style w:type="character" w:customStyle="1" w:styleId="White">
    <w:name w:val="White"/>
    <w:basedOn w:val="DefaultParagraphFont"/>
    <w:uiPriority w:val="1"/>
    <w:qFormat/>
    <w:rsid w:val="002D014E"/>
    <w:rPr>
      <w:color w:val="FFFFFF" w:themeColor="background1"/>
    </w:rPr>
  </w:style>
  <w:style w:type="paragraph" w:styleId="Quote">
    <w:name w:val="Quote"/>
    <w:basedOn w:val="Normal"/>
    <w:next w:val="Normal"/>
    <w:link w:val="QuoteChar"/>
    <w:uiPriority w:val="29"/>
    <w:qFormat/>
    <w:rsid w:val="00821FAB"/>
    <w:pPr>
      <w:spacing w:after="360" w:line="520" w:lineRule="exact"/>
    </w:pPr>
    <w:rPr>
      <w:rFonts w:ascii="KPMG Light" w:hAnsi="KPMG Light"/>
      <w:iCs/>
      <w:color w:val="005EB8" w:themeColor="accent1"/>
      <w:sz w:val="44"/>
    </w:rPr>
  </w:style>
  <w:style w:type="character" w:customStyle="1" w:styleId="QuoteChar">
    <w:name w:val="Quote Char"/>
    <w:basedOn w:val="DefaultParagraphFont"/>
    <w:link w:val="Quote"/>
    <w:uiPriority w:val="29"/>
    <w:rsid w:val="00821FAB"/>
    <w:rPr>
      <w:rFonts w:ascii="KPMG Light" w:hAnsi="KPMG Light"/>
      <w:iCs/>
      <w:color w:val="005EB8" w:themeColor="accent1"/>
      <w:sz w:val="44"/>
    </w:rPr>
  </w:style>
  <w:style w:type="paragraph" w:customStyle="1" w:styleId="Introduction">
    <w:name w:val="Introduction"/>
    <w:basedOn w:val="Quote"/>
    <w:qFormat/>
    <w:rsid w:val="00F455AD"/>
  </w:style>
  <w:style w:type="paragraph" w:customStyle="1" w:styleId="Letterhead">
    <w:name w:val="Letterhead"/>
    <w:rsid w:val="00826506"/>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903423"/>
    <w:pPr>
      <w:spacing w:before="20" w:after="20"/>
      <w:ind w:left="142"/>
    </w:pPr>
  </w:style>
  <w:style w:type="paragraph" w:customStyle="1" w:styleId="Contactus">
    <w:name w:val="Contact us"/>
    <w:basedOn w:val="BodyText1"/>
    <w:qFormat/>
    <w:rsid w:val="00CC7A82"/>
    <w:pPr>
      <w:ind w:left="426"/>
    </w:pPr>
    <w:rPr>
      <w:b/>
      <w:color w:val="FFFFFF" w:themeColor="background1"/>
      <w:sz w:val="24"/>
    </w:rPr>
  </w:style>
  <w:style w:type="paragraph" w:customStyle="1" w:styleId="backcoverdetails">
    <w:name w:val="back cover details"/>
    <w:basedOn w:val="BodyText1"/>
    <w:qFormat/>
    <w:rsid w:val="00CC7A82"/>
    <w:pPr>
      <w:spacing w:before="40" w:after="40"/>
      <w:ind w:left="425"/>
    </w:pPr>
    <w:rPr>
      <w:color w:val="FFFFFF" w:themeColor="background1"/>
    </w:rPr>
  </w:style>
  <w:style w:type="paragraph" w:styleId="IntenseQuote">
    <w:name w:val="Intense Quote"/>
    <w:basedOn w:val="Normal"/>
    <w:next w:val="Normal"/>
    <w:link w:val="IntenseQuoteChar"/>
    <w:uiPriority w:val="30"/>
    <w:qFormat/>
    <w:rsid w:val="00BA4108"/>
    <w:pPr>
      <w:pBdr>
        <w:top w:val="single" w:sz="4" w:space="10" w:color="005EB8" w:themeColor="accent1"/>
        <w:bottom w:val="single" w:sz="4" w:space="10" w:color="005EB8" w:themeColor="accent1"/>
      </w:pBdr>
      <w:spacing w:before="360" w:after="360"/>
    </w:pPr>
    <w:rPr>
      <w:i/>
      <w:iCs/>
      <w:color w:val="005EB8"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005EB8" w:themeColor="accent1"/>
    </w:rPr>
  </w:style>
  <w:style w:type="character" w:styleId="SubtleReference">
    <w:name w:val="Subtle Reference"/>
    <w:basedOn w:val="DefaultParagraphFont"/>
    <w:uiPriority w:val="31"/>
    <w:qFormat/>
    <w:rsid w:val="00BA4108"/>
    <w:rPr>
      <w:rFonts w:ascii="KPMG Light" w:hAnsi="KPMG Light"/>
      <w:smallCaps/>
      <w:color w:val="5A5A5A" w:themeColor="text1" w:themeTint="A5"/>
      <w:sz w:val="44"/>
    </w:rPr>
  </w:style>
  <w:style w:type="character" w:styleId="IntenseReference">
    <w:name w:val="Intense Reference"/>
    <w:basedOn w:val="DefaultParagraphFont"/>
    <w:uiPriority w:val="32"/>
    <w:qFormat/>
    <w:rsid w:val="00BA4108"/>
    <w:rPr>
      <w:rFonts w:ascii="KPMG Light" w:hAnsi="KPMG Light"/>
      <w:b/>
      <w:bCs/>
      <w:smallCaps/>
      <w:color w:val="005EB8" w:themeColor="accent1"/>
      <w:spacing w:val="5"/>
      <w:sz w:val="44"/>
    </w:rPr>
  </w:style>
  <w:style w:type="paragraph" w:customStyle="1" w:styleId="Default">
    <w:name w:val="Default"/>
    <w:rsid w:val="0041324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IntroPara">
    <w:name w:val="IntroPara"/>
    <w:basedOn w:val="Heading2"/>
    <w:qFormat/>
    <w:rsid w:val="00AE5C4A"/>
    <w:rPr>
      <w:rFonts w:eastAsiaTheme="minorHAnsi"/>
    </w:rPr>
  </w:style>
  <w:style w:type="character" w:customStyle="1" w:styleId="Heading7Char">
    <w:name w:val="Heading 7 Char"/>
    <w:basedOn w:val="DefaultParagraphFont"/>
    <w:link w:val="Heading7"/>
    <w:uiPriority w:val="9"/>
    <w:rsid w:val="00AE5C4A"/>
    <w:rPr>
      <w:rFonts w:asciiTheme="majorHAnsi" w:eastAsiaTheme="majorEastAsia" w:hAnsiTheme="majorHAnsi" w:cstheme="majorBidi"/>
      <w:i/>
      <w:iCs/>
      <w:color w:val="002E5B" w:themeColor="accent1" w:themeShade="7F"/>
      <w:sz w:val="20"/>
    </w:rPr>
  </w:style>
  <w:style w:type="character" w:customStyle="1" w:styleId="Heading9Char">
    <w:name w:val="Heading 9 Char"/>
    <w:basedOn w:val="DefaultParagraphFont"/>
    <w:link w:val="Heading9"/>
    <w:uiPriority w:val="9"/>
    <w:semiHidden/>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AE5C4A"/>
    <w:rPr>
      <w:sz w:val="16"/>
      <w:szCs w:val="16"/>
    </w:rPr>
  </w:style>
  <w:style w:type="paragraph" w:styleId="CommentText">
    <w:name w:val="annotation text"/>
    <w:basedOn w:val="Normal"/>
    <w:link w:val="CommentTextChar"/>
    <w:uiPriority w:val="99"/>
    <w:unhideWhenUsed/>
    <w:rsid w:val="00AE5C4A"/>
    <w:rPr>
      <w:szCs w:val="20"/>
    </w:rPr>
  </w:style>
  <w:style w:type="character" w:customStyle="1" w:styleId="CommentTextChar">
    <w:name w:val="Comment Text Char"/>
    <w:basedOn w:val="DefaultParagraphFont"/>
    <w:link w:val="CommentText"/>
    <w:uiPriority w:val="99"/>
    <w:rsid w:val="00AE5C4A"/>
    <w:rPr>
      <w:sz w:val="20"/>
      <w:szCs w:val="20"/>
    </w:rPr>
  </w:style>
  <w:style w:type="paragraph" w:styleId="CommentSubject">
    <w:name w:val="annotation subject"/>
    <w:basedOn w:val="CommentText"/>
    <w:next w:val="CommentText"/>
    <w:link w:val="CommentSubjectChar"/>
    <w:uiPriority w:val="99"/>
    <w:semiHidden/>
    <w:unhideWhenUsed/>
    <w:rsid w:val="00AE5C4A"/>
    <w:rPr>
      <w:b/>
      <w:bCs/>
    </w:rPr>
  </w:style>
  <w:style w:type="character" w:customStyle="1" w:styleId="CommentSubjectChar">
    <w:name w:val="Comment Subject Char"/>
    <w:basedOn w:val="CommentTextChar"/>
    <w:link w:val="CommentSubject"/>
    <w:uiPriority w:val="99"/>
    <w:semiHidden/>
    <w:rsid w:val="00AE5C4A"/>
    <w:rPr>
      <w:b/>
      <w:bCs/>
      <w:sz w:val="20"/>
      <w:szCs w:val="20"/>
    </w:rPr>
  </w:style>
  <w:style w:type="paragraph" w:styleId="BalloonText">
    <w:name w:val="Balloon Text"/>
    <w:basedOn w:val="Normal"/>
    <w:link w:val="BalloonTextChar"/>
    <w:uiPriority w:val="99"/>
    <w:semiHidden/>
    <w:unhideWhenUsed/>
    <w:rsid w:val="00AE5C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C4A"/>
    <w:rPr>
      <w:rFonts w:ascii="Segoe UI" w:hAnsi="Segoe UI" w:cs="Segoe UI"/>
      <w:sz w:val="18"/>
      <w:szCs w:val="18"/>
    </w:rPr>
  </w:style>
  <w:style w:type="paragraph" w:customStyle="1" w:styleId="HeadingLevel1NoNumber">
    <w:name w:val="HeadingLevel1NoNumber"/>
    <w:basedOn w:val="Heading1"/>
    <w:next w:val="BodyText"/>
    <w:qFormat/>
    <w:rsid w:val="00AE5C4A"/>
    <w:pPr>
      <w:numPr>
        <w:numId w:val="0"/>
      </w:numPr>
    </w:pPr>
  </w:style>
  <w:style w:type="paragraph" w:customStyle="1" w:styleId="HeadingLevel2NoNumber">
    <w:name w:val="HeadingLevel2NoNumber"/>
    <w:basedOn w:val="Heading2"/>
    <w:next w:val="BodyText"/>
    <w:qFormat/>
    <w:rsid w:val="0093030E"/>
    <w:pPr>
      <w:numPr>
        <w:ilvl w:val="0"/>
        <w:numId w:val="0"/>
      </w:numPr>
    </w:pPr>
  </w:style>
  <w:style w:type="paragraph" w:customStyle="1" w:styleId="HeadingLevel3NoNumber">
    <w:name w:val="HeadingLevel3NoNumber"/>
    <w:basedOn w:val="Heading3"/>
    <w:next w:val="BodyText"/>
    <w:qFormat/>
    <w:rsid w:val="00AE5C4A"/>
    <w:pPr>
      <w:numPr>
        <w:ilvl w:val="0"/>
        <w:numId w:val="0"/>
      </w:numPr>
    </w:pPr>
  </w:style>
  <w:style w:type="paragraph" w:customStyle="1" w:styleId="HeadingLevel4NoNumber">
    <w:name w:val="HeadingLevel4NoNumber"/>
    <w:basedOn w:val="Heading4"/>
    <w:next w:val="BodyText"/>
    <w:qFormat/>
    <w:rsid w:val="002F54AD"/>
  </w:style>
  <w:style w:type="paragraph" w:styleId="ListBullet">
    <w:name w:val="List Bullet"/>
    <w:basedOn w:val="Normal"/>
    <w:uiPriority w:val="99"/>
    <w:unhideWhenUsed/>
    <w:rsid w:val="00EF6B6C"/>
    <w:pPr>
      <w:numPr>
        <w:numId w:val="6"/>
      </w:numPr>
      <w:tabs>
        <w:tab w:val="left" w:pos="357"/>
      </w:tabs>
      <w:spacing w:before="60" w:after="60"/>
      <w:jc w:val="both"/>
    </w:pPr>
  </w:style>
  <w:style w:type="paragraph" w:styleId="ListBullet2">
    <w:name w:val="List Bullet 2"/>
    <w:basedOn w:val="Normal"/>
    <w:uiPriority w:val="99"/>
    <w:unhideWhenUsed/>
    <w:rsid w:val="004452DC"/>
    <w:pPr>
      <w:numPr>
        <w:numId w:val="7"/>
      </w:numPr>
      <w:contextualSpacing/>
      <w:jc w:val="both"/>
    </w:pPr>
  </w:style>
  <w:style w:type="paragraph" w:styleId="ListBullet3">
    <w:name w:val="List Bullet 3"/>
    <w:basedOn w:val="Normal"/>
    <w:uiPriority w:val="99"/>
    <w:unhideWhenUsed/>
    <w:rsid w:val="00D65A2D"/>
    <w:pPr>
      <w:numPr>
        <w:numId w:val="8"/>
      </w:numPr>
      <w:tabs>
        <w:tab w:val="clear" w:pos="926"/>
        <w:tab w:val="num" w:pos="1072"/>
      </w:tabs>
      <w:ind w:left="1071" w:hanging="357"/>
      <w:contextualSpacing/>
    </w:pPr>
  </w:style>
  <w:style w:type="paragraph" w:customStyle="1" w:styleId="TableBullet1">
    <w:name w:val="TableBullet1"/>
    <w:basedOn w:val="Bullet1stlevel"/>
    <w:qFormat/>
    <w:rsid w:val="002E7D8E"/>
    <w:pPr>
      <w:spacing w:before="40" w:after="40"/>
      <w:jc w:val="left"/>
    </w:pPr>
    <w:rPr>
      <w:sz w:val="18"/>
      <w:lang w:eastAsia="en-AU"/>
    </w:rPr>
  </w:style>
  <w:style w:type="paragraph" w:customStyle="1" w:styleId="Tablebullet2">
    <w:name w:val="Tablebullet2"/>
    <w:basedOn w:val="ListBullet2"/>
    <w:qFormat/>
    <w:rsid w:val="00D65A2D"/>
    <w:pPr>
      <w:spacing w:before="40" w:after="40"/>
    </w:pPr>
  </w:style>
  <w:style w:type="paragraph" w:customStyle="1" w:styleId="Appendixheading">
    <w:name w:val="Appendix heading"/>
    <w:next w:val="BodyText2"/>
    <w:autoRedefine/>
    <w:uiPriority w:val="2"/>
    <w:qFormat/>
    <w:rsid w:val="00433FBB"/>
    <w:pPr>
      <w:keepNext/>
      <w:keepLines/>
      <w:pageBreakBefore/>
      <w:numPr>
        <w:numId w:val="10"/>
      </w:numPr>
      <w:spacing w:before="240" w:after="240" w:line="240" w:lineRule="auto"/>
      <w:outlineLvl w:val="0"/>
    </w:pPr>
    <w:rPr>
      <w:rFonts w:ascii="KPMG Light" w:eastAsia="Times New Roman" w:hAnsi="KPMG Light" w:cs="Times New Roman"/>
      <w:color w:val="00338D"/>
      <w:sz w:val="72"/>
      <w:szCs w:val="18"/>
    </w:rPr>
  </w:style>
  <w:style w:type="paragraph" w:customStyle="1" w:styleId="AppendixHeading2">
    <w:name w:val="Appendix Heading 2"/>
    <w:basedOn w:val="Heading2"/>
    <w:next w:val="BodyText"/>
    <w:rsid w:val="00880D98"/>
    <w:pPr>
      <w:keepLines w:val="0"/>
      <w:numPr>
        <w:numId w:val="10"/>
      </w:numPr>
      <w:tabs>
        <w:tab w:val="left" w:pos="964"/>
      </w:tabs>
      <w:spacing w:after="120"/>
    </w:pPr>
    <w:rPr>
      <w:rFonts w:ascii="Univers 45 Light" w:eastAsia="Times New Roman" w:hAnsi="Univers 45 Light" w:cs="Times New Roman"/>
      <w:b/>
      <w:sz w:val="28"/>
      <w:szCs w:val="20"/>
    </w:rPr>
  </w:style>
  <w:style w:type="paragraph" w:customStyle="1" w:styleId="AppendixHeading3">
    <w:name w:val="Appendix Heading 3"/>
    <w:basedOn w:val="Heading3"/>
    <w:next w:val="BodyText"/>
    <w:rsid w:val="00181551"/>
    <w:pPr>
      <w:keepLines w:val="0"/>
      <w:numPr>
        <w:numId w:val="10"/>
      </w:numPr>
      <w:tabs>
        <w:tab w:val="left" w:pos="357"/>
      </w:tabs>
    </w:pPr>
    <w:rPr>
      <w:rFonts w:eastAsia="Times New Roman" w:cs="Times New Roman"/>
      <w:b/>
      <w:szCs w:val="20"/>
    </w:rPr>
  </w:style>
  <w:style w:type="paragraph" w:customStyle="1" w:styleId="AppendixHeading4">
    <w:name w:val="Appendix Heading 4"/>
    <w:basedOn w:val="Heading4"/>
    <w:next w:val="BodyText"/>
    <w:rsid w:val="00181551"/>
    <w:pPr>
      <w:keepLines w:val="0"/>
      <w:tabs>
        <w:tab w:val="left" w:pos="964"/>
      </w:tabs>
      <w:jc w:val="both"/>
    </w:pPr>
    <w:rPr>
      <w:rFonts w:eastAsia="Times New Roman" w:cs="Times New Roman"/>
      <w:iCs w:val="0"/>
      <w:color w:val="00338D"/>
      <w:szCs w:val="20"/>
    </w:rPr>
  </w:style>
  <w:style w:type="paragraph" w:styleId="TOC2">
    <w:name w:val="toc 2"/>
    <w:basedOn w:val="Normal"/>
    <w:next w:val="Normal"/>
    <w:autoRedefine/>
    <w:uiPriority w:val="39"/>
    <w:unhideWhenUsed/>
    <w:rsid w:val="00E02C03"/>
    <w:pPr>
      <w:tabs>
        <w:tab w:val="left" w:pos="993"/>
        <w:tab w:val="right" w:pos="8505"/>
      </w:tabs>
      <w:spacing w:after="100"/>
      <w:ind w:left="993" w:hanging="426"/>
    </w:pPr>
    <w:rPr>
      <w:noProof/>
    </w:rPr>
  </w:style>
  <w:style w:type="paragraph" w:customStyle="1" w:styleId="BodyText2">
    <w:name w:val="BodyText"/>
    <w:basedOn w:val="BodyText"/>
    <w:link w:val="BodyTextChar0"/>
    <w:rsid w:val="00FA0BA9"/>
  </w:style>
  <w:style w:type="character" w:customStyle="1" w:styleId="BodyTextChar0">
    <w:name w:val="BodyText Char"/>
    <w:basedOn w:val="DefaultParagraphFont"/>
    <w:link w:val="BodyText2"/>
    <w:rsid w:val="00FA0BA9"/>
    <w:rPr>
      <w:rFonts w:ascii="Univers 45 Light" w:hAnsi="Univers 45 Light"/>
      <w:sz w:val="20"/>
    </w:rPr>
  </w:style>
  <w:style w:type="paragraph" w:styleId="ListParagraph">
    <w:name w:val="List Paragraph"/>
    <w:aliases w:val="Indented Bullet Solid,Dot Point,List Paragraph1,List Paragraph11,Bullet point,Recommendation,List Paragraph Number,bullet point list,List Paragraph111,L,F5 List Paragraph,Dot pt,Medium Grid 1 - Accent 21,List Paragraph2"/>
    <w:basedOn w:val="Normal"/>
    <w:link w:val="ListParagraphChar"/>
    <w:uiPriority w:val="34"/>
    <w:qFormat/>
    <w:rsid w:val="00625E26"/>
    <w:pPr>
      <w:ind w:left="720"/>
      <w:contextualSpacing/>
    </w:pPr>
  </w:style>
  <w:style w:type="table" w:styleId="GridTable1Light-Accent2">
    <w:name w:val="Grid Table 1 Light Accent 2"/>
    <w:basedOn w:val="TableNormal"/>
    <w:uiPriority w:val="46"/>
    <w:rsid w:val="00D533A5"/>
    <w:pPr>
      <w:spacing w:after="0" w:line="240" w:lineRule="auto"/>
    </w:pPr>
    <w:tblPr>
      <w:tblStyleRowBandSize w:val="1"/>
      <w:tblStyleColBandSize w:val="1"/>
      <w:tblBorders>
        <w:top w:val="single" w:sz="4" w:space="0" w:color="8AD7FF" w:themeColor="accent2" w:themeTint="66"/>
        <w:left w:val="single" w:sz="4" w:space="0" w:color="8AD7FF" w:themeColor="accent2" w:themeTint="66"/>
        <w:bottom w:val="single" w:sz="4" w:space="0" w:color="8AD7FF" w:themeColor="accent2" w:themeTint="66"/>
        <w:right w:val="single" w:sz="4" w:space="0" w:color="8AD7FF" w:themeColor="accent2" w:themeTint="66"/>
        <w:insideH w:val="single" w:sz="4" w:space="0" w:color="8AD7FF" w:themeColor="accent2" w:themeTint="66"/>
        <w:insideV w:val="single" w:sz="4" w:space="0" w:color="8AD7FF" w:themeColor="accent2" w:themeTint="66"/>
      </w:tblBorders>
    </w:tblPr>
    <w:tblStylePr w:type="firstRow">
      <w:rPr>
        <w:b/>
        <w:bCs/>
      </w:rPr>
      <w:tblPr/>
      <w:tcPr>
        <w:tcBorders>
          <w:bottom w:val="single" w:sz="12" w:space="0" w:color="4FC3FF" w:themeColor="accent2" w:themeTint="99"/>
        </w:tcBorders>
      </w:tcPr>
    </w:tblStylePr>
    <w:tblStylePr w:type="lastRow">
      <w:rPr>
        <w:b/>
        <w:bCs/>
      </w:rPr>
      <w:tblPr/>
      <w:tcPr>
        <w:tcBorders>
          <w:top w:val="double" w:sz="2" w:space="0" w:color="4FC3FF" w:themeColor="accent2"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EF6B6C"/>
    <w:pPr>
      <w:keepLines/>
      <w:spacing w:before="0" w:after="0"/>
    </w:pPr>
    <w:rPr>
      <w:sz w:val="16"/>
      <w:szCs w:val="20"/>
    </w:rPr>
  </w:style>
  <w:style w:type="character" w:customStyle="1" w:styleId="FootnoteTextChar">
    <w:name w:val="Footnote Text Char"/>
    <w:basedOn w:val="DefaultParagraphFont"/>
    <w:link w:val="FootnoteText"/>
    <w:uiPriority w:val="99"/>
    <w:rsid w:val="00EF6B6C"/>
    <w:rPr>
      <w:rFonts w:ascii="Univers 45 Light" w:hAnsi="Univers 45 Light"/>
      <w:sz w:val="16"/>
      <w:szCs w:val="20"/>
    </w:rPr>
  </w:style>
  <w:style w:type="character" w:styleId="FootnoteReference">
    <w:name w:val="footnote reference"/>
    <w:basedOn w:val="DefaultParagraphFont"/>
    <w:uiPriority w:val="99"/>
    <w:semiHidden/>
    <w:unhideWhenUsed/>
    <w:rsid w:val="0093030E"/>
    <w:rPr>
      <w:rFonts w:ascii="Univers 45 Light" w:hAnsi="Univers 45 Light"/>
      <w:b w:val="0"/>
      <w:i w:val="0"/>
      <w:sz w:val="16"/>
      <w:vertAlign w:val="superscript"/>
    </w:rPr>
  </w:style>
  <w:style w:type="paragraph" w:styleId="Caption">
    <w:name w:val="caption"/>
    <w:basedOn w:val="Normal"/>
    <w:next w:val="Normal"/>
    <w:unhideWhenUsed/>
    <w:qFormat/>
    <w:rsid w:val="002F2EE6"/>
    <w:pPr>
      <w:keepNext/>
    </w:pPr>
    <w:rPr>
      <w:i/>
      <w:iCs/>
      <w:color w:val="000000" w:themeColor="text1"/>
      <w:sz w:val="18"/>
      <w:szCs w:val="18"/>
    </w:rPr>
  </w:style>
  <w:style w:type="table" w:styleId="GridTable4-Accent2">
    <w:name w:val="Grid Table 4 Accent 2"/>
    <w:basedOn w:val="TableNormal"/>
    <w:uiPriority w:val="49"/>
    <w:rsid w:val="00F21CAB"/>
    <w:pPr>
      <w:spacing w:after="0" w:line="240" w:lineRule="auto"/>
    </w:pPr>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color w:val="FFFFFF" w:themeColor="background1"/>
      </w:rPr>
      <w:tblPr/>
      <w:tcPr>
        <w:tcBorders>
          <w:top w:val="single" w:sz="4" w:space="0" w:color="0091DA" w:themeColor="accent2"/>
          <w:left w:val="single" w:sz="4" w:space="0" w:color="0091DA" w:themeColor="accent2"/>
          <w:bottom w:val="single" w:sz="4" w:space="0" w:color="0091DA" w:themeColor="accent2"/>
          <w:right w:val="single" w:sz="4" w:space="0" w:color="0091DA" w:themeColor="accent2"/>
          <w:insideH w:val="nil"/>
          <w:insideV w:val="nil"/>
        </w:tcBorders>
        <w:shd w:val="clear" w:color="auto" w:fill="0091DA" w:themeFill="accent2"/>
      </w:tcPr>
    </w:tblStylePr>
    <w:tblStylePr w:type="lastRow">
      <w:rPr>
        <w:b/>
        <w:bCs/>
      </w:rPr>
      <w:tblPr/>
      <w:tcPr>
        <w:tcBorders>
          <w:top w:val="double" w:sz="4" w:space="0" w:color="0091DA" w:themeColor="accent2"/>
        </w:tcBorders>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paragraph" w:styleId="Revision">
    <w:name w:val="Revision"/>
    <w:hidden/>
    <w:uiPriority w:val="99"/>
    <w:semiHidden/>
    <w:rsid w:val="001B5861"/>
    <w:pPr>
      <w:spacing w:after="0" w:line="240" w:lineRule="auto"/>
    </w:pPr>
    <w:rPr>
      <w:rFonts w:ascii="Univers 45 Light" w:hAnsi="Univers 45 Light"/>
      <w:sz w:val="20"/>
    </w:rPr>
  </w:style>
  <w:style w:type="character" w:customStyle="1" w:styleId="ListParagraphChar">
    <w:name w:val="List Paragraph Char"/>
    <w:aliases w:val="Indented Bullet Solid Char,Dot Point Char,List Paragraph1 Char,List Paragraph11 Char,Bullet point Char,Recommendation Char,List Paragraph Number Char,bullet point list Char,List Paragraph111 Char,L Char,F5 List Paragraph Char"/>
    <w:link w:val="ListParagraph"/>
    <w:uiPriority w:val="34"/>
    <w:qFormat/>
    <w:locked/>
    <w:rsid w:val="005D7713"/>
    <w:rPr>
      <w:rFonts w:ascii="Univers 45 Light" w:hAnsi="Univers 45 Light"/>
      <w:sz w:val="20"/>
    </w:rPr>
  </w:style>
  <w:style w:type="paragraph" w:customStyle="1" w:styleId="AppbodyDHS">
    <w:name w:val="App body DHS"/>
    <w:basedOn w:val="Normal"/>
    <w:link w:val="AppbodyDHSChar"/>
    <w:rsid w:val="0049652D"/>
    <w:pPr>
      <w:suppressAutoHyphens/>
      <w:overflowPunct w:val="0"/>
      <w:autoSpaceDE w:val="0"/>
      <w:autoSpaceDN w:val="0"/>
      <w:adjustRightInd w:val="0"/>
      <w:spacing w:before="0" w:after="180" w:line="260" w:lineRule="exact"/>
      <w:textAlignment w:val="baseline"/>
    </w:pPr>
    <w:rPr>
      <w:rFonts w:ascii="Univers Condensed" w:eastAsia="Times New Roman" w:hAnsi="Univers Condensed" w:cs="Times New Roman"/>
      <w:sz w:val="21"/>
      <w:szCs w:val="20"/>
    </w:rPr>
  </w:style>
  <w:style w:type="character" w:customStyle="1" w:styleId="AppbodyDHSChar">
    <w:name w:val="App body DHS Char"/>
    <w:basedOn w:val="DefaultParagraphFont"/>
    <w:link w:val="AppbodyDHS"/>
    <w:rsid w:val="0049652D"/>
    <w:rPr>
      <w:rFonts w:ascii="Univers Condensed" w:eastAsia="Times New Roman" w:hAnsi="Univers Condensed" w:cs="Times New Roman"/>
      <w:sz w:val="21"/>
      <w:szCs w:val="20"/>
    </w:rPr>
  </w:style>
  <w:style w:type="paragraph" w:styleId="NormalWeb">
    <w:name w:val="Normal (Web)"/>
    <w:basedOn w:val="Normal"/>
    <w:uiPriority w:val="99"/>
    <w:semiHidden/>
    <w:unhideWhenUsed/>
    <w:rsid w:val="00C3175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Source">
    <w:name w:val="Source"/>
    <w:basedOn w:val="Normal"/>
    <w:qFormat/>
    <w:rsid w:val="00EF6B6C"/>
    <w:rPr>
      <w:i/>
      <w:sz w:val="18"/>
    </w:rPr>
  </w:style>
  <w:style w:type="table" w:customStyle="1" w:styleId="TableGridKPMGBlue">
    <w:name w:val="Table Grid KPMG Blue"/>
    <w:basedOn w:val="TableNormal"/>
    <w:rsid w:val="00366547"/>
    <w:pPr>
      <w:spacing w:after="0" w:line="240" w:lineRule="auto"/>
    </w:pPr>
    <w:rPr>
      <w:rFonts w:ascii="Univers 45 Light" w:eastAsia="Times New Roman" w:hAnsi="Univers 45 Light" w:cs="Times New Roman"/>
      <w:sz w:val="20"/>
      <w:szCs w:val="20"/>
      <w:lang w:eastAsia="en-AU"/>
    </w:rPr>
    <w:tblPr>
      <w:tblBorders>
        <w:top w:val="single" w:sz="4" w:space="0" w:color="C6C7DE"/>
        <w:left w:val="single" w:sz="4" w:space="0" w:color="C6C7DE"/>
        <w:bottom w:val="single" w:sz="4" w:space="0" w:color="C6C7DE"/>
        <w:right w:val="single" w:sz="4" w:space="0" w:color="C6C7DE"/>
        <w:insideH w:val="single" w:sz="4" w:space="0" w:color="C6C7DE"/>
        <w:insideV w:val="single" w:sz="4" w:space="0" w:color="C6C7DE"/>
      </w:tblBorders>
      <w:tblCellMar>
        <w:top w:w="28" w:type="dxa"/>
        <w:bottom w:w="28" w:type="dxa"/>
      </w:tblCellMar>
    </w:tblPr>
    <w:trPr>
      <w:cantSplit/>
    </w:trPr>
    <w:tblStylePr w:type="firstRow">
      <w:pPr>
        <w:keepNext/>
        <w:wordWrap/>
        <w:jc w:val="left"/>
      </w:pPr>
      <w:rPr>
        <w:rFonts w:ascii="Univers 57 Condensed" w:hAnsi="Univers 57 Condensed"/>
        <w:color w:val="FFFFFF"/>
      </w:rPr>
      <w:tblPr/>
      <w:trPr>
        <w:tblHeader/>
      </w:trPr>
      <w:tcPr>
        <w:shd w:val="clear" w:color="auto" w:fill="00338D"/>
      </w:tcPr>
    </w:tblStylePr>
    <w:tblStylePr w:type="firstCol">
      <w:rPr>
        <w:color w:val="auto"/>
      </w:rPr>
    </w:tblStylePr>
  </w:style>
  <w:style w:type="paragraph" w:customStyle="1" w:styleId="BodyText0">
    <w:name w:val="_Body Text"/>
    <w:basedOn w:val="Normal"/>
    <w:link w:val="BodyTextChar1"/>
    <w:qFormat/>
    <w:rsid w:val="008451BB"/>
    <w:rPr>
      <w:rFonts w:eastAsia="SimSun" w:cs="Times New Roman"/>
      <w:szCs w:val="20"/>
    </w:rPr>
  </w:style>
  <w:style w:type="character" w:customStyle="1" w:styleId="BodyTextChar1">
    <w:name w:val="_Body Text Char"/>
    <w:basedOn w:val="DefaultParagraphFont"/>
    <w:link w:val="BodyText0"/>
    <w:locked/>
    <w:rsid w:val="008451BB"/>
    <w:rPr>
      <w:rFonts w:ascii="Univers 45 Light" w:eastAsia="SimSun" w:hAnsi="Univers 45 Light" w:cs="Times New Roman"/>
      <w:sz w:val="20"/>
      <w:szCs w:val="20"/>
    </w:rPr>
  </w:style>
  <w:style w:type="paragraph" w:styleId="NoSpacing">
    <w:name w:val="No Spacing"/>
    <w:uiPriority w:val="1"/>
    <w:qFormat/>
    <w:rsid w:val="00C9080B"/>
    <w:pPr>
      <w:spacing w:after="0" w:line="240" w:lineRule="auto"/>
    </w:pPr>
    <w:rPr>
      <w:rFonts w:ascii="Univers 45 Light" w:hAnsi="Univers 45 Light"/>
      <w:sz w:val="20"/>
    </w:rPr>
  </w:style>
  <w:style w:type="paragraph" w:styleId="TOC4">
    <w:name w:val="toc 4"/>
    <w:basedOn w:val="Normal"/>
    <w:next w:val="Normal"/>
    <w:autoRedefine/>
    <w:uiPriority w:val="39"/>
    <w:unhideWhenUsed/>
    <w:rsid w:val="008357C5"/>
    <w:pPr>
      <w:spacing w:after="100"/>
      <w:ind w:left="600"/>
    </w:pPr>
  </w:style>
  <w:style w:type="paragraph" w:styleId="TOC3">
    <w:name w:val="toc 3"/>
    <w:basedOn w:val="Normal"/>
    <w:next w:val="Normal"/>
    <w:autoRedefine/>
    <w:uiPriority w:val="39"/>
    <w:unhideWhenUsed/>
    <w:rsid w:val="008357C5"/>
    <w:pPr>
      <w:spacing w:after="100"/>
      <w:ind w:left="400"/>
    </w:pPr>
  </w:style>
  <w:style w:type="paragraph" w:customStyle="1" w:styleId="paragraph">
    <w:name w:val="paragraph"/>
    <w:basedOn w:val="Normal"/>
    <w:uiPriority w:val="99"/>
    <w:rsid w:val="00ED5EE0"/>
    <w:pPr>
      <w:spacing w:before="0" w:after="300" w:line="230" w:lineRule="atLeast"/>
      <w:ind w:right="150"/>
    </w:pPr>
    <w:rPr>
      <w:rFonts w:ascii="Arial" w:hAnsi="Arial" w:cs="Arial"/>
      <w:color w:val="000000"/>
      <w:sz w:val="19"/>
      <w:szCs w:val="19"/>
      <w:lang w:eastAsia="en-AU"/>
    </w:rPr>
  </w:style>
  <w:style w:type="numbering" w:customStyle="1" w:styleId="NoList1">
    <w:name w:val="No List1"/>
    <w:next w:val="NoList"/>
    <w:uiPriority w:val="99"/>
    <w:semiHidden/>
    <w:unhideWhenUsed/>
    <w:rsid w:val="00D9569C"/>
  </w:style>
  <w:style w:type="table" w:customStyle="1" w:styleId="McLLTableGeneralText1">
    <w:name w:val="McLL Table General Text1"/>
    <w:basedOn w:val="TableNormal"/>
    <w:next w:val="TableGrid"/>
    <w:uiPriority w:val="39"/>
    <w:rsid w:val="00D95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next w:val="GridTable1Light-Accent2"/>
    <w:uiPriority w:val="46"/>
    <w:rsid w:val="00D9569C"/>
    <w:pPr>
      <w:spacing w:after="0" w:line="240" w:lineRule="auto"/>
    </w:pPr>
    <w:tblPr>
      <w:tblStyleRowBandSize w:val="1"/>
      <w:tblStyleColBandSize w:val="1"/>
      <w:tblBorders>
        <w:top w:val="single" w:sz="4" w:space="0" w:color="8AD7FF" w:themeColor="accent2" w:themeTint="66"/>
        <w:left w:val="single" w:sz="4" w:space="0" w:color="8AD7FF" w:themeColor="accent2" w:themeTint="66"/>
        <w:bottom w:val="single" w:sz="4" w:space="0" w:color="8AD7FF" w:themeColor="accent2" w:themeTint="66"/>
        <w:right w:val="single" w:sz="4" w:space="0" w:color="8AD7FF" w:themeColor="accent2" w:themeTint="66"/>
        <w:insideH w:val="single" w:sz="4" w:space="0" w:color="8AD7FF" w:themeColor="accent2" w:themeTint="66"/>
        <w:insideV w:val="single" w:sz="4" w:space="0" w:color="8AD7FF" w:themeColor="accent2" w:themeTint="66"/>
      </w:tblBorders>
    </w:tblPr>
    <w:tblStylePr w:type="firstRow">
      <w:rPr>
        <w:b/>
        <w:bCs/>
      </w:rPr>
      <w:tblPr/>
      <w:tcPr>
        <w:tcBorders>
          <w:bottom w:val="single" w:sz="12" w:space="0" w:color="4FC3FF" w:themeColor="accent2" w:themeTint="99"/>
        </w:tcBorders>
      </w:tcPr>
    </w:tblStylePr>
    <w:tblStylePr w:type="lastRow">
      <w:rPr>
        <w:b/>
        <w:bCs/>
      </w:rPr>
      <w:tblPr/>
      <w:tcPr>
        <w:tcBorders>
          <w:top w:val="double" w:sz="2" w:space="0" w:color="4FC3FF" w:themeColor="accent2"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D9569C"/>
    <w:pPr>
      <w:spacing w:after="0" w:line="240" w:lineRule="auto"/>
    </w:pPr>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color w:val="FFFFFF" w:themeColor="background1"/>
      </w:rPr>
      <w:tblPr/>
      <w:tcPr>
        <w:tcBorders>
          <w:top w:val="single" w:sz="4" w:space="0" w:color="0091DA" w:themeColor="accent2"/>
          <w:left w:val="single" w:sz="4" w:space="0" w:color="0091DA" w:themeColor="accent2"/>
          <w:bottom w:val="single" w:sz="4" w:space="0" w:color="0091DA" w:themeColor="accent2"/>
          <w:right w:val="single" w:sz="4" w:space="0" w:color="0091DA" w:themeColor="accent2"/>
          <w:insideH w:val="nil"/>
          <w:insideV w:val="nil"/>
        </w:tcBorders>
        <w:shd w:val="clear" w:color="auto" w:fill="0091DA" w:themeFill="accent2"/>
      </w:tcPr>
    </w:tblStylePr>
    <w:tblStylePr w:type="lastRow">
      <w:rPr>
        <w:b/>
        <w:bCs/>
      </w:rPr>
      <w:tblPr/>
      <w:tcPr>
        <w:tcBorders>
          <w:top w:val="double" w:sz="4" w:space="0" w:color="0091DA" w:themeColor="accent2"/>
        </w:tcBorders>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customStyle="1" w:styleId="TableGridKPMGBlue1">
    <w:name w:val="Table Grid KPMG Blue1"/>
    <w:basedOn w:val="TableNormal"/>
    <w:rsid w:val="00D9569C"/>
    <w:pPr>
      <w:spacing w:after="0" w:line="240" w:lineRule="auto"/>
    </w:pPr>
    <w:rPr>
      <w:rFonts w:ascii="Univers 45 Light" w:eastAsia="Times New Roman" w:hAnsi="Univers 45 Light" w:cs="Times New Roman"/>
      <w:sz w:val="20"/>
      <w:szCs w:val="20"/>
      <w:lang w:eastAsia="en-AU"/>
    </w:rPr>
    <w:tblPr>
      <w:tblBorders>
        <w:top w:val="single" w:sz="4" w:space="0" w:color="C6C7DE"/>
        <w:left w:val="single" w:sz="4" w:space="0" w:color="C6C7DE"/>
        <w:bottom w:val="single" w:sz="4" w:space="0" w:color="C6C7DE"/>
        <w:right w:val="single" w:sz="4" w:space="0" w:color="C6C7DE"/>
        <w:insideH w:val="single" w:sz="4" w:space="0" w:color="C6C7DE"/>
        <w:insideV w:val="single" w:sz="4" w:space="0" w:color="C6C7DE"/>
      </w:tblBorders>
      <w:tblCellMar>
        <w:top w:w="28" w:type="dxa"/>
        <w:bottom w:w="28" w:type="dxa"/>
      </w:tblCellMar>
    </w:tblPr>
    <w:trPr>
      <w:cantSplit/>
    </w:trPr>
    <w:tblStylePr w:type="firstRow">
      <w:pPr>
        <w:keepNext/>
        <w:wordWrap/>
        <w:jc w:val="left"/>
      </w:pPr>
      <w:rPr>
        <w:rFonts w:ascii="Univers 57 Condensed" w:hAnsi="Univers 57 Condensed"/>
        <w:color w:val="FFFFFF"/>
      </w:rPr>
      <w:tblPr/>
      <w:trPr>
        <w:tblHeader/>
      </w:trPr>
      <w:tcPr>
        <w:shd w:val="clear" w:color="auto" w:fill="00338D"/>
      </w:tcPr>
    </w:tblStylePr>
    <w:tblStylePr w:type="firstCol">
      <w:rPr>
        <w:color w:val="auto"/>
      </w:rPr>
    </w:tblStylePr>
  </w:style>
  <w:style w:type="paragraph" w:customStyle="1" w:styleId="BodyTextkeepwithnext">
    <w:name w:val="BodyTextkeepwithnext"/>
    <w:basedOn w:val="BodyText"/>
    <w:qFormat/>
    <w:rsid w:val="0093030E"/>
    <w:pPr>
      <w:keepNext/>
    </w:pPr>
  </w:style>
  <w:style w:type="paragraph" w:customStyle="1" w:styleId="BodyTextFigure">
    <w:name w:val="BodyTextFigure"/>
    <w:basedOn w:val="BodyTextkeepwithnext"/>
    <w:qFormat/>
    <w:rsid w:val="002E7D8E"/>
    <w:pPr>
      <w:jc w:val="center"/>
    </w:pPr>
    <w:rPr>
      <w:noProof/>
      <w:lang w:eastAsia="en-AU"/>
    </w:rPr>
  </w:style>
  <w:style w:type="character" w:styleId="FollowedHyperlink">
    <w:name w:val="FollowedHyperlink"/>
    <w:basedOn w:val="DefaultParagraphFont"/>
    <w:uiPriority w:val="99"/>
    <w:semiHidden/>
    <w:unhideWhenUsed/>
    <w:rsid w:val="00645520"/>
    <w:rPr>
      <w:color w:val="6D207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2962">
      <w:bodyDiv w:val="1"/>
      <w:marLeft w:val="0"/>
      <w:marRight w:val="0"/>
      <w:marTop w:val="0"/>
      <w:marBottom w:val="0"/>
      <w:divBdr>
        <w:top w:val="none" w:sz="0" w:space="0" w:color="auto"/>
        <w:left w:val="none" w:sz="0" w:space="0" w:color="auto"/>
        <w:bottom w:val="none" w:sz="0" w:space="0" w:color="auto"/>
        <w:right w:val="none" w:sz="0" w:space="0" w:color="auto"/>
      </w:divBdr>
    </w:div>
    <w:div w:id="25297824">
      <w:bodyDiv w:val="1"/>
      <w:marLeft w:val="0"/>
      <w:marRight w:val="0"/>
      <w:marTop w:val="0"/>
      <w:marBottom w:val="0"/>
      <w:divBdr>
        <w:top w:val="none" w:sz="0" w:space="0" w:color="auto"/>
        <w:left w:val="none" w:sz="0" w:space="0" w:color="auto"/>
        <w:bottom w:val="none" w:sz="0" w:space="0" w:color="auto"/>
        <w:right w:val="none" w:sz="0" w:space="0" w:color="auto"/>
      </w:divBdr>
    </w:div>
    <w:div w:id="58943605">
      <w:bodyDiv w:val="1"/>
      <w:marLeft w:val="0"/>
      <w:marRight w:val="0"/>
      <w:marTop w:val="0"/>
      <w:marBottom w:val="0"/>
      <w:divBdr>
        <w:top w:val="none" w:sz="0" w:space="0" w:color="auto"/>
        <w:left w:val="none" w:sz="0" w:space="0" w:color="auto"/>
        <w:bottom w:val="none" w:sz="0" w:space="0" w:color="auto"/>
        <w:right w:val="none" w:sz="0" w:space="0" w:color="auto"/>
      </w:divBdr>
    </w:div>
    <w:div w:id="61870951">
      <w:bodyDiv w:val="1"/>
      <w:marLeft w:val="0"/>
      <w:marRight w:val="0"/>
      <w:marTop w:val="0"/>
      <w:marBottom w:val="0"/>
      <w:divBdr>
        <w:top w:val="none" w:sz="0" w:space="0" w:color="auto"/>
        <w:left w:val="none" w:sz="0" w:space="0" w:color="auto"/>
        <w:bottom w:val="none" w:sz="0" w:space="0" w:color="auto"/>
        <w:right w:val="none" w:sz="0" w:space="0" w:color="auto"/>
      </w:divBdr>
    </w:div>
    <w:div w:id="71122359">
      <w:bodyDiv w:val="1"/>
      <w:marLeft w:val="0"/>
      <w:marRight w:val="0"/>
      <w:marTop w:val="0"/>
      <w:marBottom w:val="0"/>
      <w:divBdr>
        <w:top w:val="none" w:sz="0" w:space="0" w:color="auto"/>
        <w:left w:val="none" w:sz="0" w:space="0" w:color="auto"/>
        <w:bottom w:val="none" w:sz="0" w:space="0" w:color="auto"/>
        <w:right w:val="none" w:sz="0" w:space="0" w:color="auto"/>
      </w:divBdr>
    </w:div>
    <w:div w:id="155417059">
      <w:bodyDiv w:val="1"/>
      <w:marLeft w:val="0"/>
      <w:marRight w:val="0"/>
      <w:marTop w:val="0"/>
      <w:marBottom w:val="0"/>
      <w:divBdr>
        <w:top w:val="none" w:sz="0" w:space="0" w:color="auto"/>
        <w:left w:val="none" w:sz="0" w:space="0" w:color="auto"/>
        <w:bottom w:val="none" w:sz="0" w:space="0" w:color="auto"/>
        <w:right w:val="none" w:sz="0" w:space="0" w:color="auto"/>
      </w:divBdr>
      <w:divsChild>
        <w:div w:id="493689585">
          <w:marLeft w:val="274"/>
          <w:marRight w:val="0"/>
          <w:marTop w:val="0"/>
          <w:marBottom w:val="120"/>
          <w:divBdr>
            <w:top w:val="none" w:sz="0" w:space="0" w:color="auto"/>
            <w:left w:val="none" w:sz="0" w:space="0" w:color="auto"/>
            <w:bottom w:val="none" w:sz="0" w:space="0" w:color="auto"/>
            <w:right w:val="none" w:sz="0" w:space="0" w:color="auto"/>
          </w:divBdr>
        </w:div>
        <w:div w:id="529874957">
          <w:marLeft w:val="274"/>
          <w:marRight w:val="0"/>
          <w:marTop w:val="0"/>
          <w:marBottom w:val="120"/>
          <w:divBdr>
            <w:top w:val="none" w:sz="0" w:space="0" w:color="auto"/>
            <w:left w:val="none" w:sz="0" w:space="0" w:color="auto"/>
            <w:bottom w:val="none" w:sz="0" w:space="0" w:color="auto"/>
            <w:right w:val="none" w:sz="0" w:space="0" w:color="auto"/>
          </w:divBdr>
        </w:div>
        <w:div w:id="601032010">
          <w:marLeft w:val="274"/>
          <w:marRight w:val="0"/>
          <w:marTop w:val="0"/>
          <w:marBottom w:val="120"/>
          <w:divBdr>
            <w:top w:val="none" w:sz="0" w:space="0" w:color="auto"/>
            <w:left w:val="none" w:sz="0" w:space="0" w:color="auto"/>
            <w:bottom w:val="none" w:sz="0" w:space="0" w:color="auto"/>
            <w:right w:val="none" w:sz="0" w:space="0" w:color="auto"/>
          </w:divBdr>
        </w:div>
        <w:div w:id="670331061">
          <w:marLeft w:val="274"/>
          <w:marRight w:val="0"/>
          <w:marTop w:val="0"/>
          <w:marBottom w:val="120"/>
          <w:divBdr>
            <w:top w:val="none" w:sz="0" w:space="0" w:color="auto"/>
            <w:left w:val="none" w:sz="0" w:space="0" w:color="auto"/>
            <w:bottom w:val="none" w:sz="0" w:space="0" w:color="auto"/>
            <w:right w:val="none" w:sz="0" w:space="0" w:color="auto"/>
          </w:divBdr>
        </w:div>
        <w:div w:id="1062287397">
          <w:marLeft w:val="274"/>
          <w:marRight w:val="0"/>
          <w:marTop w:val="0"/>
          <w:marBottom w:val="120"/>
          <w:divBdr>
            <w:top w:val="none" w:sz="0" w:space="0" w:color="auto"/>
            <w:left w:val="none" w:sz="0" w:space="0" w:color="auto"/>
            <w:bottom w:val="none" w:sz="0" w:space="0" w:color="auto"/>
            <w:right w:val="none" w:sz="0" w:space="0" w:color="auto"/>
          </w:divBdr>
        </w:div>
        <w:div w:id="1461458072">
          <w:marLeft w:val="274"/>
          <w:marRight w:val="0"/>
          <w:marTop w:val="0"/>
          <w:marBottom w:val="120"/>
          <w:divBdr>
            <w:top w:val="none" w:sz="0" w:space="0" w:color="auto"/>
            <w:left w:val="none" w:sz="0" w:space="0" w:color="auto"/>
            <w:bottom w:val="none" w:sz="0" w:space="0" w:color="auto"/>
            <w:right w:val="none" w:sz="0" w:space="0" w:color="auto"/>
          </w:divBdr>
        </w:div>
        <w:div w:id="2031488084">
          <w:marLeft w:val="274"/>
          <w:marRight w:val="0"/>
          <w:marTop w:val="0"/>
          <w:marBottom w:val="120"/>
          <w:divBdr>
            <w:top w:val="none" w:sz="0" w:space="0" w:color="auto"/>
            <w:left w:val="none" w:sz="0" w:space="0" w:color="auto"/>
            <w:bottom w:val="none" w:sz="0" w:space="0" w:color="auto"/>
            <w:right w:val="none" w:sz="0" w:space="0" w:color="auto"/>
          </w:divBdr>
        </w:div>
      </w:divsChild>
    </w:div>
    <w:div w:id="155926992">
      <w:bodyDiv w:val="1"/>
      <w:marLeft w:val="0"/>
      <w:marRight w:val="0"/>
      <w:marTop w:val="0"/>
      <w:marBottom w:val="0"/>
      <w:divBdr>
        <w:top w:val="none" w:sz="0" w:space="0" w:color="auto"/>
        <w:left w:val="none" w:sz="0" w:space="0" w:color="auto"/>
        <w:bottom w:val="none" w:sz="0" w:space="0" w:color="auto"/>
        <w:right w:val="none" w:sz="0" w:space="0" w:color="auto"/>
      </w:divBdr>
    </w:div>
    <w:div w:id="238105187">
      <w:bodyDiv w:val="1"/>
      <w:marLeft w:val="0"/>
      <w:marRight w:val="0"/>
      <w:marTop w:val="0"/>
      <w:marBottom w:val="0"/>
      <w:divBdr>
        <w:top w:val="none" w:sz="0" w:space="0" w:color="auto"/>
        <w:left w:val="none" w:sz="0" w:space="0" w:color="auto"/>
        <w:bottom w:val="none" w:sz="0" w:space="0" w:color="auto"/>
        <w:right w:val="none" w:sz="0" w:space="0" w:color="auto"/>
      </w:divBdr>
      <w:divsChild>
        <w:div w:id="673800545">
          <w:marLeft w:val="360"/>
          <w:marRight w:val="0"/>
          <w:marTop w:val="0"/>
          <w:marBottom w:val="60"/>
          <w:divBdr>
            <w:top w:val="none" w:sz="0" w:space="0" w:color="auto"/>
            <w:left w:val="none" w:sz="0" w:space="0" w:color="auto"/>
            <w:bottom w:val="none" w:sz="0" w:space="0" w:color="auto"/>
            <w:right w:val="none" w:sz="0" w:space="0" w:color="auto"/>
          </w:divBdr>
        </w:div>
        <w:div w:id="1261181467">
          <w:marLeft w:val="360"/>
          <w:marRight w:val="0"/>
          <w:marTop w:val="0"/>
          <w:marBottom w:val="60"/>
          <w:divBdr>
            <w:top w:val="none" w:sz="0" w:space="0" w:color="auto"/>
            <w:left w:val="none" w:sz="0" w:space="0" w:color="auto"/>
            <w:bottom w:val="none" w:sz="0" w:space="0" w:color="auto"/>
            <w:right w:val="none" w:sz="0" w:space="0" w:color="auto"/>
          </w:divBdr>
        </w:div>
      </w:divsChild>
    </w:div>
    <w:div w:id="278606726">
      <w:bodyDiv w:val="1"/>
      <w:marLeft w:val="0"/>
      <w:marRight w:val="0"/>
      <w:marTop w:val="0"/>
      <w:marBottom w:val="0"/>
      <w:divBdr>
        <w:top w:val="none" w:sz="0" w:space="0" w:color="auto"/>
        <w:left w:val="none" w:sz="0" w:space="0" w:color="auto"/>
        <w:bottom w:val="none" w:sz="0" w:space="0" w:color="auto"/>
        <w:right w:val="none" w:sz="0" w:space="0" w:color="auto"/>
      </w:divBdr>
    </w:div>
    <w:div w:id="300962639">
      <w:bodyDiv w:val="1"/>
      <w:marLeft w:val="0"/>
      <w:marRight w:val="0"/>
      <w:marTop w:val="0"/>
      <w:marBottom w:val="0"/>
      <w:divBdr>
        <w:top w:val="none" w:sz="0" w:space="0" w:color="auto"/>
        <w:left w:val="none" w:sz="0" w:space="0" w:color="auto"/>
        <w:bottom w:val="none" w:sz="0" w:space="0" w:color="auto"/>
        <w:right w:val="none" w:sz="0" w:space="0" w:color="auto"/>
      </w:divBdr>
    </w:div>
    <w:div w:id="370346042">
      <w:bodyDiv w:val="1"/>
      <w:marLeft w:val="0"/>
      <w:marRight w:val="0"/>
      <w:marTop w:val="0"/>
      <w:marBottom w:val="0"/>
      <w:divBdr>
        <w:top w:val="none" w:sz="0" w:space="0" w:color="auto"/>
        <w:left w:val="none" w:sz="0" w:space="0" w:color="auto"/>
        <w:bottom w:val="none" w:sz="0" w:space="0" w:color="auto"/>
        <w:right w:val="none" w:sz="0" w:space="0" w:color="auto"/>
      </w:divBdr>
    </w:div>
    <w:div w:id="440421305">
      <w:bodyDiv w:val="1"/>
      <w:marLeft w:val="0"/>
      <w:marRight w:val="0"/>
      <w:marTop w:val="0"/>
      <w:marBottom w:val="0"/>
      <w:divBdr>
        <w:top w:val="none" w:sz="0" w:space="0" w:color="auto"/>
        <w:left w:val="none" w:sz="0" w:space="0" w:color="auto"/>
        <w:bottom w:val="none" w:sz="0" w:space="0" w:color="auto"/>
        <w:right w:val="none" w:sz="0" w:space="0" w:color="auto"/>
      </w:divBdr>
    </w:div>
    <w:div w:id="444233641">
      <w:bodyDiv w:val="1"/>
      <w:marLeft w:val="0"/>
      <w:marRight w:val="0"/>
      <w:marTop w:val="0"/>
      <w:marBottom w:val="0"/>
      <w:divBdr>
        <w:top w:val="none" w:sz="0" w:space="0" w:color="auto"/>
        <w:left w:val="none" w:sz="0" w:space="0" w:color="auto"/>
        <w:bottom w:val="none" w:sz="0" w:space="0" w:color="auto"/>
        <w:right w:val="none" w:sz="0" w:space="0" w:color="auto"/>
      </w:divBdr>
    </w:div>
    <w:div w:id="468983318">
      <w:bodyDiv w:val="1"/>
      <w:marLeft w:val="0"/>
      <w:marRight w:val="0"/>
      <w:marTop w:val="0"/>
      <w:marBottom w:val="0"/>
      <w:divBdr>
        <w:top w:val="none" w:sz="0" w:space="0" w:color="auto"/>
        <w:left w:val="none" w:sz="0" w:space="0" w:color="auto"/>
        <w:bottom w:val="none" w:sz="0" w:space="0" w:color="auto"/>
        <w:right w:val="none" w:sz="0" w:space="0" w:color="auto"/>
      </w:divBdr>
    </w:div>
    <w:div w:id="514729458">
      <w:bodyDiv w:val="1"/>
      <w:marLeft w:val="0"/>
      <w:marRight w:val="0"/>
      <w:marTop w:val="0"/>
      <w:marBottom w:val="0"/>
      <w:divBdr>
        <w:top w:val="none" w:sz="0" w:space="0" w:color="auto"/>
        <w:left w:val="none" w:sz="0" w:space="0" w:color="auto"/>
        <w:bottom w:val="none" w:sz="0" w:space="0" w:color="auto"/>
        <w:right w:val="none" w:sz="0" w:space="0" w:color="auto"/>
      </w:divBdr>
    </w:div>
    <w:div w:id="515340302">
      <w:bodyDiv w:val="1"/>
      <w:marLeft w:val="0"/>
      <w:marRight w:val="0"/>
      <w:marTop w:val="0"/>
      <w:marBottom w:val="0"/>
      <w:divBdr>
        <w:top w:val="none" w:sz="0" w:space="0" w:color="auto"/>
        <w:left w:val="none" w:sz="0" w:space="0" w:color="auto"/>
        <w:bottom w:val="none" w:sz="0" w:space="0" w:color="auto"/>
        <w:right w:val="none" w:sz="0" w:space="0" w:color="auto"/>
      </w:divBdr>
    </w:div>
    <w:div w:id="531845755">
      <w:bodyDiv w:val="1"/>
      <w:marLeft w:val="0"/>
      <w:marRight w:val="0"/>
      <w:marTop w:val="0"/>
      <w:marBottom w:val="0"/>
      <w:divBdr>
        <w:top w:val="none" w:sz="0" w:space="0" w:color="auto"/>
        <w:left w:val="none" w:sz="0" w:space="0" w:color="auto"/>
        <w:bottom w:val="none" w:sz="0" w:space="0" w:color="auto"/>
        <w:right w:val="none" w:sz="0" w:space="0" w:color="auto"/>
      </w:divBdr>
    </w:div>
    <w:div w:id="534730179">
      <w:bodyDiv w:val="1"/>
      <w:marLeft w:val="0"/>
      <w:marRight w:val="0"/>
      <w:marTop w:val="0"/>
      <w:marBottom w:val="0"/>
      <w:divBdr>
        <w:top w:val="none" w:sz="0" w:space="0" w:color="auto"/>
        <w:left w:val="none" w:sz="0" w:space="0" w:color="auto"/>
        <w:bottom w:val="none" w:sz="0" w:space="0" w:color="auto"/>
        <w:right w:val="none" w:sz="0" w:space="0" w:color="auto"/>
      </w:divBdr>
    </w:div>
    <w:div w:id="534932180">
      <w:bodyDiv w:val="1"/>
      <w:marLeft w:val="0"/>
      <w:marRight w:val="0"/>
      <w:marTop w:val="0"/>
      <w:marBottom w:val="0"/>
      <w:divBdr>
        <w:top w:val="none" w:sz="0" w:space="0" w:color="auto"/>
        <w:left w:val="none" w:sz="0" w:space="0" w:color="auto"/>
        <w:bottom w:val="none" w:sz="0" w:space="0" w:color="auto"/>
        <w:right w:val="none" w:sz="0" w:space="0" w:color="auto"/>
      </w:divBdr>
      <w:divsChild>
        <w:div w:id="55395603">
          <w:marLeft w:val="446"/>
          <w:marRight w:val="0"/>
          <w:marTop w:val="0"/>
          <w:marBottom w:val="0"/>
          <w:divBdr>
            <w:top w:val="none" w:sz="0" w:space="0" w:color="auto"/>
            <w:left w:val="none" w:sz="0" w:space="0" w:color="auto"/>
            <w:bottom w:val="none" w:sz="0" w:space="0" w:color="auto"/>
            <w:right w:val="none" w:sz="0" w:space="0" w:color="auto"/>
          </w:divBdr>
        </w:div>
        <w:div w:id="417095616">
          <w:marLeft w:val="446"/>
          <w:marRight w:val="0"/>
          <w:marTop w:val="0"/>
          <w:marBottom w:val="0"/>
          <w:divBdr>
            <w:top w:val="none" w:sz="0" w:space="0" w:color="auto"/>
            <w:left w:val="none" w:sz="0" w:space="0" w:color="auto"/>
            <w:bottom w:val="none" w:sz="0" w:space="0" w:color="auto"/>
            <w:right w:val="none" w:sz="0" w:space="0" w:color="auto"/>
          </w:divBdr>
        </w:div>
        <w:div w:id="821771296">
          <w:marLeft w:val="446"/>
          <w:marRight w:val="0"/>
          <w:marTop w:val="0"/>
          <w:marBottom w:val="0"/>
          <w:divBdr>
            <w:top w:val="none" w:sz="0" w:space="0" w:color="auto"/>
            <w:left w:val="none" w:sz="0" w:space="0" w:color="auto"/>
            <w:bottom w:val="none" w:sz="0" w:space="0" w:color="auto"/>
            <w:right w:val="none" w:sz="0" w:space="0" w:color="auto"/>
          </w:divBdr>
        </w:div>
        <w:div w:id="990870669">
          <w:marLeft w:val="446"/>
          <w:marRight w:val="0"/>
          <w:marTop w:val="0"/>
          <w:marBottom w:val="0"/>
          <w:divBdr>
            <w:top w:val="none" w:sz="0" w:space="0" w:color="auto"/>
            <w:left w:val="none" w:sz="0" w:space="0" w:color="auto"/>
            <w:bottom w:val="none" w:sz="0" w:space="0" w:color="auto"/>
            <w:right w:val="none" w:sz="0" w:space="0" w:color="auto"/>
          </w:divBdr>
        </w:div>
        <w:div w:id="1044603224">
          <w:marLeft w:val="446"/>
          <w:marRight w:val="0"/>
          <w:marTop w:val="0"/>
          <w:marBottom w:val="0"/>
          <w:divBdr>
            <w:top w:val="none" w:sz="0" w:space="0" w:color="auto"/>
            <w:left w:val="none" w:sz="0" w:space="0" w:color="auto"/>
            <w:bottom w:val="none" w:sz="0" w:space="0" w:color="auto"/>
            <w:right w:val="none" w:sz="0" w:space="0" w:color="auto"/>
          </w:divBdr>
        </w:div>
        <w:div w:id="1444836837">
          <w:marLeft w:val="1094"/>
          <w:marRight w:val="0"/>
          <w:marTop w:val="0"/>
          <w:marBottom w:val="0"/>
          <w:divBdr>
            <w:top w:val="none" w:sz="0" w:space="0" w:color="auto"/>
            <w:left w:val="none" w:sz="0" w:space="0" w:color="auto"/>
            <w:bottom w:val="none" w:sz="0" w:space="0" w:color="auto"/>
            <w:right w:val="none" w:sz="0" w:space="0" w:color="auto"/>
          </w:divBdr>
        </w:div>
        <w:div w:id="1485470415">
          <w:marLeft w:val="1094"/>
          <w:marRight w:val="0"/>
          <w:marTop w:val="0"/>
          <w:marBottom w:val="0"/>
          <w:divBdr>
            <w:top w:val="none" w:sz="0" w:space="0" w:color="auto"/>
            <w:left w:val="none" w:sz="0" w:space="0" w:color="auto"/>
            <w:bottom w:val="none" w:sz="0" w:space="0" w:color="auto"/>
            <w:right w:val="none" w:sz="0" w:space="0" w:color="auto"/>
          </w:divBdr>
        </w:div>
        <w:div w:id="1631588730">
          <w:marLeft w:val="446"/>
          <w:marRight w:val="0"/>
          <w:marTop w:val="0"/>
          <w:marBottom w:val="0"/>
          <w:divBdr>
            <w:top w:val="none" w:sz="0" w:space="0" w:color="auto"/>
            <w:left w:val="none" w:sz="0" w:space="0" w:color="auto"/>
            <w:bottom w:val="none" w:sz="0" w:space="0" w:color="auto"/>
            <w:right w:val="none" w:sz="0" w:space="0" w:color="auto"/>
          </w:divBdr>
        </w:div>
        <w:div w:id="1711682211">
          <w:marLeft w:val="1094"/>
          <w:marRight w:val="0"/>
          <w:marTop w:val="0"/>
          <w:marBottom w:val="0"/>
          <w:divBdr>
            <w:top w:val="none" w:sz="0" w:space="0" w:color="auto"/>
            <w:left w:val="none" w:sz="0" w:space="0" w:color="auto"/>
            <w:bottom w:val="none" w:sz="0" w:space="0" w:color="auto"/>
            <w:right w:val="none" w:sz="0" w:space="0" w:color="auto"/>
          </w:divBdr>
        </w:div>
        <w:div w:id="1779594116">
          <w:marLeft w:val="1094"/>
          <w:marRight w:val="0"/>
          <w:marTop w:val="0"/>
          <w:marBottom w:val="0"/>
          <w:divBdr>
            <w:top w:val="none" w:sz="0" w:space="0" w:color="auto"/>
            <w:left w:val="none" w:sz="0" w:space="0" w:color="auto"/>
            <w:bottom w:val="none" w:sz="0" w:space="0" w:color="auto"/>
            <w:right w:val="none" w:sz="0" w:space="0" w:color="auto"/>
          </w:divBdr>
        </w:div>
        <w:div w:id="1804083461">
          <w:marLeft w:val="1094"/>
          <w:marRight w:val="0"/>
          <w:marTop w:val="0"/>
          <w:marBottom w:val="0"/>
          <w:divBdr>
            <w:top w:val="none" w:sz="0" w:space="0" w:color="auto"/>
            <w:left w:val="none" w:sz="0" w:space="0" w:color="auto"/>
            <w:bottom w:val="none" w:sz="0" w:space="0" w:color="auto"/>
            <w:right w:val="none" w:sz="0" w:space="0" w:color="auto"/>
          </w:divBdr>
        </w:div>
      </w:divsChild>
    </w:div>
    <w:div w:id="643243164">
      <w:bodyDiv w:val="1"/>
      <w:marLeft w:val="0"/>
      <w:marRight w:val="0"/>
      <w:marTop w:val="0"/>
      <w:marBottom w:val="0"/>
      <w:divBdr>
        <w:top w:val="none" w:sz="0" w:space="0" w:color="auto"/>
        <w:left w:val="none" w:sz="0" w:space="0" w:color="auto"/>
        <w:bottom w:val="none" w:sz="0" w:space="0" w:color="auto"/>
        <w:right w:val="none" w:sz="0" w:space="0" w:color="auto"/>
      </w:divBdr>
    </w:div>
    <w:div w:id="721563201">
      <w:bodyDiv w:val="1"/>
      <w:marLeft w:val="0"/>
      <w:marRight w:val="0"/>
      <w:marTop w:val="0"/>
      <w:marBottom w:val="0"/>
      <w:divBdr>
        <w:top w:val="none" w:sz="0" w:space="0" w:color="auto"/>
        <w:left w:val="none" w:sz="0" w:space="0" w:color="auto"/>
        <w:bottom w:val="none" w:sz="0" w:space="0" w:color="auto"/>
        <w:right w:val="none" w:sz="0" w:space="0" w:color="auto"/>
      </w:divBdr>
      <w:divsChild>
        <w:div w:id="30543378">
          <w:marLeft w:val="360"/>
          <w:marRight w:val="0"/>
          <w:marTop w:val="0"/>
          <w:marBottom w:val="60"/>
          <w:divBdr>
            <w:top w:val="none" w:sz="0" w:space="0" w:color="auto"/>
            <w:left w:val="none" w:sz="0" w:space="0" w:color="auto"/>
            <w:bottom w:val="none" w:sz="0" w:space="0" w:color="auto"/>
            <w:right w:val="none" w:sz="0" w:space="0" w:color="auto"/>
          </w:divBdr>
        </w:div>
        <w:div w:id="261449820">
          <w:marLeft w:val="360"/>
          <w:marRight w:val="0"/>
          <w:marTop w:val="0"/>
          <w:marBottom w:val="120"/>
          <w:divBdr>
            <w:top w:val="none" w:sz="0" w:space="0" w:color="auto"/>
            <w:left w:val="none" w:sz="0" w:space="0" w:color="auto"/>
            <w:bottom w:val="none" w:sz="0" w:space="0" w:color="auto"/>
            <w:right w:val="none" w:sz="0" w:space="0" w:color="auto"/>
          </w:divBdr>
        </w:div>
        <w:div w:id="1210613083">
          <w:marLeft w:val="360"/>
          <w:marRight w:val="0"/>
          <w:marTop w:val="0"/>
          <w:marBottom w:val="60"/>
          <w:divBdr>
            <w:top w:val="none" w:sz="0" w:space="0" w:color="auto"/>
            <w:left w:val="none" w:sz="0" w:space="0" w:color="auto"/>
            <w:bottom w:val="none" w:sz="0" w:space="0" w:color="auto"/>
            <w:right w:val="none" w:sz="0" w:space="0" w:color="auto"/>
          </w:divBdr>
        </w:div>
        <w:div w:id="1260869114">
          <w:marLeft w:val="360"/>
          <w:marRight w:val="0"/>
          <w:marTop w:val="0"/>
          <w:marBottom w:val="60"/>
          <w:divBdr>
            <w:top w:val="none" w:sz="0" w:space="0" w:color="auto"/>
            <w:left w:val="none" w:sz="0" w:space="0" w:color="auto"/>
            <w:bottom w:val="none" w:sz="0" w:space="0" w:color="auto"/>
            <w:right w:val="none" w:sz="0" w:space="0" w:color="auto"/>
          </w:divBdr>
        </w:div>
        <w:div w:id="1316689565">
          <w:marLeft w:val="360"/>
          <w:marRight w:val="0"/>
          <w:marTop w:val="0"/>
          <w:marBottom w:val="60"/>
          <w:divBdr>
            <w:top w:val="none" w:sz="0" w:space="0" w:color="auto"/>
            <w:left w:val="none" w:sz="0" w:space="0" w:color="auto"/>
            <w:bottom w:val="none" w:sz="0" w:space="0" w:color="auto"/>
            <w:right w:val="none" w:sz="0" w:space="0" w:color="auto"/>
          </w:divBdr>
        </w:div>
        <w:div w:id="1675525508">
          <w:marLeft w:val="360"/>
          <w:marRight w:val="0"/>
          <w:marTop w:val="0"/>
          <w:marBottom w:val="60"/>
          <w:divBdr>
            <w:top w:val="none" w:sz="0" w:space="0" w:color="auto"/>
            <w:left w:val="none" w:sz="0" w:space="0" w:color="auto"/>
            <w:bottom w:val="none" w:sz="0" w:space="0" w:color="auto"/>
            <w:right w:val="none" w:sz="0" w:space="0" w:color="auto"/>
          </w:divBdr>
        </w:div>
        <w:div w:id="2032953656">
          <w:marLeft w:val="360"/>
          <w:marRight w:val="0"/>
          <w:marTop w:val="0"/>
          <w:marBottom w:val="60"/>
          <w:divBdr>
            <w:top w:val="none" w:sz="0" w:space="0" w:color="auto"/>
            <w:left w:val="none" w:sz="0" w:space="0" w:color="auto"/>
            <w:bottom w:val="none" w:sz="0" w:space="0" w:color="auto"/>
            <w:right w:val="none" w:sz="0" w:space="0" w:color="auto"/>
          </w:divBdr>
        </w:div>
      </w:divsChild>
    </w:div>
    <w:div w:id="752966748">
      <w:bodyDiv w:val="1"/>
      <w:marLeft w:val="0"/>
      <w:marRight w:val="0"/>
      <w:marTop w:val="0"/>
      <w:marBottom w:val="0"/>
      <w:divBdr>
        <w:top w:val="none" w:sz="0" w:space="0" w:color="auto"/>
        <w:left w:val="none" w:sz="0" w:space="0" w:color="auto"/>
        <w:bottom w:val="none" w:sz="0" w:space="0" w:color="auto"/>
        <w:right w:val="none" w:sz="0" w:space="0" w:color="auto"/>
      </w:divBdr>
      <w:divsChild>
        <w:div w:id="1057625763">
          <w:marLeft w:val="274"/>
          <w:marRight w:val="0"/>
          <w:marTop w:val="0"/>
          <w:marBottom w:val="60"/>
          <w:divBdr>
            <w:top w:val="none" w:sz="0" w:space="0" w:color="auto"/>
            <w:left w:val="none" w:sz="0" w:space="0" w:color="auto"/>
            <w:bottom w:val="none" w:sz="0" w:space="0" w:color="auto"/>
            <w:right w:val="none" w:sz="0" w:space="0" w:color="auto"/>
          </w:divBdr>
        </w:div>
        <w:div w:id="1756828301">
          <w:marLeft w:val="274"/>
          <w:marRight w:val="0"/>
          <w:marTop w:val="0"/>
          <w:marBottom w:val="60"/>
          <w:divBdr>
            <w:top w:val="none" w:sz="0" w:space="0" w:color="auto"/>
            <w:left w:val="none" w:sz="0" w:space="0" w:color="auto"/>
            <w:bottom w:val="none" w:sz="0" w:space="0" w:color="auto"/>
            <w:right w:val="none" w:sz="0" w:space="0" w:color="auto"/>
          </w:divBdr>
        </w:div>
        <w:div w:id="2060467784">
          <w:marLeft w:val="274"/>
          <w:marRight w:val="0"/>
          <w:marTop w:val="0"/>
          <w:marBottom w:val="60"/>
          <w:divBdr>
            <w:top w:val="none" w:sz="0" w:space="0" w:color="auto"/>
            <w:left w:val="none" w:sz="0" w:space="0" w:color="auto"/>
            <w:bottom w:val="none" w:sz="0" w:space="0" w:color="auto"/>
            <w:right w:val="none" w:sz="0" w:space="0" w:color="auto"/>
          </w:divBdr>
        </w:div>
      </w:divsChild>
    </w:div>
    <w:div w:id="774911493">
      <w:bodyDiv w:val="1"/>
      <w:marLeft w:val="0"/>
      <w:marRight w:val="0"/>
      <w:marTop w:val="0"/>
      <w:marBottom w:val="0"/>
      <w:divBdr>
        <w:top w:val="none" w:sz="0" w:space="0" w:color="auto"/>
        <w:left w:val="none" w:sz="0" w:space="0" w:color="auto"/>
        <w:bottom w:val="none" w:sz="0" w:space="0" w:color="auto"/>
        <w:right w:val="none" w:sz="0" w:space="0" w:color="auto"/>
      </w:divBdr>
    </w:div>
    <w:div w:id="818231416">
      <w:bodyDiv w:val="1"/>
      <w:marLeft w:val="0"/>
      <w:marRight w:val="0"/>
      <w:marTop w:val="0"/>
      <w:marBottom w:val="0"/>
      <w:divBdr>
        <w:top w:val="none" w:sz="0" w:space="0" w:color="auto"/>
        <w:left w:val="none" w:sz="0" w:space="0" w:color="auto"/>
        <w:bottom w:val="none" w:sz="0" w:space="0" w:color="auto"/>
        <w:right w:val="none" w:sz="0" w:space="0" w:color="auto"/>
      </w:divBdr>
    </w:div>
    <w:div w:id="920480778">
      <w:bodyDiv w:val="1"/>
      <w:marLeft w:val="0"/>
      <w:marRight w:val="0"/>
      <w:marTop w:val="0"/>
      <w:marBottom w:val="0"/>
      <w:divBdr>
        <w:top w:val="none" w:sz="0" w:space="0" w:color="auto"/>
        <w:left w:val="none" w:sz="0" w:space="0" w:color="auto"/>
        <w:bottom w:val="none" w:sz="0" w:space="0" w:color="auto"/>
        <w:right w:val="none" w:sz="0" w:space="0" w:color="auto"/>
      </w:divBdr>
    </w:div>
    <w:div w:id="954139104">
      <w:bodyDiv w:val="1"/>
      <w:marLeft w:val="0"/>
      <w:marRight w:val="0"/>
      <w:marTop w:val="0"/>
      <w:marBottom w:val="0"/>
      <w:divBdr>
        <w:top w:val="none" w:sz="0" w:space="0" w:color="auto"/>
        <w:left w:val="none" w:sz="0" w:space="0" w:color="auto"/>
        <w:bottom w:val="none" w:sz="0" w:space="0" w:color="auto"/>
        <w:right w:val="none" w:sz="0" w:space="0" w:color="auto"/>
      </w:divBdr>
    </w:div>
    <w:div w:id="985668036">
      <w:bodyDiv w:val="1"/>
      <w:marLeft w:val="0"/>
      <w:marRight w:val="0"/>
      <w:marTop w:val="0"/>
      <w:marBottom w:val="0"/>
      <w:divBdr>
        <w:top w:val="none" w:sz="0" w:space="0" w:color="auto"/>
        <w:left w:val="none" w:sz="0" w:space="0" w:color="auto"/>
        <w:bottom w:val="none" w:sz="0" w:space="0" w:color="auto"/>
        <w:right w:val="none" w:sz="0" w:space="0" w:color="auto"/>
      </w:divBdr>
      <w:divsChild>
        <w:div w:id="119307828">
          <w:marLeft w:val="360"/>
          <w:marRight w:val="0"/>
          <w:marTop w:val="0"/>
          <w:marBottom w:val="60"/>
          <w:divBdr>
            <w:top w:val="none" w:sz="0" w:space="0" w:color="auto"/>
            <w:left w:val="none" w:sz="0" w:space="0" w:color="auto"/>
            <w:bottom w:val="none" w:sz="0" w:space="0" w:color="auto"/>
            <w:right w:val="none" w:sz="0" w:space="0" w:color="auto"/>
          </w:divBdr>
        </w:div>
        <w:div w:id="560681043">
          <w:marLeft w:val="360"/>
          <w:marRight w:val="0"/>
          <w:marTop w:val="0"/>
          <w:marBottom w:val="60"/>
          <w:divBdr>
            <w:top w:val="none" w:sz="0" w:space="0" w:color="auto"/>
            <w:left w:val="none" w:sz="0" w:space="0" w:color="auto"/>
            <w:bottom w:val="none" w:sz="0" w:space="0" w:color="auto"/>
            <w:right w:val="none" w:sz="0" w:space="0" w:color="auto"/>
          </w:divBdr>
        </w:div>
        <w:div w:id="701436454">
          <w:marLeft w:val="360"/>
          <w:marRight w:val="0"/>
          <w:marTop w:val="0"/>
          <w:marBottom w:val="60"/>
          <w:divBdr>
            <w:top w:val="none" w:sz="0" w:space="0" w:color="auto"/>
            <w:left w:val="none" w:sz="0" w:space="0" w:color="auto"/>
            <w:bottom w:val="none" w:sz="0" w:space="0" w:color="auto"/>
            <w:right w:val="none" w:sz="0" w:space="0" w:color="auto"/>
          </w:divBdr>
        </w:div>
        <w:div w:id="985284786">
          <w:marLeft w:val="360"/>
          <w:marRight w:val="0"/>
          <w:marTop w:val="0"/>
          <w:marBottom w:val="60"/>
          <w:divBdr>
            <w:top w:val="none" w:sz="0" w:space="0" w:color="auto"/>
            <w:left w:val="none" w:sz="0" w:space="0" w:color="auto"/>
            <w:bottom w:val="none" w:sz="0" w:space="0" w:color="auto"/>
            <w:right w:val="none" w:sz="0" w:space="0" w:color="auto"/>
          </w:divBdr>
        </w:div>
        <w:div w:id="1007055172">
          <w:marLeft w:val="360"/>
          <w:marRight w:val="0"/>
          <w:marTop w:val="0"/>
          <w:marBottom w:val="60"/>
          <w:divBdr>
            <w:top w:val="none" w:sz="0" w:space="0" w:color="auto"/>
            <w:left w:val="none" w:sz="0" w:space="0" w:color="auto"/>
            <w:bottom w:val="none" w:sz="0" w:space="0" w:color="auto"/>
            <w:right w:val="none" w:sz="0" w:space="0" w:color="auto"/>
          </w:divBdr>
        </w:div>
        <w:div w:id="1579171838">
          <w:marLeft w:val="360"/>
          <w:marRight w:val="0"/>
          <w:marTop w:val="0"/>
          <w:marBottom w:val="60"/>
          <w:divBdr>
            <w:top w:val="none" w:sz="0" w:space="0" w:color="auto"/>
            <w:left w:val="none" w:sz="0" w:space="0" w:color="auto"/>
            <w:bottom w:val="none" w:sz="0" w:space="0" w:color="auto"/>
            <w:right w:val="none" w:sz="0" w:space="0" w:color="auto"/>
          </w:divBdr>
        </w:div>
        <w:div w:id="2143495887">
          <w:marLeft w:val="360"/>
          <w:marRight w:val="0"/>
          <w:marTop w:val="0"/>
          <w:marBottom w:val="60"/>
          <w:divBdr>
            <w:top w:val="none" w:sz="0" w:space="0" w:color="auto"/>
            <w:left w:val="none" w:sz="0" w:space="0" w:color="auto"/>
            <w:bottom w:val="none" w:sz="0" w:space="0" w:color="auto"/>
            <w:right w:val="none" w:sz="0" w:space="0" w:color="auto"/>
          </w:divBdr>
        </w:div>
      </w:divsChild>
    </w:div>
    <w:div w:id="1009218561">
      <w:bodyDiv w:val="1"/>
      <w:marLeft w:val="0"/>
      <w:marRight w:val="0"/>
      <w:marTop w:val="0"/>
      <w:marBottom w:val="0"/>
      <w:divBdr>
        <w:top w:val="none" w:sz="0" w:space="0" w:color="auto"/>
        <w:left w:val="none" w:sz="0" w:space="0" w:color="auto"/>
        <w:bottom w:val="none" w:sz="0" w:space="0" w:color="auto"/>
        <w:right w:val="none" w:sz="0" w:space="0" w:color="auto"/>
      </w:divBdr>
      <w:divsChild>
        <w:div w:id="237712094">
          <w:marLeft w:val="1094"/>
          <w:marRight w:val="0"/>
          <w:marTop w:val="0"/>
          <w:marBottom w:val="0"/>
          <w:divBdr>
            <w:top w:val="none" w:sz="0" w:space="0" w:color="auto"/>
            <w:left w:val="none" w:sz="0" w:space="0" w:color="auto"/>
            <w:bottom w:val="none" w:sz="0" w:space="0" w:color="auto"/>
            <w:right w:val="none" w:sz="0" w:space="0" w:color="auto"/>
          </w:divBdr>
        </w:div>
        <w:div w:id="583492606">
          <w:marLeft w:val="446"/>
          <w:marRight w:val="0"/>
          <w:marTop w:val="0"/>
          <w:marBottom w:val="0"/>
          <w:divBdr>
            <w:top w:val="none" w:sz="0" w:space="0" w:color="auto"/>
            <w:left w:val="none" w:sz="0" w:space="0" w:color="auto"/>
            <w:bottom w:val="none" w:sz="0" w:space="0" w:color="auto"/>
            <w:right w:val="none" w:sz="0" w:space="0" w:color="auto"/>
          </w:divBdr>
        </w:div>
        <w:div w:id="715351411">
          <w:marLeft w:val="1094"/>
          <w:marRight w:val="0"/>
          <w:marTop w:val="0"/>
          <w:marBottom w:val="0"/>
          <w:divBdr>
            <w:top w:val="none" w:sz="0" w:space="0" w:color="auto"/>
            <w:left w:val="none" w:sz="0" w:space="0" w:color="auto"/>
            <w:bottom w:val="none" w:sz="0" w:space="0" w:color="auto"/>
            <w:right w:val="none" w:sz="0" w:space="0" w:color="auto"/>
          </w:divBdr>
        </w:div>
        <w:div w:id="753549734">
          <w:marLeft w:val="446"/>
          <w:marRight w:val="0"/>
          <w:marTop w:val="0"/>
          <w:marBottom w:val="0"/>
          <w:divBdr>
            <w:top w:val="none" w:sz="0" w:space="0" w:color="auto"/>
            <w:left w:val="none" w:sz="0" w:space="0" w:color="auto"/>
            <w:bottom w:val="none" w:sz="0" w:space="0" w:color="auto"/>
            <w:right w:val="none" w:sz="0" w:space="0" w:color="auto"/>
          </w:divBdr>
        </w:div>
        <w:div w:id="1193224992">
          <w:marLeft w:val="446"/>
          <w:marRight w:val="0"/>
          <w:marTop w:val="0"/>
          <w:marBottom w:val="0"/>
          <w:divBdr>
            <w:top w:val="none" w:sz="0" w:space="0" w:color="auto"/>
            <w:left w:val="none" w:sz="0" w:space="0" w:color="auto"/>
            <w:bottom w:val="none" w:sz="0" w:space="0" w:color="auto"/>
            <w:right w:val="none" w:sz="0" w:space="0" w:color="auto"/>
          </w:divBdr>
        </w:div>
        <w:div w:id="1207370376">
          <w:marLeft w:val="446"/>
          <w:marRight w:val="0"/>
          <w:marTop w:val="0"/>
          <w:marBottom w:val="0"/>
          <w:divBdr>
            <w:top w:val="none" w:sz="0" w:space="0" w:color="auto"/>
            <w:left w:val="none" w:sz="0" w:space="0" w:color="auto"/>
            <w:bottom w:val="none" w:sz="0" w:space="0" w:color="auto"/>
            <w:right w:val="none" w:sz="0" w:space="0" w:color="auto"/>
          </w:divBdr>
        </w:div>
        <w:div w:id="1496219184">
          <w:marLeft w:val="1094"/>
          <w:marRight w:val="0"/>
          <w:marTop w:val="0"/>
          <w:marBottom w:val="0"/>
          <w:divBdr>
            <w:top w:val="none" w:sz="0" w:space="0" w:color="auto"/>
            <w:left w:val="none" w:sz="0" w:space="0" w:color="auto"/>
            <w:bottom w:val="none" w:sz="0" w:space="0" w:color="auto"/>
            <w:right w:val="none" w:sz="0" w:space="0" w:color="auto"/>
          </w:divBdr>
        </w:div>
        <w:div w:id="1538658857">
          <w:marLeft w:val="446"/>
          <w:marRight w:val="0"/>
          <w:marTop w:val="0"/>
          <w:marBottom w:val="0"/>
          <w:divBdr>
            <w:top w:val="none" w:sz="0" w:space="0" w:color="auto"/>
            <w:left w:val="none" w:sz="0" w:space="0" w:color="auto"/>
            <w:bottom w:val="none" w:sz="0" w:space="0" w:color="auto"/>
            <w:right w:val="none" w:sz="0" w:space="0" w:color="auto"/>
          </w:divBdr>
        </w:div>
        <w:div w:id="1568690449">
          <w:marLeft w:val="1094"/>
          <w:marRight w:val="0"/>
          <w:marTop w:val="0"/>
          <w:marBottom w:val="0"/>
          <w:divBdr>
            <w:top w:val="none" w:sz="0" w:space="0" w:color="auto"/>
            <w:left w:val="none" w:sz="0" w:space="0" w:color="auto"/>
            <w:bottom w:val="none" w:sz="0" w:space="0" w:color="auto"/>
            <w:right w:val="none" w:sz="0" w:space="0" w:color="auto"/>
          </w:divBdr>
        </w:div>
        <w:div w:id="1898778063">
          <w:marLeft w:val="446"/>
          <w:marRight w:val="0"/>
          <w:marTop w:val="0"/>
          <w:marBottom w:val="0"/>
          <w:divBdr>
            <w:top w:val="none" w:sz="0" w:space="0" w:color="auto"/>
            <w:left w:val="none" w:sz="0" w:space="0" w:color="auto"/>
            <w:bottom w:val="none" w:sz="0" w:space="0" w:color="auto"/>
            <w:right w:val="none" w:sz="0" w:space="0" w:color="auto"/>
          </w:divBdr>
        </w:div>
        <w:div w:id="1941837150">
          <w:marLeft w:val="1094"/>
          <w:marRight w:val="0"/>
          <w:marTop w:val="0"/>
          <w:marBottom w:val="0"/>
          <w:divBdr>
            <w:top w:val="none" w:sz="0" w:space="0" w:color="auto"/>
            <w:left w:val="none" w:sz="0" w:space="0" w:color="auto"/>
            <w:bottom w:val="none" w:sz="0" w:space="0" w:color="auto"/>
            <w:right w:val="none" w:sz="0" w:space="0" w:color="auto"/>
          </w:divBdr>
        </w:div>
      </w:divsChild>
    </w:div>
    <w:div w:id="1037318652">
      <w:bodyDiv w:val="1"/>
      <w:marLeft w:val="0"/>
      <w:marRight w:val="0"/>
      <w:marTop w:val="0"/>
      <w:marBottom w:val="0"/>
      <w:divBdr>
        <w:top w:val="none" w:sz="0" w:space="0" w:color="auto"/>
        <w:left w:val="none" w:sz="0" w:space="0" w:color="auto"/>
        <w:bottom w:val="none" w:sz="0" w:space="0" w:color="auto"/>
        <w:right w:val="none" w:sz="0" w:space="0" w:color="auto"/>
      </w:divBdr>
    </w:div>
    <w:div w:id="1068304549">
      <w:bodyDiv w:val="1"/>
      <w:marLeft w:val="0"/>
      <w:marRight w:val="0"/>
      <w:marTop w:val="0"/>
      <w:marBottom w:val="0"/>
      <w:divBdr>
        <w:top w:val="none" w:sz="0" w:space="0" w:color="auto"/>
        <w:left w:val="none" w:sz="0" w:space="0" w:color="auto"/>
        <w:bottom w:val="none" w:sz="0" w:space="0" w:color="auto"/>
        <w:right w:val="none" w:sz="0" w:space="0" w:color="auto"/>
      </w:divBdr>
      <w:divsChild>
        <w:div w:id="449056183">
          <w:marLeft w:val="1094"/>
          <w:marRight w:val="0"/>
          <w:marTop w:val="0"/>
          <w:marBottom w:val="0"/>
          <w:divBdr>
            <w:top w:val="none" w:sz="0" w:space="0" w:color="auto"/>
            <w:left w:val="none" w:sz="0" w:space="0" w:color="auto"/>
            <w:bottom w:val="none" w:sz="0" w:space="0" w:color="auto"/>
            <w:right w:val="none" w:sz="0" w:space="0" w:color="auto"/>
          </w:divBdr>
        </w:div>
        <w:div w:id="718674358">
          <w:marLeft w:val="1094"/>
          <w:marRight w:val="0"/>
          <w:marTop w:val="0"/>
          <w:marBottom w:val="0"/>
          <w:divBdr>
            <w:top w:val="none" w:sz="0" w:space="0" w:color="auto"/>
            <w:left w:val="none" w:sz="0" w:space="0" w:color="auto"/>
            <w:bottom w:val="none" w:sz="0" w:space="0" w:color="auto"/>
            <w:right w:val="none" w:sz="0" w:space="0" w:color="auto"/>
          </w:divBdr>
        </w:div>
      </w:divsChild>
    </w:div>
    <w:div w:id="1106804065">
      <w:bodyDiv w:val="1"/>
      <w:marLeft w:val="0"/>
      <w:marRight w:val="0"/>
      <w:marTop w:val="0"/>
      <w:marBottom w:val="0"/>
      <w:divBdr>
        <w:top w:val="none" w:sz="0" w:space="0" w:color="auto"/>
        <w:left w:val="none" w:sz="0" w:space="0" w:color="auto"/>
        <w:bottom w:val="none" w:sz="0" w:space="0" w:color="auto"/>
        <w:right w:val="none" w:sz="0" w:space="0" w:color="auto"/>
      </w:divBdr>
    </w:div>
    <w:div w:id="1117260601">
      <w:bodyDiv w:val="1"/>
      <w:marLeft w:val="0"/>
      <w:marRight w:val="0"/>
      <w:marTop w:val="0"/>
      <w:marBottom w:val="0"/>
      <w:divBdr>
        <w:top w:val="none" w:sz="0" w:space="0" w:color="auto"/>
        <w:left w:val="none" w:sz="0" w:space="0" w:color="auto"/>
        <w:bottom w:val="none" w:sz="0" w:space="0" w:color="auto"/>
        <w:right w:val="none" w:sz="0" w:space="0" w:color="auto"/>
      </w:divBdr>
    </w:div>
    <w:div w:id="1132594654">
      <w:bodyDiv w:val="1"/>
      <w:marLeft w:val="0"/>
      <w:marRight w:val="0"/>
      <w:marTop w:val="0"/>
      <w:marBottom w:val="0"/>
      <w:divBdr>
        <w:top w:val="none" w:sz="0" w:space="0" w:color="auto"/>
        <w:left w:val="none" w:sz="0" w:space="0" w:color="auto"/>
        <w:bottom w:val="none" w:sz="0" w:space="0" w:color="auto"/>
        <w:right w:val="none" w:sz="0" w:space="0" w:color="auto"/>
      </w:divBdr>
    </w:div>
    <w:div w:id="1203443609">
      <w:bodyDiv w:val="1"/>
      <w:marLeft w:val="0"/>
      <w:marRight w:val="0"/>
      <w:marTop w:val="0"/>
      <w:marBottom w:val="0"/>
      <w:divBdr>
        <w:top w:val="none" w:sz="0" w:space="0" w:color="auto"/>
        <w:left w:val="none" w:sz="0" w:space="0" w:color="auto"/>
        <w:bottom w:val="none" w:sz="0" w:space="0" w:color="auto"/>
        <w:right w:val="none" w:sz="0" w:space="0" w:color="auto"/>
      </w:divBdr>
    </w:div>
    <w:div w:id="1210530929">
      <w:bodyDiv w:val="1"/>
      <w:marLeft w:val="0"/>
      <w:marRight w:val="0"/>
      <w:marTop w:val="0"/>
      <w:marBottom w:val="0"/>
      <w:divBdr>
        <w:top w:val="none" w:sz="0" w:space="0" w:color="auto"/>
        <w:left w:val="none" w:sz="0" w:space="0" w:color="auto"/>
        <w:bottom w:val="none" w:sz="0" w:space="0" w:color="auto"/>
        <w:right w:val="none" w:sz="0" w:space="0" w:color="auto"/>
      </w:divBdr>
    </w:div>
    <w:div w:id="1331789504">
      <w:bodyDiv w:val="1"/>
      <w:marLeft w:val="0"/>
      <w:marRight w:val="0"/>
      <w:marTop w:val="0"/>
      <w:marBottom w:val="0"/>
      <w:divBdr>
        <w:top w:val="none" w:sz="0" w:space="0" w:color="auto"/>
        <w:left w:val="none" w:sz="0" w:space="0" w:color="auto"/>
        <w:bottom w:val="none" w:sz="0" w:space="0" w:color="auto"/>
        <w:right w:val="none" w:sz="0" w:space="0" w:color="auto"/>
      </w:divBdr>
    </w:div>
    <w:div w:id="1332949717">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483617907">
      <w:bodyDiv w:val="1"/>
      <w:marLeft w:val="0"/>
      <w:marRight w:val="0"/>
      <w:marTop w:val="0"/>
      <w:marBottom w:val="0"/>
      <w:divBdr>
        <w:top w:val="none" w:sz="0" w:space="0" w:color="auto"/>
        <w:left w:val="none" w:sz="0" w:space="0" w:color="auto"/>
        <w:bottom w:val="none" w:sz="0" w:space="0" w:color="auto"/>
        <w:right w:val="none" w:sz="0" w:space="0" w:color="auto"/>
      </w:divBdr>
    </w:div>
    <w:div w:id="1502818484">
      <w:bodyDiv w:val="1"/>
      <w:marLeft w:val="0"/>
      <w:marRight w:val="0"/>
      <w:marTop w:val="0"/>
      <w:marBottom w:val="0"/>
      <w:divBdr>
        <w:top w:val="none" w:sz="0" w:space="0" w:color="auto"/>
        <w:left w:val="none" w:sz="0" w:space="0" w:color="auto"/>
        <w:bottom w:val="none" w:sz="0" w:space="0" w:color="auto"/>
        <w:right w:val="none" w:sz="0" w:space="0" w:color="auto"/>
      </w:divBdr>
    </w:div>
    <w:div w:id="1509175262">
      <w:bodyDiv w:val="1"/>
      <w:marLeft w:val="0"/>
      <w:marRight w:val="0"/>
      <w:marTop w:val="0"/>
      <w:marBottom w:val="0"/>
      <w:divBdr>
        <w:top w:val="none" w:sz="0" w:space="0" w:color="auto"/>
        <w:left w:val="none" w:sz="0" w:space="0" w:color="auto"/>
        <w:bottom w:val="none" w:sz="0" w:space="0" w:color="auto"/>
        <w:right w:val="none" w:sz="0" w:space="0" w:color="auto"/>
      </w:divBdr>
    </w:div>
    <w:div w:id="1545098935">
      <w:bodyDiv w:val="1"/>
      <w:marLeft w:val="0"/>
      <w:marRight w:val="0"/>
      <w:marTop w:val="0"/>
      <w:marBottom w:val="0"/>
      <w:divBdr>
        <w:top w:val="none" w:sz="0" w:space="0" w:color="auto"/>
        <w:left w:val="none" w:sz="0" w:space="0" w:color="auto"/>
        <w:bottom w:val="none" w:sz="0" w:space="0" w:color="auto"/>
        <w:right w:val="none" w:sz="0" w:space="0" w:color="auto"/>
      </w:divBdr>
    </w:div>
    <w:div w:id="1561552082">
      <w:bodyDiv w:val="1"/>
      <w:marLeft w:val="0"/>
      <w:marRight w:val="0"/>
      <w:marTop w:val="0"/>
      <w:marBottom w:val="0"/>
      <w:divBdr>
        <w:top w:val="none" w:sz="0" w:space="0" w:color="auto"/>
        <w:left w:val="none" w:sz="0" w:space="0" w:color="auto"/>
        <w:bottom w:val="none" w:sz="0" w:space="0" w:color="auto"/>
        <w:right w:val="none" w:sz="0" w:space="0" w:color="auto"/>
      </w:divBdr>
      <w:divsChild>
        <w:div w:id="388960024">
          <w:marLeft w:val="446"/>
          <w:marRight w:val="0"/>
          <w:marTop w:val="0"/>
          <w:marBottom w:val="0"/>
          <w:divBdr>
            <w:top w:val="none" w:sz="0" w:space="0" w:color="auto"/>
            <w:left w:val="none" w:sz="0" w:space="0" w:color="auto"/>
            <w:bottom w:val="none" w:sz="0" w:space="0" w:color="auto"/>
            <w:right w:val="none" w:sz="0" w:space="0" w:color="auto"/>
          </w:divBdr>
        </w:div>
        <w:div w:id="460267207">
          <w:marLeft w:val="446"/>
          <w:marRight w:val="0"/>
          <w:marTop w:val="0"/>
          <w:marBottom w:val="0"/>
          <w:divBdr>
            <w:top w:val="none" w:sz="0" w:space="0" w:color="auto"/>
            <w:left w:val="none" w:sz="0" w:space="0" w:color="auto"/>
            <w:bottom w:val="none" w:sz="0" w:space="0" w:color="auto"/>
            <w:right w:val="none" w:sz="0" w:space="0" w:color="auto"/>
          </w:divBdr>
        </w:div>
        <w:div w:id="1404793936">
          <w:marLeft w:val="446"/>
          <w:marRight w:val="0"/>
          <w:marTop w:val="0"/>
          <w:marBottom w:val="0"/>
          <w:divBdr>
            <w:top w:val="none" w:sz="0" w:space="0" w:color="auto"/>
            <w:left w:val="none" w:sz="0" w:space="0" w:color="auto"/>
            <w:bottom w:val="none" w:sz="0" w:space="0" w:color="auto"/>
            <w:right w:val="none" w:sz="0" w:space="0" w:color="auto"/>
          </w:divBdr>
        </w:div>
        <w:div w:id="1423721558">
          <w:marLeft w:val="446"/>
          <w:marRight w:val="0"/>
          <w:marTop w:val="0"/>
          <w:marBottom w:val="0"/>
          <w:divBdr>
            <w:top w:val="none" w:sz="0" w:space="0" w:color="auto"/>
            <w:left w:val="none" w:sz="0" w:space="0" w:color="auto"/>
            <w:bottom w:val="none" w:sz="0" w:space="0" w:color="auto"/>
            <w:right w:val="none" w:sz="0" w:space="0" w:color="auto"/>
          </w:divBdr>
        </w:div>
        <w:div w:id="1477139835">
          <w:marLeft w:val="446"/>
          <w:marRight w:val="0"/>
          <w:marTop w:val="0"/>
          <w:marBottom w:val="0"/>
          <w:divBdr>
            <w:top w:val="none" w:sz="0" w:space="0" w:color="auto"/>
            <w:left w:val="none" w:sz="0" w:space="0" w:color="auto"/>
            <w:bottom w:val="none" w:sz="0" w:space="0" w:color="auto"/>
            <w:right w:val="none" w:sz="0" w:space="0" w:color="auto"/>
          </w:divBdr>
        </w:div>
        <w:div w:id="1527795937">
          <w:marLeft w:val="446"/>
          <w:marRight w:val="0"/>
          <w:marTop w:val="0"/>
          <w:marBottom w:val="0"/>
          <w:divBdr>
            <w:top w:val="none" w:sz="0" w:space="0" w:color="auto"/>
            <w:left w:val="none" w:sz="0" w:space="0" w:color="auto"/>
            <w:bottom w:val="none" w:sz="0" w:space="0" w:color="auto"/>
            <w:right w:val="none" w:sz="0" w:space="0" w:color="auto"/>
          </w:divBdr>
        </w:div>
      </w:divsChild>
    </w:div>
    <w:div w:id="1582178788">
      <w:bodyDiv w:val="1"/>
      <w:marLeft w:val="0"/>
      <w:marRight w:val="0"/>
      <w:marTop w:val="0"/>
      <w:marBottom w:val="0"/>
      <w:divBdr>
        <w:top w:val="none" w:sz="0" w:space="0" w:color="auto"/>
        <w:left w:val="none" w:sz="0" w:space="0" w:color="auto"/>
        <w:bottom w:val="none" w:sz="0" w:space="0" w:color="auto"/>
        <w:right w:val="none" w:sz="0" w:space="0" w:color="auto"/>
      </w:divBdr>
    </w:div>
    <w:div w:id="1638488175">
      <w:bodyDiv w:val="1"/>
      <w:marLeft w:val="0"/>
      <w:marRight w:val="0"/>
      <w:marTop w:val="0"/>
      <w:marBottom w:val="0"/>
      <w:divBdr>
        <w:top w:val="none" w:sz="0" w:space="0" w:color="auto"/>
        <w:left w:val="none" w:sz="0" w:space="0" w:color="auto"/>
        <w:bottom w:val="none" w:sz="0" w:space="0" w:color="auto"/>
        <w:right w:val="none" w:sz="0" w:space="0" w:color="auto"/>
      </w:divBdr>
      <w:divsChild>
        <w:div w:id="58941718">
          <w:marLeft w:val="274"/>
          <w:marRight w:val="0"/>
          <w:marTop w:val="0"/>
          <w:marBottom w:val="40"/>
          <w:divBdr>
            <w:top w:val="none" w:sz="0" w:space="0" w:color="auto"/>
            <w:left w:val="none" w:sz="0" w:space="0" w:color="auto"/>
            <w:bottom w:val="none" w:sz="0" w:space="0" w:color="auto"/>
            <w:right w:val="none" w:sz="0" w:space="0" w:color="auto"/>
          </w:divBdr>
        </w:div>
        <w:div w:id="744954092">
          <w:marLeft w:val="274"/>
          <w:marRight w:val="0"/>
          <w:marTop w:val="0"/>
          <w:marBottom w:val="40"/>
          <w:divBdr>
            <w:top w:val="none" w:sz="0" w:space="0" w:color="auto"/>
            <w:left w:val="none" w:sz="0" w:space="0" w:color="auto"/>
            <w:bottom w:val="none" w:sz="0" w:space="0" w:color="auto"/>
            <w:right w:val="none" w:sz="0" w:space="0" w:color="auto"/>
          </w:divBdr>
        </w:div>
        <w:div w:id="921913016">
          <w:marLeft w:val="274"/>
          <w:marRight w:val="0"/>
          <w:marTop w:val="0"/>
          <w:marBottom w:val="40"/>
          <w:divBdr>
            <w:top w:val="none" w:sz="0" w:space="0" w:color="auto"/>
            <w:left w:val="none" w:sz="0" w:space="0" w:color="auto"/>
            <w:bottom w:val="none" w:sz="0" w:space="0" w:color="auto"/>
            <w:right w:val="none" w:sz="0" w:space="0" w:color="auto"/>
          </w:divBdr>
        </w:div>
        <w:div w:id="1359309645">
          <w:marLeft w:val="274"/>
          <w:marRight w:val="0"/>
          <w:marTop w:val="0"/>
          <w:marBottom w:val="40"/>
          <w:divBdr>
            <w:top w:val="none" w:sz="0" w:space="0" w:color="auto"/>
            <w:left w:val="none" w:sz="0" w:space="0" w:color="auto"/>
            <w:bottom w:val="none" w:sz="0" w:space="0" w:color="auto"/>
            <w:right w:val="none" w:sz="0" w:space="0" w:color="auto"/>
          </w:divBdr>
        </w:div>
        <w:div w:id="1841387815">
          <w:marLeft w:val="274"/>
          <w:marRight w:val="0"/>
          <w:marTop w:val="0"/>
          <w:marBottom w:val="40"/>
          <w:divBdr>
            <w:top w:val="none" w:sz="0" w:space="0" w:color="auto"/>
            <w:left w:val="none" w:sz="0" w:space="0" w:color="auto"/>
            <w:bottom w:val="none" w:sz="0" w:space="0" w:color="auto"/>
            <w:right w:val="none" w:sz="0" w:space="0" w:color="auto"/>
          </w:divBdr>
        </w:div>
      </w:divsChild>
    </w:div>
    <w:div w:id="1728720269">
      <w:bodyDiv w:val="1"/>
      <w:marLeft w:val="0"/>
      <w:marRight w:val="0"/>
      <w:marTop w:val="0"/>
      <w:marBottom w:val="0"/>
      <w:divBdr>
        <w:top w:val="none" w:sz="0" w:space="0" w:color="auto"/>
        <w:left w:val="none" w:sz="0" w:space="0" w:color="auto"/>
        <w:bottom w:val="none" w:sz="0" w:space="0" w:color="auto"/>
        <w:right w:val="none" w:sz="0" w:space="0" w:color="auto"/>
      </w:divBdr>
    </w:div>
    <w:div w:id="1731613781">
      <w:bodyDiv w:val="1"/>
      <w:marLeft w:val="0"/>
      <w:marRight w:val="0"/>
      <w:marTop w:val="0"/>
      <w:marBottom w:val="0"/>
      <w:divBdr>
        <w:top w:val="none" w:sz="0" w:space="0" w:color="auto"/>
        <w:left w:val="none" w:sz="0" w:space="0" w:color="auto"/>
        <w:bottom w:val="none" w:sz="0" w:space="0" w:color="auto"/>
        <w:right w:val="none" w:sz="0" w:space="0" w:color="auto"/>
      </w:divBdr>
      <w:divsChild>
        <w:div w:id="66074068">
          <w:marLeft w:val="360"/>
          <w:marRight w:val="0"/>
          <w:marTop w:val="0"/>
          <w:marBottom w:val="120"/>
          <w:divBdr>
            <w:top w:val="none" w:sz="0" w:space="0" w:color="auto"/>
            <w:left w:val="none" w:sz="0" w:space="0" w:color="auto"/>
            <w:bottom w:val="none" w:sz="0" w:space="0" w:color="auto"/>
            <w:right w:val="none" w:sz="0" w:space="0" w:color="auto"/>
          </w:divBdr>
        </w:div>
        <w:div w:id="317268747">
          <w:marLeft w:val="360"/>
          <w:marRight w:val="0"/>
          <w:marTop w:val="0"/>
          <w:marBottom w:val="120"/>
          <w:divBdr>
            <w:top w:val="none" w:sz="0" w:space="0" w:color="auto"/>
            <w:left w:val="none" w:sz="0" w:space="0" w:color="auto"/>
            <w:bottom w:val="none" w:sz="0" w:space="0" w:color="auto"/>
            <w:right w:val="none" w:sz="0" w:space="0" w:color="auto"/>
          </w:divBdr>
        </w:div>
        <w:div w:id="387532939">
          <w:marLeft w:val="360"/>
          <w:marRight w:val="0"/>
          <w:marTop w:val="0"/>
          <w:marBottom w:val="120"/>
          <w:divBdr>
            <w:top w:val="none" w:sz="0" w:space="0" w:color="auto"/>
            <w:left w:val="none" w:sz="0" w:space="0" w:color="auto"/>
            <w:bottom w:val="none" w:sz="0" w:space="0" w:color="auto"/>
            <w:right w:val="none" w:sz="0" w:space="0" w:color="auto"/>
          </w:divBdr>
        </w:div>
        <w:div w:id="851575627">
          <w:marLeft w:val="360"/>
          <w:marRight w:val="0"/>
          <w:marTop w:val="0"/>
          <w:marBottom w:val="120"/>
          <w:divBdr>
            <w:top w:val="none" w:sz="0" w:space="0" w:color="auto"/>
            <w:left w:val="none" w:sz="0" w:space="0" w:color="auto"/>
            <w:bottom w:val="none" w:sz="0" w:space="0" w:color="auto"/>
            <w:right w:val="none" w:sz="0" w:space="0" w:color="auto"/>
          </w:divBdr>
        </w:div>
      </w:divsChild>
    </w:div>
    <w:div w:id="1759327230">
      <w:bodyDiv w:val="1"/>
      <w:marLeft w:val="0"/>
      <w:marRight w:val="0"/>
      <w:marTop w:val="0"/>
      <w:marBottom w:val="0"/>
      <w:divBdr>
        <w:top w:val="none" w:sz="0" w:space="0" w:color="auto"/>
        <w:left w:val="none" w:sz="0" w:space="0" w:color="auto"/>
        <w:bottom w:val="none" w:sz="0" w:space="0" w:color="auto"/>
        <w:right w:val="none" w:sz="0" w:space="0" w:color="auto"/>
      </w:divBdr>
      <w:divsChild>
        <w:div w:id="190650853">
          <w:marLeft w:val="274"/>
          <w:marRight w:val="0"/>
          <w:marTop w:val="0"/>
          <w:marBottom w:val="60"/>
          <w:divBdr>
            <w:top w:val="none" w:sz="0" w:space="0" w:color="auto"/>
            <w:left w:val="none" w:sz="0" w:space="0" w:color="auto"/>
            <w:bottom w:val="none" w:sz="0" w:space="0" w:color="auto"/>
            <w:right w:val="none" w:sz="0" w:space="0" w:color="auto"/>
          </w:divBdr>
        </w:div>
        <w:div w:id="487139397">
          <w:marLeft w:val="274"/>
          <w:marRight w:val="0"/>
          <w:marTop w:val="0"/>
          <w:marBottom w:val="60"/>
          <w:divBdr>
            <w:top w:val="none" w:sz="0" w:space="0" w:color="auto"/>
            <w:left w:val="none" w:sz="0" w:space="0" w:color="auto"/>
            <w:bottom w:val="none" w:sz="0" w:space="0" w:color="auto"/>
            <w:right w:val="none" w:sz="0" w:space="0" w:color="auto"/>
          </w:divBdr>
        </w:div>
      </w:divsChild>
    </w:div>
    <w:div w:id="1881165415">
      <w:bodyDiv w:val="1"/>
      <w:marLeft w:val="0"/>
      <w:marRight w:val="0"/>
      <w:marTop w:val="0"/>
      <w:marBottom w:val="0"/>
      <w:divBdr>
        <w:top w:val="none" w:sz="0" w:space="0" w:color="auto"/>
        <w:left w:val="none" w:sz="0" w:space="0" w:color="auto"/>
        <w:bottom w:val="none" w:sz="0" w:space="0" w:color="auto"/>
        <w:right w:val="none" w:sz="0" w:space="0" w:color="auto"/>
      </w:divBdr>
    </w:div>
    <w:div w:id="1893271032">
      <w:bodyDiv w:val="1"/>
      <w:marLeft w:val="0"/>
      <w:marRight w:val="0"/>
      <w:marTop w:val="0"/>
      <w:marBottom w:val="0"/>
      <w:divBdr>
        <w:top w:val="none" w:sz="0" w:space="0" w:color="auto"/>
        <w:left w:val="none" w:sz="0" w:space="0" w:color="auto"/>
        <w:bottom w:val="none" w:sz="0" w:space="0" w:color="auto"/>
        <w:right w:val="none" w:sz="0" w:space="0" w:color="auto"/>
      </w:divBdr>
      <w:divsChild>
        <w:div w:id="218132179">
          <w:marLeft w:val="274"/>
          <w:marRight w:val="0"/>
          <w:marTop w:val="0"/>
          <w:marBottom w:val="120"/>
          <w:divBdr>
            <w:top w:val="none" w:sz="0" w:space="0" w:color="auto"/>
            <w:left w:val="none" w:sz="0" w:space="0" w:color="auto"/>
            <w:bottom w:val="none" w:sz="0" w:space="0" w:color="auto"/>
            <w:right w:val="none" w:sz="0" w:space="0" w:color="auto"/>
          </w:divBdr>
        </w:div>
        <w:div w:id="602230069">
          <w:marLeft w:val="274"/>
          <w:marRight w:val="0"/>
          <w:marTop w:val="0"/>
          <w:marBottom w:val="120"/>
          <w:divBdr>
            <w:top w:val="none" w:sz="0" w:space="0" w:color="auto"/>
            <w:left w:val="none" w:sz="0" w:space="0" w:color="auto"/>
            <w:bottom w:val="none" w:sz="0" w:space="0" w:color="auto"/>
            <w:right w:val="none" w:sz="0" w:space="0" w:color="auto"/>
          </w:divBdr>
        </w:div>
        <w:div w:id="1715422366">
          <w:marLeft w:val="274"/>
          <w:marRight w:val="0"/>
          <w:marTop w:val="0"/>
          <w:marBottom w:val="120"/>
          <w:divBdr>
            <w:top w:val="none" w:sz="0" w:space="0" w:color="auto"/>
            <w:left w:val="none" w:sz="0" w:space="0" w:color="auto"/>
            <w:bottom w:val="none" w:sz="0" w:space="0" w:color="auto"/>
            <w:right w:val="none" w:sz="0" w:space="0" w:color="auto"/>
          </w:divBdr>
        </w:div>
      </w:divsChild>
    </w:div>
    <w:div w:id="1914270249">
      <w:bodyDiv w:val="1"/>
      <w:marLeft w:val="0"/>
      <w:marRight w:val="0"/>
      <w:marTop w:val="0"/>
      <w:marBottom w:val="0"/>
      <w:divBdr>
        <w:top w:val="none" w:sz="0" w:space="0" w:color="auto"/>
        <w:left w:val="none" w:sz="0" w:space="0" w:color="auto"/>
        <w:bottom w:val="none" w:sz="0" w:space="0" w:color="auto"/>
        <w:right w:val="none" w:sz="0" w:space="0" w:color="auto"/>
      </w:divBdr>
      <w:divsChild>
        <w:div w:id="207885231">
          <w:marLeft w:val="360"/>
          <w:marRight w:val="0"/>
          <w:marTop w:val="0"/>
          <w:marBottom w:val="60"/>
          <w:divBdr>
            <w:top w:val="none" w:sz="0" w:space="0" w:color="auto"/>
            <w:left w:val="none" w:sz="0" w:space="0" w:color="auto"/>
            <w:bottom w:val="none" w:sz="0" w:space="0" w:color="auto"/>
            <w:right w:val="none" w:sz="0" w:space="0" w:color="auto"/>
          </w:divBdr>
        </w:div>
        <w:div w:id="804127838">
          <w:marLeft w:val="360"/>
          <w:marRight w:val="0"/>
          <w:marTop w:val="0"/>
          <w:marBottom w:val="60"/>
          <w:divBdr>
            <w:top w:val="none" w:sz="0" w:space="0" w:color="auto"/>
            <w:left w:val="none" w:sz="0" w:space="0" w:color="auto"/>
            <w:bottom w:val="none" w:sz="0" w:space="0" w:color="auto"/>
            <w:right w:val="none" w:sz="0" w:space="0" w:color="auto"/>
          </w:divBdr>
        </w:div>
        <w:div w:id="899053636">
          <w:marLeft w:val="360"/>
          <w:marRight w:val="0"/>
          <w:marTop w:val="0"/>
          <w:marBottom w:val="60"/>
          <w:divBdr>
            <w:top w:val="none" w:sz="0" w:space="0" w:color="auto"/>
            <w:left w:val="none" w:sz="0" w:space="0" w:color="auto"/>
            <w:bottom w:val="none" w:sz="0" w:space="0" w:color="auto"/>
            <w:right w:val="none" w:sz="0" w:space="0" w:color="auto"/>
          </w:divBdr>
        </w:div>
        <w:div w:id="1002394778">
          <w:marLeft w:val="360"/>
          <w:marRight w:val="0"/>
          <w:marTop w:val="0"/>
          <w:marBottom w:val="60"/>
          <w:divBdr>
            <w:top w:val="none" w:sz="0" w:space="0" w:color="auto"/>
            <w:left w:val="none" w:sz="0" w:space="0" w:color="auto"/>
            <w:bottom w:val="none" w:sz="0" w:space="0" w:color="auto"/>
            <w:right w:val="none" w:sz="0" w:space="0" w:color="auto"/>
          </w:divBdr>
        </w:div>
        <w:div w:id="1020009438">
          <w:marLeft w:val="360"/>
          <w:marRight w:val="0"/>
          <w:marTop w:val="0"/>
          <w:marBottom w:val="60"/>
          <w:divBdr>
            <w:top w:val="none" w:sz="0" w:space="0" w:color="auto"/>
            <w:left w:val="none" w:sz="0" w:space="0" w:color="auto"/>
            <w:bottom w:val="none" w:sz="0" w:space="0" w:color="auto"/>
            <w:right w:val="none" w:sz="0" w:space="0" w:color="auto"/>
          </w:divBdr>
        </w:div>
        <w:div w:id="1704941970">
          <w:marLeft w:val="360"/>
          <w:marRight w:val="0"/>
          <w:marTop w:val="0"/>
          <w:marBottom w:val="60"/>
          <w:divBdr>
            <w:top w:val="none" w:sz="0" w:space="0" w:color="auto"/>
            <w:left w:val="none" w:sz="0" w:space="0" w:color="auto"/>
            <w:bottom w:val="none" w:sz="0" w:space="0" w:color="auto"/>
            <w:right w:val="none" w:sz="0" w:space="0" w:color="auto"/>
          </w:divBdr>
        </w:div>
        <w:div w:id="1909922746">
          <w:marLeft w:val="360"/>
          <w:marRight w:val="0"/>
          <w:marTop w:val="0"/>
          <w:marBottom w:val="60"/>
          <w:divBdr>
            <w:top w:val="none" w:sz="0" w:space="0" w:color="auto"/>
            <w:left w:val="none" w:sz="0" w:space="0" w:color="auto"/>
            <w:bottom w:val="none" w:sz="0" w:space="0" w:color="auto"/>
            <w:right w:val="none" w:sz="0" w:space="0" w:color="auto"/>
          </w:divBdr>
        </w:div>
      </w:divsChild>
    </w:div>
    <w:div w:id="1925264295">
      <w:bodyDiv w:val="1"/>
      <w:marLeft w:val="0"/>
      <w:marRight w:val="0"/>
      <w:marTop w:val="0"/>
      <w:marBottom w:val="0"/>
      <w:divBdr>
        <w:top w:val="none" w:sz="0" w:space="0" w:color="auto"/>
        <w:left w:val="none" w:sz="0" w:space="0" w:color="auto"/>
        <w:bottom w:val="none" w:sz="0" w:space="0" w:color="auto"/>
        <w:right w:val="none" w:sz="0" w:space="0" w:color="auto"/>
      </w:divBdr>
    </w:div>
    <w:div w:id="200588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chart" Target="charts/chart5.xml"/><Relationship Id="rId39" Type="http://schemas.openxmlformats.org/officeDocument/2006/relationships/chart" Target="charts/chart18.xml"/><Relationship Id="rId3" Type="http://schemas.openxmlformats.org/officeDocument/2006/relationships/customXml" Target="../customXml/item3.xml"/><Relationship Id="rId21" Type="http://schemas.openxmlformats.org/officeDocument/2006/relationships/header" Target="header9.xml"/><Relationship Id="rId34" Type="http://schemas.openxmlformats.org/officeDocument/2006/relationships/chart" Target="charts/chart13.xml"/><Relationship Id="rId42" Type="http://schemas.openxmlformats.org/officeDocument/2006/relationships/header" Target="header1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chart" Target="charts/chart8.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footnotes" Target="footnotes.xml"/><Relationship Id="rId19" Type="http://schemas.openxmlformats.org/officeDocument/2006/relationships/header" Target="header7.xml"/><Relationship Id="rId31" Type="http://schemas.openxmlformats.org/officeDocument/2006/relationships/chart" Target="charts/chart10.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eader" Target="header12.xml"/></Relationships>
</file>

<file path=word/_rels/footnotes.xml.rels><?xml version="1.0" encoding="UTF-8" standalone="yes"?>
<Relationships xmlns="http://schemas.openxmlformats.org/package/2006/relationships"><Relationship Id="rId2" Type="http://schemas.openxmlformats.org/officeDocument/2006/relationships/hyperlink" Target="https://agedcare.health.gov.au/sites/default/files/documents/04_2019/23012019_proposal_for_a_national_aged_care_serious_incident_response_sch._.pdf" TargetMode="External"/><Relationship Id="rId1" Type="http://schemas.openxmlformats.org/officeDocument/2006/relationships/hyperlink" Target="https://www.gen-agedcaredata.gov.a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spence2\OneDrive%20-%20KPMG\Documents\Clients\DoH\Analysis\Aged%20Care%20Provders%20Information%20and%20Reported%20Incidents%20-%20Analysis%20-%2020191023.xlsm"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mspence2\OneDrive%20-%20KPMG\Documents\Clients\DoH\Analysis\Aged%20Care%20Provders%20Information%20and%20Reported%20Incidents%20-%20Analysis%20-%2020191023.1.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KPMG\364245%20-%20SIRS%20Resident%20Aggression%20Study\Data\Aged%20Care%20Provders%20Information%20and%20Reported%20Incidents%20-%20Analysis%20-%2020191027.xlsm"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spence2\OneDrive%20-%20KPMG\Documents\Clients\DoH\Analysis\Aged%20Care%20Provders%20Information%20and%20Reported%20Incidents%20-%20Analysis%20-%2020191023.1.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mspence2\OneDrive%20-%20KPMG\Documents\Clients\DoH\Analysis\Aged%20Care%20Provders%20Information%20and%20Reported%20Incidents%20-%20Analysis%20-%2020191023.1.xlsm"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KPMG\364245%20-%20SIRS%20Resident%20Aggression%20Study\Data\Aged%20Care%20Provders%20Information%20and%20Reported%20Incidents%20-%20Analysis%20-%2020191027.xlsm"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KPMG\364245%20-%20SIRS%20Resident%20Aggression%20Study\Data\Aged%20Care%20Provders%20Information%20and%20Reported%20Incidents%20-%20Analysis%20-%2020191107.xlsm"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mspence2\OneDrive%20-%20KPMG\Documents\Clients\DoH\Analysis\Aged%20Care%20Provders%20Information%20and%20Reported%20Incidents%20-%20Analysis%20-%2020191023.1.xlsm"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KPMG\364245%20-%20SIRS%20Resident%20Aggression%20Study\Data\Aged%20Care%20Provders%20Information%20and%20Reported%20Incidents%20-%20Analysis%20-%2020191027.xlsm"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mspence2\OneDrive%20-%20KPMG\Documents\Clients\DoH\Analysis\Aged%20Care%20Provders%20Information%20and%20Reported%20Incidents%20-%20Analysis%20-%2020191023.1.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spence2\OneDrive%20-%20KPMG\Documents\Clients\DoH\Analysis\Aged%20Care%20Provders%20Information%20and%20Reported%20Incidents%20-%20Analysis%20-%2020191023.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KPMG\364245%20-%20SIRS%20Resident%20Aggression%20Study\Data\Aged%20Care%20Provders%20Information%20and%20Reported%20Incidents%20-%20Analysis%20-%2020191027.xlsm"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KPMG\364245%20-%20SIRS%20Resident%20Aggression%20Study\Data\Aged%20Care%20Provders%20Information%20and%20Reported%20Incidents%20-%20Analysis%20-%2020191027.xlsm"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KPMG\364245%20-%20SIRS%20Resident%20Aggression%20Study\Data\Aged%20Care%20Provders%20Information%20and%20Reported%20Incidents%20-%20Analysis%20-%2020191027.xlsm"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spence2\OneDrive%20-%20KPMG\Documents\Clients\DoH\Analysis\Aged%20Care%20Provders%20Information%20and%20Reported%20Incidents%20-%20Analysis%20-%2020191023.1.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spence2\OneDrive%20-%20KPMG\Documents\Clients\DoH\Analysis\Aged%20Care%20Provders%20Information%20and%20Reported%20Incidents%20-%20Analysis%20161019.0.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mspence2\OneDrive%20-%20KPMG\Documents\Clients\DoH\Analysis\Aged%20Care%20Provders%20Information%20and%20Reported%20Incidents%20-%20Analysis%20-%2020191023.1.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KPMG\364245%20-%20SIRS%20Resident%20Aggression%20Study\Data\Aged%20Care%20Provders%20Information%20and%20Reported%20Incidents%20-%20Analysis%20-%2020191027.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'9(1)| Analysis - Participants'!$F$8</c:f>
              <c:strCache>
                <c:ptCount val="1"/>
                <c:pt idx="0">
                  <c:v>Percentage of Population Represented</c:v>
                </c:pt>
              </c:strCache>
            </c:strRef>
          </c:tx>
          <c:spPr>
            <a:solidFill>
              <a:schemeClr val="accent1"/>
            </a:solidFill>
            <a:ln>
              <a:noFill/>
            </a:ln>
            <a:effectLst/>
          </c:spPr>
          <c:invertIfNegative val="0"/>
          <c:dLbls>
            <c:dLbl>
              <c:idx val="0"/>
              <c:tx>
                <c:strRef>
                  <c:f>'9(1)| Analysis - Participants'!$G$9</c:f>
                  <c:strCache>
                    <c:ptCount val="1"/>
                    <c:pt idx="0">
                      <c:v>4.3% 
(37 of 869)</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{E66C45DF-9632-49E2-A225-98CC3436F162}</c15:txfldGUID>
                      <c15:f>'9(1)| Analysis - Participants'!$G$9</c15:f>
                      <c15:dlblFieldTableCache>
                        <c:ptCount val="1"/>
                        <c:pt idx="0">
                          <c:v>4.3% 
(37 of 869)</c:v>
                        </c:pt>
                      </c15:dlblFieldTableCache>
                    </c15:dlblFTEntry>
                  </c15:dlblFieldTable>
                  <c15:showDataLabelsRange val="0"/>
                </c:ext>
              </c:extLst>
            </c:dLbl>
            <c:dLbl>
              <c:idx val="1"/>
              <c:tx>
                <c:strRef>
                  <c:f>'9(1)| Analysis - Participants'!$G$10</c:f>
                  <c:strCache>
                    <c:ptCount val="1"/>
                    <c:pt idx="0">
                      <c:v>6.6% 
(178 of 2717)</c:v>
                    </c:pt>
                  </c:strCache>
                </c:strRef>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{A3E6DB37-0759-4CE5-821B-E367D2437EA7}</c15:txfldGUID>
                      <c15:f>'9(1)| Analysis - Participants'!$G$10</c15:f>
                      <c15:dlblFieldTableCache>
                        <c:ptCount val="1"/>
                        <c:pt idx="0">
                          <c:v>6.6% 
(178 of 2717)</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'9(1)| Analysis - Participants'!$C$9:$C$10</c:f>
              <c:strCache>
                <c:ptCount val="2"/>
                <c:pt idx="0">
                  <c:v>Providers</c:v>
                </c:pt>
                <c:pt idx="1">
                  <c:v>Services</c:v>
                </c:pt>
              </c:strCache>
            </c:strRef>
          </c:cat>
          <c:val>
            <c:numRef>
              <c:f>'9(1)| Analysis - Participants'!$F$9:$F$10</c:f>
              <c:numCache>
                <c:formatCode>0.0%</c:formatCode>
                <c:ptCount val="2"/>
                <c:pt idx="0">
                  <c:v>4.2577675489067893E-2</c:v>
                </c:pt>
                <c:pt idx="1">
                  <c:v>6.5513433934486567E-2</c:v>
                </c:pt>
              </c:numCache>
            </c:numRef>
          </c:val>
        </c:ser>
        <c:dLbls>
          <c:showLegendKey val="0"/>
          <c:showVal val="0"/>
          <c:showCatName val="0"/>
          <c:showSerName val="0"/>
          <c:showPercent val="0"/>
          <c:showBubbleSize val="0"/>
        </c:dLbls>
        <c:gapWidth val="219"/>
        <c:overlap val="-27"/>
        <c:axId val="221902408"/>
        <c:axId val="221900840"/>
      </c:barChart>
      <c:catAx>
        <c:axId val="221902408"/>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21900840"/>
        <c:crosses val="autoZero"/>
        <c:auto val="1"/>
        <c:lblAlgn val="ctr"/>
        <c:lblOffset val="100"/>
        <c:noMultiLvlLbl val="0"/>
      </c:catAx>
      <c:valAx>
        <c:axId val="221900840"/>
        <c:scaling>
          <c:orientation val="minMax"/>
          <c:max val="8.0000000000000016E-2"/>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Participation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902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'9(2)| Analysis - Type 1 Freq'!$D$85</c:f>
              <c:strCache>
                <c:ptCount val="1"/>
                <c:pt idx="0">
                  <c:v>Cumulative 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Type'!$F$37:$F$43</c:f>
              <c:strCache>
                <c:ptCount val="7"/>
                <c:pt idx="0">
                  <c:v>Pushing or shoving, kicking, hitting, punching, slapping, biting and/or burning</c:v>
                </c:pt>
                <c:pt idx="1">
                  <c:v>Other</c:v>
                </c:pt>
                <c:pt idx="2">
                  <c:v>Intentional injury of another resident with a weapon or object</c:v>
                </c:pt>
                <c:pt idx="3">
                  <c:v>Physically restraining another resident</c:v>
                </c:pt>
                <c:pt idx="4">
                  <c:v>Rape, sexual assualt, including touching the resident's genital area without consent</c:v>
                </c:pt>
                <c:pt idx="5">
                  <c:v>Non-consensual Sexual language or exploitative behaviour</c:v>
                </c:pt>
                <c:pt idx="6">
                  <c:v>Unable to be determined based on the information available</c:v>
                </c:pt>
              </c:strCache>
            </c:strRef>
          </c:cat>
          <c:val>
            <c:numRef>
              <c:f>'9(2.1)| Analysis - Type 1 Type'!$D$37:$D$43</c:f>
              <c:numCache>
                <c:formatCode>_-* #,##0_-;\-* #,##0_-;_-* "-"??_-;_-@_-</c:formatCode>
                <c:ptCount val="7"/>
                <c:pt idx="0">
                  <c:v>1036</c:v>
                </c:pt>
                <c:pt idx="1">
                  <c:v>86</c:v>
                </c:pt>
                <c:pt idx="2">
                  <c:v>73</c:v>
                </c:pt>
                <c:pt idx="3">
                  <c:v>67</c:v>
                </c:pt>
                <c:pt idx="4">
                  <c:v>38</c:v>
                </c:pt>
                <c:pt idx="5">
                  <c:v>12</c:v>
                </c:pt>
                <c:pt idx="6">
                  <c:v>7</c:v>
                </c:pt>
              </c:numCache>
            </c:numRef>
          </c:val>
        </c:ser>
        <c:dLbls>
          <c:dLblPos val="outEnd"/>
          <c:showLegendKey val="0"/>
          <c:showVal val="1"/>
          <c:showCatName val="0"/>
          <c:showSerName val="0"/>
          <c:showPercent val="0"/>
          <c:showBubbleSize val="0"/>
        </c:dLbls>
        <c:gapWidth val="219"/>
        <c:axId val="224351992"/>
        <c:axId val="224351600"/>
      </c:barChart>
      <c:catAx>
        <c:axId val="224351992"/>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Alleged perpetrated behaviours</a:t>
                </a:r>
              </a:p>
            </c:rich>
          </c:tx>
          <c:layout>
            <c:manualLayout>
              <c:xMode val="edge"/>
              <c:yMode val="edge"/>
              <c:x val="2.1709633649932156E-2"/>
              <c:y val="0.203486156972313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51600"/>
        <c:crosses val="autoZero"/>
        <c:auto val="1"/>
        <c:lblAlgn val="ctr"/>
        <c:lblOffset val="100"/>
        <c:noMultiLvlLbl val="0"/>
      </c:catAx>
      <c:valAx>
        <c:axId val="224351600"/>
        <c:scaling>
          <c:orientation val="minMax"/>
          <c:max val="1250"/>
          <c:min val="0"/>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Incidents where behaviour was displayed</a:t>
                </a:r>
                <a:endParaRPr lang="en-AU" sz="1000">
                  <a:effectLst/>
                </a:endParaRPr>
              </a:p>
            </c:rich>
          </c:tx>
          <c:layout>
            <c:manualLayout>
              <c:xMode val="edge"/>
              <c:yMode val="edge"/>
              <c:x val="0.51648585989166551"/>
              <c:y val="3.528225806451613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out"/>
        <c:minorTickMark val="none"/>
        <c:tickLblPos val="nextTo"/>
        <c:spPr>
          <a:noFill/>
          <a:ln>
            <a:solidFill>
              <a:srgbClr val="005EB8"/>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5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Type'!$C$55:$C$61</c:f>
              <c:strCache>
                <c:ptCount val="7"/>
                <c:pt idx="0">
                  <c:v>No impact</c:v>
                </c:pt>
                <c:pt idx="1">
                  <c:v>Minor physical or psychological injury or discomfort which were resolved without formal medical or psychological interventions</c:v>
                </c:pt>
                <c:pt idx="2">
                  <c:v>Physical or psychological injury or illness requiring onsite medical or psychological treatment</c:v>
                </c:pt>
                <c:pt idx="3">
                  <c:v>Unable to be determined based on the information available</c:v>
                </c:pt>
                <c:pt idx="4">
                  <c:v>Physical or psychological injury or illness requiring a hospital admission (but not permanent)</c:v>
                </c:pt>
                <c:pt idx="5">
                  <c:v>Fatility or severe permanent physical or psychological impairment</c:v>
                </c:pt>
                <c:pt idx="6">
                  <c:v>Permanent physical or psychological impairment</c:v>
                </c:pt>
              </c:strCache>
            </c:strRef>
          </c:cat>
          <c:val>
            <c:numRef>
              <c:f>'9(2.1)| Analysis - Type 1 Type'!$D$55:$D$61</c:f>
              <c:numCache>
                <c:formatCode>_-* #,##0_-;\-* #,##0_-;_-* "-"??_-;_-@_-</c:formatCode>
                <c:ptCount val="7"/>
                <c:pt idx="0">
                  <c:v>740</c:v>
                </c:pt>
                <c:pt idx="1">
                  <c:v>438</c:v>
                </c:pt>
                <c:pt idx="2">
                  <c:v>38</c:v>
                </c:pt>
                <c:pt idx="3">
                  <c:v>31</c:v>
                </c:pt>
                <c:pt idx="4">
                  <c:v>12</c:v>
                </c:pt>
                <c:pt idx="5">
                  <c:v>0</c:v>
                </c:pt>
                <c:pt idx="6">
                  <c:v>0</c:v>
                </c:pt>
              </c:numCache>
            </c:numRef>
          </c:val>
        </c:ser>
        <c:dLbls>
          <c:dLblPos val="outEnd"/>
          <c:showLegendKey val="0"/>
          <c:showVal val="1"/>
          <c:showCatName val="0"/>
          <c:showSerName val="0"/>
          <c:showPercent val="0"/>
          <c:showBubbleSize val="0"/>
        </c:dLbls>
        <c:gapWidth val="182"/>
        <c:axId val="224349248"/>
        <c:axId val="224349640"/>
      </c:barChart>
      <c:catAx>
        <c:axId val="224349248"/>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Impact on resident</a:t>
                </a:r>
                <a:r>
                  <a:rPr lang="en-AU" b="1" baseline="0">
                    <a:solidFill>
                      <a:sysClr val="windowText" lastClr="000000"/>
                    </a:solidFill>
                  </a:rPr>
                  <a:t> </a:t>
                </a:r>
                <a:r>
                  <a:rPr lang="en-AU" b="1">
                    <a:solidFill>
                      <a:sysClr val="windowText" lastClr="000000"/>
                    </a:solidFill>
                  </a:rPr>
                  <a:t>victim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49640"/>
        <c:crosses val="autoZero"/>
        <c:auto val="1"/>
        <c:lblAlgn val="ctr"/>
        <c:lblOffset val="100"/>
        <c:noMultiLvlLbl val="0"/>
      </c:catAx>
      <c:valAx>
        <c:axId val="224349640"/>
        <c:scaling>
          <c:orientation val="minMax"/>
        </c:scaling>
        <c:delete val="0"/>
        <c:axPos val="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Incidents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4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242653378360786"/>
          <c:y val="0.10506169315804731"/>
          <c:w val="0.50557414336438378"/>
          <c:h val="0.85114769744690999"/>
        </c:manualLayout>
      </c:layout>
      <c:barChart>
        <c:barDir val="bar"/>
        <c:grouping val="clustered"/>
        <c:varyColors val="0"/>
        <c:ser>
          <c:idx val="0"/>
          <c:order val="0"/>
          <c:tx>
            <c:strRef>
              <c:f>'9(2)| Analysis - Type 1 Freq'!$E$85</c:f>
              <c:strCache>
                <c:ptCount val="1"/>
                <c:pt idx="0">
                  <c:v>Bin 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Type'!$F$82:$F$92</c:f>
              <c:strCache>
                <c:ptCount val="11"/>
                <c:pt idx="0">
                  <c:v>Update made to the perpetrator's care plan</c:v>
                </c:pt>
                <c:pt idx="1">
                  <c:v>Referral made to GP</c:v>
                </c:pt>
                <c:pt idx="2">
                  <c:v>Update made to the victim's care plan</c:v>
                </c:pt>
                <c:pt idx="3">
                  <c:v>Other</c:v>
                </c:pt>
                <c:pt idx="4">
                  <c:v>Onsite medical treatment provided to victim</c:v>
                </c:pt>
                <c:pt idx="5">
                  <c:v>Referral made to the Dementia Behaviour Management Advisory Service (DBMAS)</c:v>
                </c:pt>
                <c:pt idx="6">
                  <c:v>None and/or none recorded</c:v>
                </c:pt>
                <c:pt idx="7">
                  <c:v>Onsite medical treatment provided to perpetrator</c:v>
                </c:pt>
                <c:pt idx="8">
                  <c:v>Hospital admission for perpetrator</c:v>
                </c:pt>
                <c:pt idx="9">
                  <c:v>Hospital admission for victim</c:v>
                </c:pt>
                <c:pt idx="10">
                  <c:v>Report made to police</c:v>
                </c:pt>
              </c:strCache>
            </c:strRef>
          </c:cat>
          <c:val>
            <c:numRef>
              <c:f>'9(2.1)| Analysis - Type 1 Type'!$D$82:$D$92</c:f>
              <c:numCache>
                <c:formatCode>_-* #,##0_-;\-* #,##0_-;_-* "-"??_-;_-@_-</c:formatCode>
                <c:ptCount val="11"/>
                <c:pt idx="0">
                  <c:v>1026</c:v>
                </c:pt>
                <c:pt idx="1">
                  <c:v>949</c:v>
                </c:pt>
                <c:pt idx="2">
                  <c:v>329</c:v>
                </c:pt>
                <c:pt idx="3">
                  <c:v>286</c:v>
                </c:pt>
                <c:pt idx="4">
                  <c:v>116</c:v>
                </c:pt>
                <c:pt idx="5">
                  <c:v>102</c:v>
                </c:pt>
                <c:pt idx="6">
                  <c:v>79</c:v>
                </c:pt>
                <c:pt idx="7">
                  <c:v>60</c:v>
                </c:pt>
                <c:pt idx="8">
                  <c:v>24</c:v>
                </c:pt>
                <c:pt idx="9">
                  <c:v>8</c:v>
                </c:pt>
                <c:pt idx="10">
                  <c:v>3</c:v>
                </c:pt>
              </c:numCache>
            </c:numRef>
          </c:val>
        </c:ser>
        <c:dLbls>
          <c:dLblPos val="outEnd"/>
          <c:showLegendKey val="0"/>
          <c:showVal val="1"/>
          <c:showCatName val="0"/>
          <c:showSerName val="0"/>
          <c:showPercent val="0"/>
          <c:showBubbleSize val="0"/>
        </c:dLbls>
        <c:gapWidth val="219"/>
        <c:axId val="225000328"/>
        <c:axId val="224997584"/>
      </c:barChart>
      <c:catAx>
        <c:axId val="225000328"/>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Action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005EB8"/>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7584"/>
        <c:crosses val="autoZero"/>
        <c:auto val="1"/>
        <c:lblAlgn val="ctr"/>
        <c:lblOffset val="100"/>
        <c:noMultiLvlLbl val="0"/>
      </c:catAx>
      <c:valAx>
        <c:axId val="224997584"/>
        <c:scaling>
          <c:orientation val="minMax"/>
          <c:max val="1200"/>
          <c:min val="0"/>
        </c:scaling>
        <c:delete val="0"/>
        <c:axPos val="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Incidents where action taken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rgbClr val="005EB8"/>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00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7807926758646"/>
          <c:y val="3.2559241977271954E-2"/>
          <c:w val="0.41014980052137068"/>
          <c:h val="0.88222115164359383"/>
        </c:manualLayout>
      </c:layout>
      <c:barChart>
        <c:barDir val="col"/>
        <c:grouping val="stacked"/>
        <c:varyColors val="0"/>
        <c:ser>
          <c:idx val="0"/>
          <c:order val="0"/>
          <c:tx>
            <c:strRef>
              <c:f>'9(2.1)| Analysis - Type 1 Type'!$D$101</c:f>
              <c:strCache>
                <c:ptCount val="1"/>
                <c:pt idx="0">
                  <c:v>Pushing or shoving, kicking, hitting, punching, slapping, biting and/or burning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Type'!$B$104</c:f>
              <c:strCache>
                <c:ptCount val="1"/>
                <c:pt idx="0">
                  <c:v>Unreasonable Use of Force</c:v>
                </c:pt>
              </c:strCache>
            </c:strRef>
          </c:cat>
          <c:val>
            <c:numRef>
              <c:f>'9(2.1)| Analysis - Type 1 Type'!$D$104</c:f>
              <c:numCache>
                <c:formatCode>0</c:formatCode>
                <c:ptCount val="1"/>
                <c:pt idx="0">
                  <c:v>991</c:v>
                </c:pt>
              </c:numCache>
            </c:numRef>
          </c:val>
        </c:ser>
        <c:ser>
          <c:idx val="1"/>
          <c:order val="1"/>
          <c:tx>
            <c:strRef>
              <c:f>'9(2.1)| Analysis - Type 1 Type'!$E$101</c:f>
              <c:strCache>
                <c:ptCount val="1"/>
                <c:pt idx="0">
                  <c:v>Intentional injury of another resident with a weapon or object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Type'!$B$104</c:f>
              <c:strCache>
                <c:ptCount val="1"/>
                <c:pt idx="0">
                  <c:v>Unreasonable Use of Force</c:v>
                </c:pt>
              </c:strCache>
            </c:strRef>
          </c:cat>
          <c:val>
            <c:numRef>
              <c:f>'9(2.1)| Analysis - Type 1 Type'!$E$104</c:f>
              <c:numCache>
                <c:formatCode>0</c:formatCode>
                <c:ptCount val="1"/>
                <c:pt idx="0">
                  <c:v>60</c:v>
                </c:pt>
              </c:numCache>
            </c:numRef>
          </c:val>
        </c:ser>
        <c:ser>
          <c:idx val="2"/>
          <c:order val="2"/>
          <c:tx>
            <c:strRef>
              <c:f>'9(2.1)| Analysis - Type 1 Type'!$F$101</c:f>
              <c:strCache>
                <c:ptCount val="1"/>
                <c:pt idx="0">
                  <c:v>Physically restraining another resident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Type'!$B$104</c:f>
              <c:strCache>
                <c:ptCount val="1"/>
                <c:pt idx="0">
                  <c:v>Unreasonable Use of Force</c:v>
                </c:pt>
              </c:strCache>
            </c:strRef>
          </c:cat>
          <c:val>
            <c:numRef>
              <c:f>'9(2.1)| Analysis - Type 1 Type'!$F$104</c:f>
              <c:numCache>
                <c:formatCode>0</c:formatCode>
                <c:ptCount val="1"/>
                <c:pt idx="0">
                  <c:v>57</c:v>
                </c:pt>
              </c:numCache>
            </c:numRef>
          </c:val>
        </c:ser>
        <c:ser>
          <c:idx val="5"/>
          <c:order val="3"/>
          <c:tx>
            <c:strRef>
              <c:f>'9(2.1)| Analysis - Type 1 Type'!$G$101</c:f>
              <c:strCache>
                <c:ptCount val="1"/>
                <c:pt idx="0">
                  <c:v>Multiple Behaviours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'9(2.1)| Analysis - Type 1 Type'!$G$104</c:f>
              <c:numCache>
                <c:formatCode>0</c:formatCode>
                <c:ptCount val="1"/>
                <c:pt idx="0">
                  <c:v>49</c:v>
                </c:pt>
              </c:numCache>
            </c:numRef>
          </c:val>
        </c:ser>
        <c:ser>
          <c:idx val="3"/>
          <c:order val="4"/>
          <c:tx>
            <c:strRef>
              <c:f>'9(2.1)| Analysis - Type 1 Type'!$H$101</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Type'!$B$104</c:f>
              <c:strCache>
                <c:ptCount val="1"/>
                <c:pt idx="0">
                  <c:v>Unreasonable Use of Force</c:v>
                </c:pt>
              </c:strCache>
            </c:strRef>
          </c:cat>
          <c:val>
            <c:numRef>
              <c:f>'9(2.1)| Analysis - Type 1 Type'!$H$104</c:f>
              <c:numCache>
                <c:formatCode>0</c:formatCode>
                <c:ptCount val="1"/>
                <c:pt idx="0">
                  <c:v>36</c:v>
                </c:pt>
              </c:numCache>
            </c:numRef>
          </c:val>
        </c:ser>
        <c:ser>
          <c:idx val="6"/>
          <c:order val="5"/>
          <c:tx>
            <c:v>Unable to be determined based on the information available (2)</c:v>
          </c:tx>
          <c:spPr>
            <a:solidFill>
              <a:schemeClr val="accent1">
                <a:lumMod val="60000"/>
              </a:schemeClr>
            </a:solidFill>
            <a:ln>
              <a:noFill/>
            </a:ln>
            <a:effectLst/>
          </c:spPr>
          <c:invertIfNegative val="0"/>
          <c:dLbls>
            <c:delete val="1"/>
          </c:dLbls>
          <c:cat>
            <c:strRef>
              <c:f>'9(2.1)| Analysis - Type 1 Type'!$B$104</c:f>
              <c:strCache>
                <c:ptCount val="1"/>
                <c:pt idx="0">
                  <c:v>Unreasonable Use of Force</c:v>
                </c:pt>
              </c:strCache>
            </c:strRef>
          </c:cat>
          <c:val>
            <c:numRef>
              <c:f>'9(2.1)| Analysis - Type 1 Type'!$K$104</c:f>
              <c:numCache>
                <c:formatCode>0</c:formatCode>
                <c:ptCount val="1"/>
                <c:pt idx="0">
                  <c:v>2</c:v>
                </c:pt>
              </c:numCache>
            </c:numRef>
          </c:val>
        </c:ser>
        <c:ser>
          <c:idx val="4"/>
          <c:order val="6"/>
          <c:tx>
            <c:v>Rape, sexual assualt, including touching the resident's genital area without consent (1)</c:v>
          </c:tx>
          <c:spPr>
            <a:solidFill>
              <a:schemeClr val="accent5"/>
            </a:solidFill>
            <a:ln>
              <a:noFill/>
            </a:ln>
            <a:effectLst/>
          </c:spPr>
          <c:invertIfNegative val="0"/>
          <c:dLbls>
            <c:delete val="1"/>
          </c:dLbls>
          <c:cat>
            <c:strRef>
              <c:f>'9(2.1)| Analysis - Type 1 Type'!$B$104</c:f>
              <c:strCache>
                <c:ptCount val="1"/>
                <c:pt idx="0">
                  <c:v>Unreasonable Use of Force</c:v>
                </c:pt>
              </c:strCache>
            </c:strRef>
          </c:cat>
          <c:val>
            <c:numRef>
              <c:f>'9(2.1)| Analysis - Type 1 Type'!$I$104</c:f>
              <c:numCache>
                <c:formatCode>0</c:formatCode>
                <c:ptCount val="1"/>
                <c:pt idx="0">
                  <c:v>1</c:v>
                </c:pt>
              </c:numCache>
            </c:numRef>
          </c:val>
        </c:ser>
        <c:dLbls>
          <c:dLblPos val="ctr"/>
          <c:showLegendKey val="0"/>
          <c:showVal val="1"/>
          <c:showCatName val="0"/>
          <c:showSerName val="0"/>
          <c:showPercent val="0"/>
          <c:showBubbleSize val="0"/>
        </c:dLbls>
        <c:gapWidth val="150"/>
        <c:overlap val="100"/>
        <c:axId val="224999936"/>
        <c:axId val="224993664"/>
      </c:barChart>
      <c:catAx>
        <c:axId val="22499993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3664"/>
        <c:crosses val="autoZero"/>
        <c:auto val="1"/>
        <c:lblAlgn val="ctr"/>
        <c:lblOffset val="100"/>
        <c:noMultiLvlLbl val="0"/>
      </c:catAx>
      <c:valAx>
        <c:axId val="224993664"/>
        <c:scaling>
          <c:orientation val="minMax"/>
          <c:max val="12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Incidents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9936"/>
        <c:crosses val="autoZero"/>
        <c:crossBetween val="between"/>
      </c:valAx>
      <c:spPr>
        <a:noFill/>
        <a:ln>
          <a:solidFill>
            <a:srgbClr val="FFFFFF"/>
          </a:solidFill>
        </a:ln>
        <a:effectLst/>
      </c:spPr>
    </c:plotArea>
    <c:legend>
      <c:legendPos val="r"/>
      <c:layout>
        <c:manualLayout>
          <c:xMode val="edge"/>
          <c:yMode val="edge"/>
          <c:x val="0.56094174582556"/>
          <c:y val="4.181086487172974E-2"/>
          <c:w val="0.42012854299526203"/>
          <c:h val="0.87359249239741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40012793716468"/>
          <c:y val="3.6124794745484398E-2"/>
          <c:w val="0.42454772074061009"/>
          <c:h val="0.88769041800809378"/>
        </c:manualLayout>
      </c:layout>
      <c:barChart>
        <c:barDir val="col"/>
        <c:grouping val="stacked"/>
        <c:varyColors val="0"/>
        <c:ser>
          <c:idx val="0"/>
          <c:order val="0"/>
          <c:tx>
            <c:strRef>
              <c:f>'9(2.1)| Analysis - Type 1 Type'!$D$115</c:f>
              <c:strCache>
                <c:ptCount val="1"/>
                <c:pt idx="0">
                  <c:v>No impact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Type'!$B$116</c:f>
              <c:strCache>
                <c:ptCount val="1"/>
                <c:pt idx="0">
                  <c:v>Unreasonable Use of Force</c:v>
                </c:pt>
              </c:strCache>
            </c:strRef>
          </c:cat>
          <c:val>
            <c:numRef>
              <c:f>'9(2.1)| Analysis - Type 1 Type'!$D$116</c:f>
              <c:numCache>
                <c:formatCode>General</c:formatCode>
                <c:ptCount val="1"/>
                <c:pt idx="0">
                  <c:v>699</c:v>
                </c:pt>
              </c:numCache>
            </c:numRef>
          </c:val>
        </c:ser>
        <c:ser>
          <c:idx val="1"/>
          <c:order val="1"/>
          <c:tx>
            <c:strRef>
              <c:f>'9(2.1)| Analysis - Type 1 Type'!$E$115</c:f>
              <c:strCache>
                <c:ptCount val="1"/>
                <c:pt idx="0">
                  <c:v>Minor physical or psychological injury or discomfort which were resolved without formal medical or psychological interventions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Type'!$B$116</c:f>
              <c:strCache>
                <c:ptCount val="1"/>
                <c:pt idx="0">
                  <c:v>Unreasonable Use of Force</c:v>
                </c:pt>
              </c:strCache>
            </c:strRef>
          </c:cat>
          <c:val>
            <c:numRef>
              <c:f>'9(2.1)| Analysis - Type 1 Type'!$E$116</c:f>
              <c:numCache>
                <c:formatCode>General</c:formatCode>
                <c:ptCount val="1"/>
                <c:pt idx="0">
                  <c:v>419</c:v>
                </c:pt>
              </c:numCache>
            </c:numRef>
          </c:val>
        </c:ser>
        <c:ser>
          <c:idx val="2"/>
          <c:order val="2"/>
          <c:tx>
            <c:strRef>
              <c:f>'9(2.1)| Analysis - Type 1 Type'!$F$115</c:f>
              <c:strCache>
                <c:ptCount val="1"/>
                <c:pt idx="0">
                  <c:v>Physical or psychological injury or illness requiring onsite medical or psychological treatment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Type'!$B$116</c:f>
              <c:strCache>
                <c:ptCount val="1"/>
                <c:pt idx="0">
                  <c:v>Unreasonable Use of Force</c:v>
                </c:pt>
              </c:strCache>
            </c:strRef>
          </c:cat>
          <c:val>
            <c:numRef>
              <c:f>'9(2.1)| Analysis - Type 1 Type'!$F$116</c:f>
              <c:numCache>
                <c:formatCode>General</c:formatCode>
                <c:ptCount val="1"/>
                <c:pt idx="0">
                  <c:v>38</c:v>
                </c:pt>
              </c:numCache>
            </c:numRef>
          </c:val>
        </c:ser>
        <c:ser>
          <c:idx val="3"/>
          <c:order val="3"/>
          <c:tx>
            <c:strRef>
              <c:f>'9(2.1)| Analysis - Type 1 Type'!$G$115</c:f>
              <c:strCache>
                <c:ptCount val="1"/>
                <c:pt idx="0">
                  <c:v>Unable to be determined based on the information available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Type'!$B$116</c:f>
              <c:strCache>
                <c:ptCount val="1"/>
                <c:pt idx="0">
                  <c:v>Unreasonable Use of Force</c:v>
                </c:pt>
              </c:strCache>
            </c:strRef>
          </c:cat>
          <c:val>
            <c:numRef>
              <c:f>'9(2.1)| Analysis - Type 1 Type'!$G$116</c:f>
              <c:numCache>
                <c:formatCode>General</c:formatCode>
                <c:ptCount val="1"/>
                <c:pt idx="0">
                  <c:v>28</c:v>
                </c:pt>
              </c:numCache>
            </c:numRef>
          </c:val>
        </c:ser>
        <c:ser>
          <c:idx val="4"/>
          <c:order val="4"/>
          <c:tx>
            <c:v>Physical or psychological injury or illness requiring a hospital admission (but not permanent) (12)</c:v>
          </c:tx>
          <c:spPr>
            <a:solidFill>
              <a:schemeClr val="accent5"/>
            </a:solidFill>
            <a:ln>
              <a:noFill/>
            </a:ln>
            <a:effectLst/>
          </c:spPr>
          <c:invertIfNegative val="0"/>
          <c:dLbls>
            <c:delete val="1"/>
          </c:dLbls>
          <c:cat>
            <c:strRef>
              <c:f>'9(2.1)| Analysis - Type 1 Type'!$B$116</c:f>
              <c:strCache>
                <c:ptCount val="1"/>
                <c:pt idx="0">
                  <c:v>Unreasonable Use of Force</c:v>
                </c:pt>
              </c:strCache>
            </c:strRef>
          </c:cat>
          <c:val>
            <c:numRef>
              <c:f>'9(2.1)| Analysis - Type 1 Type'!$H$116</c:f>
              <c:numCache>
                <c:formatCode>General</c:formatCode>
                <c:ptCount val="1"/>
                <c:pt idx="0">
                  <c:v>12</c:v>
                </c:pt>
              </c:numCache>
            </c:numRef>
          </c:val>
        </c:ser>
        <c:dLbls>
          <c:dLblPos val="ctr"/>
          <c:showLegendKey val="0"/>
          <c:showVal val="1"/>
          <c:showCatName val="0"/>
          <c:showSerName val="0"/>
          <c:showPercent val="0"/>
          <c:showBubbleSize val="0"/>
        </c:dLbls>
        <c:gapWidth val="150"/>
        <c:overlap val="100"/>
        <c:axId val="224994448"/>
        <c:axId val="224994840"/>
      </c:barChart>
      <c:catAx>
        <c:axId val="224994448"/>
        <c:scaling>
          <c:orientation val="minMax"/>
        </c:scaling>
        <c:delete val="0"/>
        <c:axPos val="b"/>
        <c:numFmt formatCode="General" sourceLinked="1"/>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4840"/>
        <c:crosses val="autoZero"/>
        <c:auto val="1"/>
        <c:lblAlgn val="ctr"/>
        <c:lblOffset val="100"/>
        <c:noMultiLvlLbl val="0"/>
      </c:catAx>
      <c:valAx>
        <c:axId val="224994840"/>
        <c:scaling>
          <c:orientation val="minMax"/>
          <c:max val="12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Incidents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4448"/>
        <c:crosses val="autoZero"/>
        <c:crossBetween val="between"/>
      </c:valAx>
      <c:spPr>
        <a:noFill/>
        <a:ln>
          <a:noFill/>
        </a:ln>
        <a:effectLst/>
      </c:spPr>
    </c:plotArea>
    <c:legend>
      <c:legendPos val="r"/>
      <c:layout>
        <c:manualLayout>
          <c:xMode val="edge"/>
          <c:yMode val="edge"/>
          <c:x val="0.56819353792588556"/>
          <c:y val="5.8185166370332726E-2"/>
          <c:w val="0.41612008274933049"/>
          <c:h val="0.94168505524511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507539498739128E-2"/>
          <c:y val="3.6124794745484398E-2"/>
          <c:w val="0.54514670138888888"/>
          <c:h val="0.82721428571428579"/>
        </c:manualLayout>
      </c:layout>
      <c:barChart>
        <c:barDir val="col"/>
        <c:grouping val="stacked"/>
        <c:varyColors val="0"/>
        <c:ser>
          <c:idx val="0"/>
          <c:order val="0"/>
          <c:tx>
            <c:strRef>
              <c:f>'9(2.1)| Analysis - Type 1 Type'!$O$148</c:f>
              <c:strCache>
                <c:ptCount val="1"/>
                <c:pt idx="0">
                  <c:v>No impact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Type'!$O$147</c:f>
              <c:strCache>
                <c:ptCount val="1"/>
                <c:pt idx="0">
                  <c:v>Pushing or shoving, kicking, hitting, punching, slapping, biting and/or burning</c:v>
                </c:pt>
              </c:strCache>
            </c:strRef>
          </c:cat>
          <c:val>
            <c:numRef>
              <c:f>'9(2.1)| Analysis - Type 1 Type'!$P$148</c:f>
              <c:numCache>
                <c:formatCode>General</c:formatCode>
                <c:ptCount val="1"/>
                <c:pt idx="0">
                  <c:v>600</c:v>
                </c:pt>
              </c:numCache>
            </c:numRef>
          </c:val>
        </c:ser>
        <c:ser>
          <c:idx val="1"/>
          <c:order val="1"/>
          <c:tx>
            <c:strRef>
              <c:f>'9(2.1)| Analysis - Type 1 Type'!$O$149</c:f>
              <c:strCache>
                <c:ptCount val="1"/>
                <c:pt idx="0">
                  <c:v>Minor physical or psychological injury or discomfort which were resolved without formal medical or psychological interventions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Type'!$O$147</c:f>
              <c:strCache>
                <c:ptCount val="1"/>
                <c:pt idx="0">
                  <c:v>Pushing or shoving, kicking, hitting, punching, slapping, biting and/or burning</c:v>
                </c:pt>
              </c:strCache>
            </c:strRef>
          </c:cat>
          <c:val>
            <c:numRef>
              <c:f>'9(2.1)| Analysis - Type 1 Type'!$P$149</c:f>
              <c:numCache>
                <c:formatCode>General</c:formatCode>
                <c:ptCount val="1"/>
                <c:pt idx="0">
                  <c:v>335</c:v>
                </c:pt>
              </c:numCache>
            </c:numRef>
          </c:val>
        </c:ser>
        <c:ser>
          <c:idx val="2"/>
          <c:order val="2"/>
          <c:tx>
            <c:strRef>
              <c:f>'9(2.1)| Analysis - Type 1 Type'!$O$150</c:f>
              <c:strCache>
                <c:ptCount val="1"/>
                <c:pt idx="0">
                  <c:v>Physical or psychological injury or illness requiring onsite medical or psychological treatment (28)</c:v>
                </c:pt>
              </c:strCache>
            </c:strRef>
          </c:tx>
          <c:spPr>
            <a:solidFill>
              <a:schemeClr val="accent3"/>
            </a:solidFill>
            <a:ln>
              <a:noFill/>
            </a:ln>
            <a:effectLst/>
          </c:spPr>
          <c:invertIfNegative val="0"/>
          <c:dLbls>
            <c:dLbl>
              <c:idx val="0"/>
              <c:layout>
                <c:manualLayout>
                  <c:x val="0"/>
                  <c:y val="1.512096774193548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Type'!$O$147</c:f>
              <c:strCache>
                <c:ptCount val="1"/>
                <c:pt idx="0">
                  <c:v>Pushing or shoving, kicking, hitting, punching, slapping, biting and/or burning</c:v>
                </c:pt>
              </c:strCache>
            </c:strRef>
          </c:cat>
          <c:val>
            <c:numRef>
              <c:f>'9(2.1)| Analysis - Type 1 Type'!$P$150</c:f>
              <c:numCache>
                <c:formatCode>General</c:formatCode>
                <c:ptCount val="1"/>
                <c:pt idx="0">
                  <c:v>28</c:v>
                </c:pt>
              </c:numCache>
            </c:numRef>
          </c:val>
        </c:ser>
        <c:ser>
          <c:idx val="3"/>
          <c:order val="3"/>
          <c:tx>
            <c:strRef>
              <c:f>'9(2.1)| Analysis - Type 1 Type'!$O$151</c:f>
              <c:strCache>
                <c:ptCount val="1"/>
                <c:pt idx="0">
                  <c:v>Physical or psychological injury or illness requiring a hospital admission (but not permanent) (10)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Type'!$O$147</c:f>
              <c:strCache>
                <c:ptCount val="1"/>
                <c:pt idx="0">
                  <c:v>Pushing or shoving, kicking, hitting, punching, slapping, biting and/or burning</c:v>
                </c:pt>
              </c:strCache>
            </c:strRef>
          </c:cat>
          <c:val>
            <c:numRef>
              <c:f>'9(2.1)| Analysis - Type 1 Type'!$P$151</c:f>
              <c:numCache>
                <c:formatCode>General</c:formatCode>
                <c:ptCount val="1"/>
                <c:pt idx="0">
                  <c:v>10</c:v>
                </c:pt>
              </c:numCache>
            </c:numRef>
          </c:val>
        </c:ser>
        <c:ser>
          <c:idx val="4"/>
          <c:order val="4"/>
          <c:tx>
            <c:strRef>
              <c:f>'9(2.1)| Analysis - Type 1 Type'!$O$152</c:f>
              <c:strCache>
                <c:ptCount val="1"/>
                <c:pt idx="0">
                  <c:v>Unable to be determined based on the information available (18)</c:v>
                </c:pt>
              </c:strCache>
            </c:strRef>
          </c:tx>
          <c:spPr>
            <a:solidFill>
              <a:schemeClr val="accent5"/>
            </a:solidFill>
            <a:ln>
              <a:noFill/>
            </a:ln>
            <a:effectLst/>
          </c:spPr>
          <c:invertIfNegative val="0"/>
          <c:dLbls>
            <c:dLbl>
              <c:idx val="0"/>
              <c:layout>
                <c:manualLayout>
                  <c:x val="0"/>
                  <c:y val="-1.5120967741935507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Type'!$O$147</c:f>
              <c:strCache>
                <c:ptCount val="1"/>
                <c:pt idx="0">
                  <c:v>Pushing or shoving, kicking, hitting, punching, slapping, biting and/or burning</c:v>
                </c:pt>
              </c:strCache>
            </c:strRef>
          </c:cat>
          <c:val>
            <c:numRef>
              <c:f>'9(2.1)| Analysis - Type 1 Type'!$P$152</c:f>
              <c:numCache>
                <c:formatCode>General</c:formatCode>
                <c:ptCount val="1"/>
                <c:pt idx="0">
                  <c:v>18</c:v>
                </c:pt>
              </c:numCache>
            </c:numRef>
          </c:val>
        </c:ser>
        <c:dLbls>
          <c:dLblPos val="ctr"/>
          <c:showLegendKey val="0"/>
          <c:showVal val="1"/>
          <c:showCatName val="0"/>
          <c:showSerName val="0"/>
          <c:showPercent val="0"/>
          <c:showBubbleSize val="0"/>
        </c:dLbls>
        <c:gapWidth val="150"/>
        <c:overlap val="100"/>
        <c:axId val="224997192"/>
        <c:axId val="224995624"/>
      </c:barChart>
      <c:catAx>
        <c:axId val="22499719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5624"/>
        <c:crosses val="autoZero"/>
        <c:auto val="1"/>
        <c:lblAlgn val="ctr"/>
        <c:lblOffset val="100"/>
        <c:noMultiLvlLbl val="0"/>
      </c:catAx>
      <c:valAx>
        <c:axId val="224995624"/>
        <c:scaling>
          <c:orientation val="minMax"/>
          <c:max val="1200"/>
        </c:scaling>
        <c:delete val="0"/>
        <c:axPos val="l"/>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7192"/>
        <c:crosses val="autoZero"/>
        <c:crossBetween val="between"/>
      </c:valAx>
      <c:spPr>
        <a:noFill/>
        <a:ln>
          <a:noFill/>
        </a:ln>
        <a:effectLst/>
      </c:spPr>
    </c:plotArea>
    <c:legend>
      <c:legendPos val="r"/>
      <c:layout>
        <c:manualLayout>
          <c:xMode val="edge"/>
          <c:yMode val="edge"/>
          <c:x val="0.51522673611111114"/>
          <c:y val="7.8357142857142847E-2"/>
          <c:w val="0.44339965277777776"/>
          <c:h val="0.805730158730158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52559055118111"/>
          <c:y val="0.13633393490571907"/>
          <c:w val="0.42380774278215216"/>
          <c:h val="0.7885244371353457"/>
        </c:manualLayout>
      </c:layout>
      <c:barChart>
        <c:barDir val="col"/>
        <c:grouping val="stacked"/>
        <c:varyColors val="0"/>
        <c:ser>
          <c:idx val="5"/>
          <c:order val="0"/>
          <c:tx>
            <c:strRef>
              <c:f>'9(2.1)| Analysis - Type 1 Type'!$I$101</c:f>
              <c:strCache>
                <c:ptCount val="1"/>
                <c:pt idx="0">
                  <c:v>Rape, sexual assualt, including touching the resident's genital area without consent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Type'!$B$105</c:f>
              <c:strCache>
                <c:ptCount val="1"/>
                <c:pt idx="0">
                  <c:v>Unlawful Sexual Contact</c:v>
                </c:pt>
              </c:strCache>
            </c:strRef>
          </c:cat>
          <c:val>
            <c:numRef>
              <c:f>'9(2.1)| Analysis - Type 1 Type'!$I$105</c:f>
              <c:numCache>
                <c:formatCode>0</c:formatCode>
                <c:ptCount val="1"/>
                <c:pt idx="0">
                  <c:v>31</c:v>
                </c:pt>
              </c:numCache>
            </c:numRef>
          </c:val>
        </c:ser>
        <c:ser>
          <c:idx val="6"/>
          <c:order val="1"/>
          <c:tx>
            <c:strRef>
              <c:f>'9(2.1)| Analysis - Type 1 Type'!$J$101</c:f>
              <c:strCache>
                <c:ptCount val="1"/>
                <c:pt idx="0">
                  <c:v>Non-consensual sexual language or exploitative behaviour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Type'!$B$105</c:f>
              <c:strCache>
                <c:ptCount val="1"/>
                <c:pt idx="0">
                  <c:v>Unlawful Sexual Contact</c:v>
                </c:pt>
              </c:strCache>
            </c:strRef>
          </c:cat>
          <c:val>
            <c:numRef>
              <c:f>'9(2.1)| Analysis - Type 1 Type'!$J$105</c:f>
              <c:numCache>
                <c:formatCode>0</c:formatCode>
                <c:ptCount val="1"/>
                <c:pt idx="0">
                  <c:v>10</c:v>
                </c:pt>
              </c:numCache>
            </c:numRef>
          </c:val>
        </c:ser>
        <c:ser>
          <c:idx val="4"/>
          <c:order val="2"/>
          <c:tx>
            <c:strRef>
              <c:f>'9(2.1)| Analysis - Type 1 Type'!$H$101</c:f>
              <c:strCache>
                <c:ptCount val="1"/>
                <c:pt idx="0">
                  <c:v>Other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Type'!$B$105</c:f>
              <c:strCache>
                <c:ptCount val="1"/>
                <c:pt idx="0">
                  <c:v>Unlawful Sexual Contact</c:v>
                </c:pt>
              </c:strCache>
            </c:strRef>
          </c:cat>
          <c:val>
            <c:numRef>
              <c:f>'9(2.1)| Analysis - Type 1 Type'!$H$105</c:f>
              <c:numCache>
                <c:formatCode>0</c:formatCode>
                <c:ptCount val="1"/>
                <c:pt idx="0">
                  <c:v>8</c:v>
                </c:pt>
              </c:numCache>
            </c:numRef>
          </c:val>
        </c:ser>
        <c:ser>
          <c:idx val="3"/>
          <c:order val="3"/>
          <c:tx>
            <c:strRef>
              <c:f>'9(2.1)| Analysis - Type 1 Type'!$G$101</c:f>
              <c:strCache>
                <c:ptCount val="1"/>
                <c:pt idx="0">
                  <c:v>Multiple Behaviours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Type'!$B$105</c:f>
              <c:strCache>
                <c:ptCount val="1"/>
                <c:pt idx="0">
                  <c:v>Unlawful Sexual Contact</c:v>
                </c:pt>
              </c:strCache>
            </c:strRef>
          </c:cat>
          <c:val>
            <c:numRef>
              <c:f>'9(2.1)| Analysis - Type 1 Type'!$G$105</c:f>
              <c:numCache>
                <c:formatCode>0</c:formatCode>
                <c:ptCount val="1"/>
                <c:pt idx="0">
                  <c:v>7</c:v>
                </c:pt>
              </c:numCache>
            </c:numRef>
          </c:val>
        </c:ser>
        <c:dLbls>
          <c:dLblPos val="ctr"/>
          <c:showLegendKey val="0"/>
          <c:showVal val="1"/>
          <c:showCatName val="0"/>
          <c:showSerName val="0"/>
          <c:showPercent val="0"/>
          <c:showBubbleSize val="0"/>
        </c:dLbls>
        <c:gapWidth val="150"/>
        <c:overlap val="100"/>
        <c:axId val="224996408"/>
        <c:axId val="224998760"/>
      </c:barChart>
      <c:catAx>
        <c:axId val="224996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8760"/>
        <c:crosses val="autoZero"/>
        <c:auto val="1"/>
        <c:lblAlgn val="ctr"/>
        <c:lblOffset val="100"/>
        <c:noMultiLvlLbl val="0"/>
      </c:catAx>
      <c:valAx>
        <c:axId val="22499876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6408"/>
        <c:crosses val="autoZero"/>
        <c:crossBetween val="between"/>
      </c:valAx>
      <c:spPr>
        <a:noFill/>
        <a:ln>
          <a:noFill/>
        </a:ln>
        <a:effectLst/>
      </c:spPr>
    </c:plotArea>
    <c:legend>
      <c:legendPos val="r"/>
      <c:layout>
        <c:manualLayout>
          <c:xMode val="edge"/>
          <c:yMode val="edge"/>
          <c:x val="0.51111111111111107"/>
          <c:y val="0.18337364786489413"/>
          <c:w val="0.47222222222222221"/>
          <c:h val="0.736904068418061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85142820447634"/>
          <c:y val="3.6124794745484398E-2"/>
          <c:w val="0.42709625546611163"/>
          <c:h val="0.88769041800809378"/>
        </c:manualLayout>
      </c:layout>
      <c:barChart>
        <c:barDir val="col"/>
        <c:grouping val="stacked"/>
        <c:varyColors val="0"/>
        <c:ser>
          <c:idx val="0"/>
          <c:order val="0"/>
          <c:tx>
            <c:strRef>
              <c:f>'9(2.1)| Analysis - Type 1 Type'!$D$115</c:f>
              <c:strCache>
                <c:ptCount val="1"/>
                <c:pt idx="0">
                  <c:v>No impact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Type'!$B$117</c:f>
              <c:strCache>
                <c:ptCount val="1"/>
                <c:pt idx="0">
                  <c:v>Unlawful Sexual Contact</c:v>
                </c:pt>
              </c:strCache>
            </c:strRef>
          </c:cat>
          <c:val>
            <c:numRef>
              <c:f>'9(2.1)| Analysis - Type 1 Type'!$D$117</c:f>
              <c:numCache>
                <c:formatCode>General</c:formatCode>
                <c:ptCount val="1"/>
                <c:pt idx="0">
                  <c:v>38</c:v>
                </c:pt>
              </c:numCache>
            </c:numRef>
          </c:val>
        </c:ser>
        <c:ser>
          <c:idx val="1"/>
          <c:order val="1"/>
          <c:tx>
            <c:strRef>
              <c:f>'9(2.1)| Analysis - Type 1 Type'!$E$115</c:f>
              <c:strCache>
                <c:ptCount val="1"/>
                <c:pt idx="0">
                  <c:v>Minor physical or psychological injury or discomfort which were resolved without formal medical or psychological interventions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Type'!$B$117</c:f>
              <c:strCache>
                <c:ptCount val="1"/>
                <c:pt idx="0">
                  <c:v>Unlawful Sexual Contact</c:v>
                </c:pt>
              </c:strCache>
            </c:strRef>
          </c:cat>
          <c:val>
            <c:numRef>
              <c:f>'9(2.1)| Analysis - Type 1 Type'!$E$117</c:f>
              <c:numCache>
                <c:formatCode>General</c:formatCode>
                <c:ptCount val="1"/>
                <c:pt idx="0">
                  <c:v>16</c:v>
                </c:pt>
              </c:numCache>
            </c:numRef>
          </c:val>
        </c:ser>
        <c:ser>
          <c:idx val="3"/>
          <c:order val="2"/>
          <c:tx>
            <c:strRef>
              <c:f>'9(2.1)| Analysis - Type 1 Type'!$G$115</c:f>
              <c:strCache>
                <c:ptCount val="1"/>
                <c:pt idx="0">
                  <c:v>Unable to be determined based on the information available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Type'!$B$117</c:f>
              <c:strCache>
                <c:ptCount val="1"/>
                <c:pt idx="0">
                  <c:v>Unlawful Sexual Contact</c:v>
                </c:pt>
              </c:strCache>
            </c:strRef>
          </c:cat>
          <c:val>
            <c:numRef>
              <c:f>'9(2.1)| Analysis - Type 1 Type'!$G$117</c:f>
              <c:numCache>
                <c:formatCode>General</c:formatCode>
                <c:ptCount val="1"/>
                <c:pt idx="0">
                  <c:v>2</c:v>
                </c:pt>
              </c:numCache>
            </c:numRef>
          </c:val>
        </c:ser>
        <c:dLbls>
          <c:dLblPos val="ctr"/>
          <c:showLegendKey val="0"/>
          <c:showVal val="1"/>
          <c:showCatName val="0"/>
          <c:showSerName val="0"/>
          <c:showPercent val="0"/>
          <c:showBubbleSize val="0"/>
        </c:dLbls>
        <c:gapWidth val="150"/>
        <c:overlap val="100"/>
        <c:axId val="224999152"/>
        <c:axId val="225000720"/>
      </c:barChart>
      <c:catAx>
        <c:axId val="224999152"/>
        <c:scaling>
          <c:orientation val="minMax"/>
        </c:scaling>
        <c:delete val="0"/>
        <c:axPos val="b"/>
        <c:numFmt formatCode="General" sourceLinked="1"/>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00720"/>
        <c:crosses val="autoZero"/>
        <c:auto val="1"/>
        <c:lblAlgn val="ctr"/>
        <c:lblOffset val="100"/>
        <c:noMultiLvlLbl val="0"/>
      </c:catAx>
      <c:valAx>
        <c:axId val="225000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Incidents </a:t>
                </a:r>
              </a:p>
            </c:rich>
          </c:tx>
          <c:layout>
            <c:manualLayout>
              <c:xMode val="edge"/>
              <c:yMode val="edge"/>
              <c:x val="2.132115621621479E-2"/>
              <c:y val="0.371489633604267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9152"/>
        <c:crosses val="autoZero"/>
        <c:crossBetween val="between"/>
      </c:valAx>
      <c:spPr>
        <a:noFill/>
        <a:ln>
          <a:noFill/>
        </a:ln>
        <a:effectLst/>
      </c:spPr>
    </c:plotArea>
    <c:legend>
      <c:legendPos val="r"/>
      <c:layout>
        <c:manualLayout>
          <c:xMode val="edge"/>
          <c:yMode val="edge"/>
          <c:x val="0.55966209731548056"/>
          <c:y val="0.16403185062191677"/>
          <c:w val="0.42465162472499002"/>
          <c:h val="0.760233288479973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507539498739128E-2"/>
          <c:y val="3.6124794745484398E-2"/>
          <c:w val="0.54514670138888888"/>
          <c:h val="0.82721428571428579"/>
        </c:manualLayout>
      </c:layout>
      <c:barChart>
        <c:barDir val="col"/>
        <c:grouping val="stacked"/>
        <c:varyColors val="0"/>
        <c:ser>
          <c:idx val="0"/>
          <c:order val="0"/>
          <c:tx>
            <c:strRef>
              <c:f>'9(2.1)| Analysis - Type 1 Type'!$O$166</c:f>
              <c:strCache>
                <c:ptCount val="1"/>
                <c:pt idx="0">
                  <c:v>No impact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Type'!$O$165</c:f>
              <c:strCache>
                <c:ptCount val="1"/>
                <c:pt idx="0">
                  <c:v>Rape, sexual assault, including touching the resident’s genital area without consent</c:v>
                </c:pt>
              </c:strCache>
            </c:strRef>
          </c:cat>
          <c:val>
            <c:numRef>
              <c:f>'9(2.1)| Analysis - Type 1 Type'!$P$166</c:f>
              <c:numCache>
                <c:formatCode>General</c:formatCode>
                <c:ptCount val="1"/>
                <c:pt idx="0">
                  <c:v>18</c:v>
                </c:pt>
              </c:numCache>
            </c:numRef>
          </c:val>
        </c:ser>
        <c:ser>
          <c:idx val="1"/>
          <c:order val="1"/>
          <c:tx>
            <c:strRef>
              <c:f>'9(2.1)| Analysis - Type 1 Type'!$O$167</c:f>
              <c:strCache>
                <c:ptCount val="1"/>
                <c:pt idx="0">
                  <c:v>Minor physical or psychological injury or discomfort which were resolved without formal medical or psychological interventions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Type'!$O$165</c:f>
              <c:strCache>
                <c:ptCount val="1"/>
                <c:pt idx="0">
                  <c:v>Rape, sexual assault, including touching the resident’s genital area without consent</c:v>
                </c:pt>
              </c:strCache>
            </c:strRef>
          </c:cat>
          <c:val>
            <c:numRef>
              <c:f>'9(2.1)| Analysis - Type 1 Type'!$P$167</c:f>
              <c:numCache>
                <c:formatCode>General</c:formatCode>
                <c:ptCount val="1"/>
                <c:pt idx="0">
                  <c:v>11</c:v>
                </c:pt>
              </c:numCache>
            </c:numRef>
          </c:val>
        </c:ser>
        <c:ser>
          <c:idx val="2"/>
          <c:order val="2"/>
          <c:tx>
            <c:strRef>
              <c:f>'9(2.1)| Analysis - Type 1 Type'!$O$168</c:f>
              <c:strCache>
                <c:ptCount val="1"/>
                <c:pt idx="0">
                  <c:v>Unable to be determined based on the information available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Type'!$O$165</c:f>
              <c:strCache>
                <c:ptCount val="1"/>
                <c:pt idx="0">
                  <c:v>Rape, sexual assault, including touching the resident’s genital area without consent</c:v>
                </c:pt>
              </c:strCache>
            </c:strRef>
          </c:cat>
          <c:val>
            <c:numRef>
              <c:f>'9(2.1)| Analysis - Type 1 Type'!$P$168</c:f>
              <c:numCache>
                <c:formatCode>General</c:formatCode>
                <c:ptCount val="1"/>
                <c:pt idx="0">
                  <c:v>2</c:v>
                </c:pt>
              </c:numCache>
            </c:numRef>
          </c:val>
        </c:ser>
        <c:dLbls>
          <c:dLblPos val="ctr"/>
          <c:showLegendKey val="0"/>
          <c:showVal val="1"/>
          <c:showCatName val="0"/>
          <c:showSerName val="0"/>
          <c:showPercent val="0"/>
          <c:showBubbleSize val="0"/>
        </c:dLbls>
        <c:gapWidth val="150"/>
        <c:overlap val="100"/>
        <c:axId val="224997976"/>
        <c:axId val="512291928"/>
      </c:barChart>
      <c:catAx>
        <c:axId val="22499797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291928"/>
        <c:crosses val="autoZero"/>
        <c:auto val="1"/>
        <c:lblAlgn val="ctr"/>
        <c:lblOffset val="100"/>
        <c:noMultiLvlLbl val="0"/>
      </c:catAx>
      <c:valAx>
        <c:axId val="512291928"/>
        <c:scaling>
          <c:orientation val="minMax"/>
          <c:max val="60"/>
        </c:scaling>
        <c:delete val="0"/>
        <c:axPos val="l"/>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97976"/>
        <c:crosses val="autoZero"/>
        <c:crossBetween val="between"/>
      </c:valAx>
      <c:spPr>
        <a:noFill/>
        <a:ln>
          <a:noFill/>
        </a:ln>
        <a:effectLst/>
      </c:spPr>
    </c:plotArea>
    <c:legend>
      <c:legendPos val="r"/>
      <c:layout>
        <c:manualLayout>
          <c:xMode val="edge"/>
          <c:yMode val="edge"/>
          <c:x val="0.51522673611111114"/>
          <c:y val="7.8357142857142847E-2"/>
          <c:w val="0.44339965277777776"/>
          <c:h val="0.805730158730158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'9(3)| Analysis -Type 2 Inc'!$D$13</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'9(3)| Analysis -Type 2 Inc'!$C$14:$C$29</c:f>
              <c:strCach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'9(3)| Analysis -Type 2 Inc'!$D$14:$D$29</c:f>
              <c:numCache>
                <c:formatCode>General</c:formatCode>
                <c:ptCount val="16"/>
                <c:pt idx="0">
                  <c:v>81</c:v>
                </c:pt>
                <c:pt idx="1">
                  <c:v>30</c:v>
                </c:pt>
                <c:pt idx="2">
                  <c:v>22</c:v>
                </c:pt>
                <c:pt idx="3">
                  <c:v>9</c:v>
                </c:pt>
                <c:pt idx="4">
                  <c:v>4</c:v>
                </c:pt>
                <c:pt idx="5">
                  <c:v>4</c:v>
                </c:pt>
                <c:pt idx="6">
                  <c:v>7</c:v>
                </c:pt>
                <c:pt idx="7">
                  <c:v>2</c:v>
                </c:pt>
                <c:pt idx="8">
                  <c:v>4</c:v>
                </c:pt>
                <c:pt idx="9">
                  <c:v>0</c:v>
                </c:pt>
                <c:pt idx="10">
                  <c:v>1</c:v>
                </c:pt>
                <c:pt idx="11">
                  <c:v>2</c:v>
                </c:pt>
                <c:pt idx="12">
                  <c:v>0</c:v>
                </c:pt>
                <c:pt idx="13">
                  <c:v>2</c:v>
                </c:pt>
                <c:pt idx="14">
                  <c:v>0</c:v>
                </c:pt>
                <c:pt idx="15">
                  <c:v>9</c:v>
                </c:pt>
              </c:numCache>
            </c:numRef>
          </c:val>
        </c:ser>
        <c:dLbls>
          <c:dLblPos val="outEnd"/>
          <c:showLegendKey val="0"/>
          <c:showVal val="1"/>
          <c:showCatName val="0"/>
          <c:showSerName val="0"/>
          <c:showPercent val="0"/>
          <c:showBubbleSize val="0"/>
        </c:dLbls>
        <c:gapWidth val="219"/>
        <c:overlap val="-27"/>
        <c:axId val="512290752"/>
        <c:axId val="512286440"/>
      </c:barChart>
      <c:catAx>
        <c:axId val="512290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Type 2 Incidents Reported</a:t>
                </a:r>
              </a:p>
            </c:rich>
          </c:tx>
          <c:layout>
            <c:manualLayout>
              <c:xMode val="edge"/>
              <c:yMode val="edge"/>
              <c:x val="0.39368946249425735"/>
              <c:y val="0.888079438658877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286440"/>
        <c:crosses val="autoZero"/>
        <c:auto val="1"/>
        <c:lblAlgn val="ctr"/>
        <c:lblOffset val="100"/>
        <c:noMultiLvlLbl val="0"/>
      </c:catAx>
      <c:valAx>
        <c:axId val="512286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layout>
            <c:manualLayout>
              <c:xMode val="edge"/>
              <c:yMode val="edge"/>
              <c:x val="1.8995929443690638E-2"/>
              <c:y val="0.293464249428498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29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'9(1)| Analysis - Participants'!$F$83</c:f>
              <c:strCache>
                <c:ptCount val="1"/>
                <c:pt idx="0">
                  <c:v>Percentage of Population Represented</c:v>
                </c:pt>
              </c:strCache>
            </c:strRef>
          </c:tx>
          <c:spPr>
            <a:solidFill>
              <a:schemeClr val="accent1"/>
            </a:solidFill>
            <a:ln>
              <a:noFill/>
            </a:ln>
            <a:effectLst/>
          </c:spPr>
          <c:invertIfNegative val="0"/>
          <c:dLbls>
            <c:dLbl>
              <c:idx val="0"/>
              <c:layout>
                <c:manualLayout>
                  <c:x val="1.0854816824966054E-2"/>
                  <c:y val="0"/>
                </c:manualLayout>
              </c:layout>
              <c:tx>
                <c:strRef>
                  <c:f>'9(1)| Analysis - Participants'!$G$84</c:f>
                  <c:strCache>
                    <c:ptCount val="1"/>
                    <c:pt idx="0">
                      <c:v>5.8% 
(51 of 879)</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{09C43AC3-F747-4D09-A50C-7A1240F620DE}</c15:txfldGUID>
                      <c15:f>'9(1)| Analysis - Participants'!$G$84</c15:f>
                      <c15:dlblFieldTableCache>
                        <c:ptCount val="1"/>
                        <c:pt idx="0">
                          <c:v>5.8% 
(51 of 879)</c:v>
                        </c:pt>
                      </c15:dlblFieldTableCache>
                    </c15:dlblFTEntry>
                  </c15:dlblFieldTable>
                  <c15:showDataLabelsRange val="0"/>
                </c:ext>
              </c:extLst>
            </c:dLbl>
            <c:dLbl>
              <c:idx val="1"/>
              <c:layout>
                <c:manualLayout>
                  <c:x val="8.1411126187245584E-3"/>
                  <c:y val="-4.5362903225806453E-2"/>
                </c:manualLayout>
              </c:layout>
              <c:tx>
                <c:strRef>
                  <c:f>'9(1)| Analysis - Participants'!$G$85</c:f>
                  <c:strCache>
                    <c:ptCount val="1"/>
                    <c:pt idx="0">
                      <c:v>6.5% 
(50 of 767)</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{31C954CA-3070-4DB9-97ED-B74B6654826E}</c15:txfldGUID>
                      <c15:f>'9(1)| Analysis - Participants'!$G$85</c15:f>
                      <c15:dlblFieldTableCache>
                        <c:ptCount val="1"/>
                        <c:pt idx="0">
                          <c:v>6.5% 
(50 of 767)</c:v>
                        </c:pt>
                      </c15:dlblFieldTableCache>
                    </c15:dlblFTEntry>
                  </c15:dlblFieldTable>
                  <c15:showDataLabelsRange val="0"/>
                </c:ext>
              </c:extLst>
            </c:dLbl>
            <c:dLbl>
              <c:idx val="2"/>
              <c:tx>
                <c:strRef>
                  <c:f>'9(1)| Analysis - Participants'!$G$86</c:f>
                  <c:strCache>
                    <c:ptCount val="1"/>
                    <c:pt idx="0">
                      <c:v>12.0% 
(56 of 467)</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{7F14F745-E80A-49A7-B786-860BE5C62FA8}</c15:txfldGUID>
                      <c15:f>'9(1)| Analysis - Participants'!$G$86</c15:f>
                      <c15:dlblFieldTableCache>
                        <c:ptCount val="1"/>
                        <c:pt idx="0">
                          <c:v>12.0% 
(56 of 467)</c:v>
                        </c:pt>
                      </c15:dlblFieldTableCache>
                    </c15:dlblFTEntry>
                  </c15:dlblFieldTable>
                  <c15:showDataLabelsRange val="0"/>
                </c:ext>
              </c:extLst>
            </c:dLbl>
            <c:dLbl>
              <c:idx val="3"/>
              <c:tx>
                <c:strRef>
                  <c:f>'9(1)| Analysis - Participants'!$G$87</c:f>
                  <c:strCache>
                    <c:ptCount val="1"/>
                    <c:pt idx="0">
                      <c:v>3.6% 
(9 of 249)</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{D9C724E2-1749-4847-91A7-053F25E001D2}</c15:txfldGUID>
                      <c15:f>'9(1)| Analysis - Participants'!$G$87</c15:f>
                      <c15:dlblFieldTableCache>
                        <c:ptCount val="1"/>
                        <c:pt idx="0">
                          <c:v>3.6% 
(9 of 249)</c:v>
                        </c:pt>
                      </c15:dlblFieldTableCache>
                    </c15:dlblFTEntry>
                  </c15:dlblFieldTable>
                  <c15:showDataLabelsRange val="0"/>
                </c:ext>
              </c:extLst>
            </c:dLbl>
            <c:dLbl>
              <c:idx val="4"/>
              <c:tx>
                <c:strRef>
                  <c:f>'9(1)| Analysis - Participants'!$G$88</c:f>
                  <c:strCache>
                    <c:ptCount val="1"/>
                    <c:pt idx="0">
                      <c:v>2.8% 
(7 of 246)</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{8EE9FAFC-3107-4E8C-97FB-0F741E9C443F}</c15:txfldGUID>
                      <c15:f>'9(1)| Analysis - Participants'!$G$88</c15:f>
                      <c15:dlblFieldTableCache>
                        <c:ptCount val="1"/>
                        <c:pt idx="0">
                          <c:v>2.8% 
(7 of 246)</c:v>
                        </c:pt>
                      </c15:dlblFieldTableCache>
                    </c15:dlblFTEntry>
                  </c15:dlblFieldTable>
                  <c15:showDataLabelsRange val="0"/>
                </c:ext>
              </c:extLst>
            </c:dLbl>
            <c:dLbl>
              <c:idx val="5"/>
              <c:tx>
                <c:strRef>
                  <c:f>'9(1)| Analysis - Participants'!$G$89</c:f>
                  <c:strCache>
                    <c:ptCount val="1"/>
                    <c:pt idx="0">
                      <c:v>5.6% 
(4 of 72)</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{E8A7E250-95C6-4DCC-A92B-A3D623CC8F98}</c15:txfldGUID>
                      <c15:f>'9(1)| Analysis - Participants'!$G$89</c15:f>
                      <c15:dlblFieldTableCache>
                        <c:ptCount val="1"/>
                        <c:pt idx="0">
                          <c:v>5.6% 
(4 of 72)</c:v>
                        </c:pt>
                      </c15:dlblFieldTableCache>
                    </c15:dlblFTEntry>
                  </c15:dlblFieldTable>
                  <c15:showDataLabelsRange val="0"/>
                </c:ext>
              </c:extLst>
            </c:dLbl>
            <c:dLbl>
              <c:idx val="6"/>
              <c:tx>
                <c:strRef>
                  <c:f>'9(1)| Analysis - Participants'!$G$90</c:f>
                  <c:strCache>
                    <c:ptCount val="1"/>
                    <c:pt idx="0">
                      <c:v>0.0% 
(0 of 12)</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{666C2829-1E26-4E5B-858A-39A237F0FB28}</c15:txfldGUID>
                      <c15:f>'9(1)| Analysis - Participants'!$G$90</c15:f>
                      <c15:dlblFieldTableCache>
                        <c:ptCount val="1"/>
                        <c:pt idx="0">
                          <c:v>0.0% 
(0 of 12)</c:v>
                        </c:pt>
                      </c15:dlblFieldTableCache>
                    </c15:dlblFTEntry>
                  </c15:dlblFieldTable>
                  <c15:showDataLabelsRange val="0"/>
                </c:ext>
              </c:extLst>
            </c:dLbl>
            <c:dLbl>
              <c:idx val="7"/>
              <c:tx>
                <c:strRef>
                  <c:f>'9(1)| Analysis - Participants'!$G$91</c:f>
                  <c:strCache>
                    <c:ptCount val="1"/>
                    <c:pt idx="0">
                      <c:v>4.0% 
(1 of 25)</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{A4CA3636-2879-4F88-944A-FD487C069647}</c15:txfldGUID>
                      <c15:f>'9(1)| Analysis - Participants'!$G$91</c15:f>
                      <c15:dlblFieldTableCache>
                        <c:ptCount val="1"/>
                        <c:pt idx="0">
                          <c:v>4.0% 
(1 of 25)</c:v>
                        </c:pt>
                      </c15:dlblFieldTableCache>
                    </c15:dlblFTEntry>
                  </c15:dlblFieldTable>
                  <c15:showDataLabelsRange val="0"/>
                </c:ext>
              </c:extLst>
            </c:dLbl>
            <c:dLbl>
              <c:idx val="8"/>
              <c:tx>
                <c:strRef>
                  <c:f>'9(1)| Analysis - Participants'!$G$92</c:f>
                  <c:strCache>
                    <c:ptCount val="1"/>
                    <c:pt idx="0">
                      <c:v>6.6% 
(178 of 2717)</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{BB145101-B889-4C59-A3BB-9043ED19F8DC}</c15:txfldGUID>
                      <c15:f>'9(1)| Analysis - Participants'!$G$92</c15:f>
                      <c15:dlblFieldTableCache>
                        <c:ptCount val="1"/>
                        <c:pt idx="0">
                          <c:v>6.6% 
(178 of 2717)</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'9(1)| Analysis - Participants'!$C$84:$C$92</c:f>
              <c:strCache>
                <c:ptCount val="9"/>
                <c:pt idx="0">
                  <c:v>NSW</c:v>
                </c:pt>
                <c:pt idx="1">
                  <c:v>VIC</c:v>
                </c:pt>
                <c:pt idx="2">
                  <c:v>QLD</c:v>
                </c:pt>
                <c:pt idx="3">
                  <c:v>SA</c:v>
                </c:pt>
                <c:pt idx="4">
                  <c:v>WA</c:v>
                </c:pt>
                <c:pt idx="5">
                  <c:v>TAS</c:v>
                </c:pt>
                <c:pt idx="6">
                  <c:v>NT</c:v>
                </c:pt>
                <c:pt idx="7">
                  <c:v>ACT</c:v>
                </c:pt>
                <c:pt idx="8">
                  <c:v>Total</c:v>
                </c:pt>
              </c:strCache>
            </c:strRef>
          </c:cat>
          <c:val>
            <c:numRef>
              <c:f>'9(1)| Analysis - Participants'!$F$84:$F$92</c:f>
              <c:numCache>
                <c:formatCode>0.0%</c:formatCode>
                <c:ptCount val="9"/>
                <c:pt idx="0">
                  <c:v>5.8020477815699661E-2</c:v>
                </c:pt>
                <c:pt idx="1">
                  <c:v>6.51890482398957E-2</c:v>
                </c:pt>
                <c:pt idx="2">
                  <c:v>0.11991434689507495</c:v>
                </c:pt>
                <c:pt idx="3">
                  <c:v>3.614457831325301E-2</c:v>
                </c:pt>
                <c:pt idx="4">
                  <c:v>2.8455284552845527E-2</c:v>
                </c:pt>
                <c:pt idx="5">
                  <c:v>5.5555555555555552E-2</c:v>
                </c:pt>
                <c:pt idx="6">
                  <c:v>0</c:v>
                </c:pt>
                <c:pt idx="7">
                  <c:v>0.04</c:v>
                </c:pt>
                <c:pt idx="8">
                  <c:v>6.5513433934486567E-2</c:v>
                </c:pt>
              </c:numCache>
            </c:numRef>
          </c:val>
        </c:ser>
        <c:dLbls>
          <c:dLblPos val="outEnd"/>
          <c:showLegendKey val="0"/>
          <c:showVal val="1"/>
          <c:showCatName val="0"/>
          <c:showSerName val="0"/>
          <c:showPercent val="0"/>
          <c:showBubbleSize val="0"/>
        </c:dLbls>
        <c:gapWidth val="219"/>
        <c:overlap val="-27"/>
        <c:axId val="221901232"/>
        <c:axId val="221898488"/>
      </c:barChart>
      <c:catAx>
        <c:axId val="221901232"/>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21898488"/>
        <c:crosses val="autoZero"/>
        <c:auto val="1"/>
        <c:lblAlgn val="ctr"/>
        <c:lblOffset val="100"/>
        <c:noMultiLvlLbl val="0"/>
      </c:catAx>
      <c:valAx>
        <c:axId val="221898488"/>
        <c:scaling>
          <c:orientation val="minMax"/>
          <c:max val="0.2"/>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Participation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90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'9(1)| Analysis - Participants'!$F$68</c:f>
              <c:strCache>
                <c:ptCount val="1"/>
                <c:pt idx="0">
                  <c:v>Percentage of Population Represented</c:v>
                </c:pt>
              </c:strCache>
            </c:strRef>
          </c:tx>
          <c:spPr>
            <a:solidFill>
              <a:schemeClr val="accent1"/>
            </a:solidFill>
            <a:ln>
              <a:noFill/>
            </a:ln>
            <a:effectLst/>
          </c:spPr>
          <c:invertIfNegative val="0"/>
          <c:dLbls>
            <c:dLbl>
              <c:idx val="0"/>
              <c:tx>
                <c:strRef>
                  <c:f>'9(1)| Analysis - Participants'!$G$69</c:f>
                  <c:strCache>
                    <c:ptCount val="1"/>
                    <c:pt idx="0">
                      <c:v>6.5% 
(110 of 1,696)</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{3C156CAC-0B23-4CF3-8D3D-6DDB1CE30C8B}</c15:txfldGUID>
                      <c15:f>'9(1)| Analysis - Participants'!$G$69</c15:f>
                      <c15:dlblFieldTableCache>
                        <c:ptCount val="1"/>
                        <c:pt idx="0">
                          <c:v>6.5% 
(110 of 1,696)</c:v>
                        </c:pt>
                      </c15:dlblFieldTableCache>
                    </c15:dlblFTEntry>
                  </c15:dlblFieldTable>
                  <c15:showDataLabelsRange val="0"/>
                </c:ext>
              </c:extLst>
            </c:dLbl>
            <c:dLbl>
              <c:idx val="1"/>
              <c:tx>
                <c:strRef>
                  <c:f>'9(1)| Analysis - Participants'!$G$70</c:f>
                  <c:strCache>
                    <c:ptCount val="1"/>
                    <c:pt idx="0">
                      <c:v>6.7% 
(65 of 976)</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{8C085D13-61CA-4EC3-8016-6FA4338D59E7}</c15:txfldGUID>
                      <c15:f>'9(1)| Analysis - Participants'!$G$70</c15:f>
                      <c15:dlblFieldTableCache>
                        <c:ptCount val="1"/>
                        <c:pt idx="0">
                          <c:v>6.7% 
(65 of 976)</c:v>
                        </c:pt>
                      </c15:dlblFieldTableCache>
                    </c15:dlblFTEntry>
                  </c15:dlblFieldTable>
                  <c15:showDataLabelsRange val="0"/>
                </c:ext>
              </c:extLst>
            </c:dLbl>
            <c:dLbl>
              <c:idx val="2"/>
              <c:tx>
                <c:strRef>
                  <c:f>'9(1)| Analysis - Participants'!$G$71</c:f>
                  <c:strCache>
                    <c:ptCount val="1"/>
                    <c:pt idx="0">
                      <c:v>6.7% 
(3 of 45)</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{C84132A0-3CB3-4D1E-B4FA-EBC4E0AC5991}</c15:txfldGUID>
                      <c15:f>'9(1)| Analysis - Participants'!$G$71</c15:f>
                      <c15:dlblFieldTableCache>
                        <c:ptCount val="1"/>
                        <c:pt idx="0">
                          <c:v>6.7% 
(3 of 45)</c:v>
                        </c:pt>
                      </c15:dlblFieldTableCache>
                    </c15:dlblFTEntry>
                  </c15:dlblFieldTable>
                  <c15:showDataLabelsRange val="0"/>
                </c:ext>
              </c:extLst>
            </c:dLbl>
            <c:dLbl>
              <c:idx val="3"/>
              <c:tx>
                <c:strRef>
                  <c:f>'9(1)| Analysis - Participants'!$G$72</c:f>
                  <c:strCache>
                    <c:ptCount val="1"/>
                    <c:pt idx="0">
                      <c:v>6.6% 
(178 of 2,717)</c:v>
                    </c:pt>
                  </c:strCache>
                </c:strRef>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dlblFTEntry>
                      <c15:txfldGUID>{21883C59-E84B-43D6-A3AE-74B9458E2CEF}</c15:txfldGUID>
                      <c15:f>'9(1)| Analysis - Participants'!$G$72</c15:f>
                      <c15:dlblFieldTableCache>
                        <c:ptCount val="1"/>
                        <c:pt idx="0">
                          <c:v>6.6% 
(178 of 2,717)</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'9(1)| Analysis - Participants'!$B$69:$B$72</c:f>
              <c:strCache>
                <c:ptCount val="4"/>
                <c:pt idx="0">
                  <c:v>Major Cities</c:v>
                </c:pt>
                <c:pt idx="1">
                  <c:v>Regional Australia</c:v>
                </c:pt>
                <c:pt idx="2">
                  <c:v>Remote Australia</c:v>
                </c:pt>
                <c:pt idx="3">
                  <c:v>Total</c:v>
                </c:pt>
              </c:strCache>
            </c:strRef>
          </c:cat>
          <c:val>
            <c:numRef>
              <c:f>'9(1)| Analysis - Participants'!$F$69:$F$72</c:f>
              <c:numCache>
                <c:formatCode>0.0%</c:formatCode>
                <c:ptCount val="4"/>
                <c:pt idx="0">
                  <c:v>6.4858490566037735E-2</c:v>
                </c:pt>
                <c:pt idx="1">
                  <c:v>6.6598360655737709E-2</c:v>
                </c:pt>
                <c:pt idx="2">
                  <c:v>6.6666666666666666E-2</c:v>
                </c:pt>
                <c:pt idx="3">
                  <c:v>6.5513433934486567E-2</c:v>
                </c:pt>
              </c:numCache>
            </c:numRef>
          </c:val>
        </c:ser>
        <c:dLbls>
          <c:dLblPos val="outEnd"/>
          <c:showLegendKey val="0"/>
          <c:showVal val="1"/>
          <c:showCatName val="0"/>
          <c:showSerName val="0"/>
          <c:showPercent val="0"/>
          <c:showBubbleSize val="0"/>
        </c:dLbls>
        <c:gapWidth val="219"/>
        <c:overlap val="-27"/>
        <c:axId val="221901624"/>
        <c:axId val="221904368"/>
      </c:barChart>
      <c:catAx>
        <c:axId val="221901624"/>
        <c:scaling>
          <c:orientation val="minMax"/>
        </c:scaling>
        <c:delete val="0"/>
        <c:axPos val="b"/>
        <c:numFmt formatCode="General" sourceLinked="1"/>
        <c:majorTickMark val="none"/>
        <c:minorTickMark val="none"/>
        <c:tickLblPos val="nextTo"/>
        <c:spPr>
          <a:noFill/>
          <a:ln w="9525" cap="flat" cmpd="sng" algn="ctr">
            <a:solidFill>
              <a:srgbClr val="005EB8"/>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21904368"/>
        <c:crosses val="autoZero"/>
        <c:auto val="1"/>
        <c:lblAlgn val="ctr"/>
        <c:lblOffset val="100"/>
        <c:noMultiLvlLbl val="0"/>
      </c:catAx>
      <c:valAx>
        <c:axId val="221904368"/>
        <c:scaling>
          <c:orientation val="minMax"/>
          <c:max val="0.2"/>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Participation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solidFill>
              <a:srgbClr val="005EB8"/>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901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0"/>
              <c:tx>
                <c:strRef>
                  <c:f>'9(1)| Analysis - Participants'!$G$28</c:f>
                  <c:strCache>
                    <c:ptCount val="1"/>
                    <c:pt idx="0">
                      <c:v>3.9% 
(5 of 129)</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{01092234-64FA-4E35-89B4-35D6CAD862A1}</c15:txfldGUID>
                      <c15:f>'9(1)| Analysis - Participants'!$G$28</c15:f>
                      <c15:dlblFieldTableCache>
                        <c:ptCount val="1"/>
                        <c:pt idx="0">
                          <c:v>3.9% 
(5 of 129)</c:v>
                        </c:pt>
                      </c15:dlblFieldTableCache>
                    </c15:dlblFTEntry>
                  </c15:dlblFieldTable>
                  <c15:showDataLabelsRange val="0"/>
                </c:ext>
              </c:extLst>
            </c:dLbl>
            <c:dLbl>
              <c:idx val="1"/>
              <c:tx>
                <c:strRef>
                  <c:f>'9(1)| Analysis - Participants'!$G$29</c:f>
                  <c:strCache>
                    <c:ptCount val="1"/>
                    <c:pt idx="0">
                      <c:v>5.4% 
(23 of 426)</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{5EED52A6-DF12-4F12-9111-91914996B274}</c15:txfldGUID>
                      <c15:f>'9(1)| Analysis - Participants'!$G$29</c15:f>
                      <c15:dlblFieldTableCache>
                        <c:ptCount val="1"/>
                        <c:pt idx="0">
                          <c:v>5.4% 
(23 of 426)</c:v>
                        </c:pt>
                      </c15:dlblFieldTableCache>
                    </c15:dlblFTEntry>
                  </c15:dlblFieldTable>
                  <c15:showDataLabelsRange val="0"/>
                </c:ext>
              </c:extLst>
            </c:dLbl>
            <c:dLbl>
              <c:idx val="2"/>
              <c:tx>
                <c:strRef>
                  <c:f>'9(1)| Analysis - Participants'!$G$30</c:f>
                  <c:strCache>
                    <c:ptCount val="1"/>
                    <c:pt idx="0">
                      <c:v>6.5% 
(35 of 542)</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{93BA70E1-78FD-4123-8C8A-438ECE474FBB}</c15:txfldGUID>
                      <c15:f>'9(1)| Analysis - Participants'!$G$30</c15:f>
                      <c15:dlblFieldTableCache>
                        <c:ptCount val="1"/>
                        <c:pt idx="0">
                          <c:v>6.5% 
(35 of 542)</c:v>
                        </c:pt>
                      </c15:dlblFieldTableCache>
                    </c15:dlblFTEntry>
                  </c15:dlblFieldTable>
                  <c15:showDataLabelsRange val="0"/>
                </c:ext>
              </c:extLst>
            </c:dLbl>
            <c:dLbl>
              <c:idx val="3"/>
              <c:tx>
                <c:strRef>
                  <c:f>'9(1)| Analysis - Participants'!$G$31</c:f>
                  <c:strCache>
                    <c:ptCount val="1"/>
                    <c:pt idx="0">
                      <c:v>7.8% 
(37 of 475)</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{B54934F1-94F6-4D60-B771-295F2726650E}</c15:txfldGUID>
                      <c15:f>'9(1)| Analysis - Participants'!$G$31</c15:f>
                      <c15:dlblFieldTableCache>
                        <c:ptCount val="1"/>
                        <c:pt idx="0">
                          <c:v>7.8% 
(37 of 475)</c:v>
                        </c:pt>
                      </c15:dlblFieldTableCache>
                    </c15:dlblFTEntry>
                  </c15:dlblFieldTable>
                  <c15:showDataLabelsRange val="0"/>
                </c:ext>
              </c:extLst>
            </c:dLbl>
            <c:dLbl>
              <c:idx val="4"/>
              <c:tx>
                <c:strRef>
                  <c:f>'9(1)| Analysis - Participants'!$G$32</c:f>
                  <c:strCache>
                    <c:ptCount val="1"/>
                    <c:pt idx="0">
                      <c:v>7.1% 
(29 of 407)</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{F1D2C6FC-F7FA-4E05-8C4D-28926C1047CF}</c15:txfldGUID>
                      <c15:f>'9(1)| Analysis - Participants'!$G$32</c15:f>
                      <c15:dlblFieldTableCache>
                        <c:ptCount val="1"/>
                        <c:pt idx="0">
                          <c:v>7.1% 
(29 of 407)</c:v>
                        </c:pt>
                      </c15:dlblFieldTableCache>
                    </c15:dlblFTEntry>
                  </c15:dlblFieldTable>
                  <c15:showDataLabelsRange val="0"/>
                </c:ext>
              </c:extLst>
            </c:dLbl>
            <c:dLbl>
              <c:idx val="5"/>
              <c:tx>
                <c:strRef>
                  <c:f>'9(1)| Analysis - Participants'!$G$33</c:f>
                  <c:strCache>
                    <c:ptCount val="1"/>
                    <c:pt idx="0">
                      <c:v>6.6% 
(49 of 738)</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{13358A89-71C7-4C86-8579-0B3D18DA2D9A}</c15:txfldGUID>
                      <c15:f>'9(1)| Analysis - Participants'!$G$33</c15:f>
                      <c15:dlblFieldTableCache>
                        <c:ptCount val="1"/>
                        <c:pt idx="0">
                          <c:v>6.6% 
(49 of 738)</c:v>
                        </c:pt>
                      </c15:dlblFieldTableCache>
                    </c15:dlblFTEntry>
                  </c15:dlblFieldTable>
                  <c15:showDataLabelsRange val="0"/>
                </c:ext>
              </c:extLst>
            </c:dLbl>
            <c:dLbl>
              <c:idx val="6"/>
              <c:tx>
                <c:strRef>
                  <c:f>'9(1)| Analysis - Participants'!$G$34</c:f>
                  <c:strCache>
                    <c:ptCount val="1"/>
                    <c:pt idx="0">
                      <c:v>6.6% 
(178 of 2,717)</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{B57F6265-85D7-48EE-A79F-85B2CF0CB9B7}</c15:txfldGUID>
                      <c15:f>'9(1)| Analysis - Participants'!$G$34</c15:f>
                      <c15:dlblFieldTableCache>
                        <c:ptCount val="1"/>
                        <c:pt idx="0">
                          <c:v>6.6% 
(178 of 2,717)</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'9(1)| Analysis - Participants'!$A$28:$A$34</c:f>
              <c:strCache>
                <c:ptCount val="7"/>
                <c:pt idx="0">
                  <c:v>1 to 20</c:v>
                </c:pt>
                <c:pt idx="1">
                  <c:v>21 to 40</c:v>
                </c:pt>
                <c:pt idx="2">
                  <c:v>41 to 60</c:v>
                </c:pt>
                <c:pt idx="3">
                  <c:v>61 to 80</c:v>
                </c:pt>
                <c:pt idx="4">
                  <c:v>81 to 100</c:v>
                </c:pt>
                <c:pt idx="5">
                  <c:v>101 +</c:v>
                </c:pt>
                <c:pt idx="6">
                  <c:v>Total</c:v>
                </c:pt>
              </c:strCache>
            </c:strRef>
          </c:cat>
          <c:val>
            <c:numRef>
              <c:f>'9(1)| Analysis - Participants'!$F$28:$F$34</c:f>
              <c:numCache>
                <c:formatCode>0.0%</c:formatCode>
                <c:ptCount val="7"/>
                <c:pt idx="0">
                  <c:v>3.875968992248062E-2</c:v>
                </c:pt>
                <c:pt idx="1">
                  <c:v>5.39906103286385E-2</c:v>
                </c:pt>
                <c:pt idx="2">
                  <c:v>6.4575645756457564E-2</c:v>
                </c:pt>
                <c:pt idx="3">
                  <c:v>7.7894736842105267E-2</c:v>
                </c:pt>
                <c:pt idx="4">
                  <c:v>7.125307125307126E-2</c:v>
                </c:pt>
                <c:pt idx="5">
                  <c:v>6.6395663956639567E-2</c:v>
                </c:pt>
                <c:pt idx="6" formatCode="0.00%">
                  <c:v>6.5513433934486567E-2</c:v>
                </c:pt>
              </c:numCache>
            </c:numRef>
          </c:val>
        </c:ser>
        <c:dLbls>
          <c:dLblPos val="outEnd"/>
          <c:showLegendKey val="0"/>
          <c:showVal val="1"/>
          <c:showCatName val="0"/>
          <c:showSerName val="0"/>
          <c:showPercent val="0"/>
          <c:showBubbleSize val="0"/>
        </c:dLbls>
        <c:gapWidth val="219"/>
        <c:overlap val="-27"/>
        <c:axId val="221897312"/>
        <c:axId val="221897704"/>
      </c:barChart>
      <c:catAx>
        <c:axId val="221897312"/>
        <c:scaling>
          <c:orientation val="minMax"/>
        </c:scaling>
        <c:delete val="0"/>
        <c:axPos val="b"/>
        <c:title>
          <c:tx>
            <c:rich>
              <a:bodyPr/>
              <a:lstStyle/>
              <a:p>
                <a:pPr>
                  <a:defRPr/>
                </a:pPr>
                <a:r>
                  <a:rPr lang="en-US"/>
                  <a:t>Places</a:t>
                </a:r>
              </a:p>
            </c:rich>
          </c:tx>
          <c:overlay val="0"/>
        </c:title>
        <c:numFmt formatCode="General" sourceLinked="1"/>
        <c:majorTickMark val="none"/>
        <c:minorTickMark val="none"/>
        <c:tickLblPos val="nextTo"/>
        <c:spPr>
          <a:noFill/>
          <a:ln w="9525" cap="flat" cmpd="sng" algn="ctr">
            <a:solidFill>
              <a:srgbClr val="005EB8"/>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897704"/>
        <c:crosses val="autoZero"/>
        <c:auto val="1"/>
        <c:lblAlgn val="ctr"/>
        <c:lblOffset val="100"/>
        <c:noMultiLvlLbl val="0"/>
      </c:catAx>
      <c:valAx>
        <c:axId val="221897704"/>
        <c:scaling>
          <c:orientation val="minMax"/>
          <c:max val="0.2"/>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Participatoin</a:t>
                </a:r>
              </a:p>
            </c:rich>
          </c:tx>
          <c:overlay val="0"/>
          <c:spPr>
            <a:noFill/>
            <a:ln>
              <a:noFill/>
            </a:ln>
            <a:effectLst/>
          </c:spPr>
        </c:title>
        <c:numFmt formatCode="0.0%" sourceLinked="1"/>
        <c:majorTickMark val="out"/>
        <c:minorTickMark val="none"/>
        <c:tickLblPos val="nextTo"/>
        <c:spPr>
          <a:noFill/>
          <a:ln>
            <a:solidFill>
              <a:srgbClr val="005EB8"/>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89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0"/>
              <c:tx>
                <c:strRef>
                  <c:f>'9(1)| Analysis - Participants'!$G$51</c:f>
                  <c:strCache>
                    <c:ptCount val="1"/>
                    <c:pt idx="0">
                      <c:v>5.2% 
(9 of 173)</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{A243A3EC-70ED-4FA3-AEDD-BE01648F4013}</c15:txfldGUID>
                      <c15:f>'9(1)| Analysis - Participants'!$G$51</c15:f>
                      <c15:dlblFieldTableCache>
                        <c:ptCount val="1"/>
                        <c:pt idx="0">
                          <c:v>5.2% 
(9 of 173)</c:v>
                        </c:pt>
                      </c15:dlblFieldTableCache>
                    </c15:dlblFTEntry>
                  </c15:dlblFieldTable>
                  <c15:showDataLabelsRange val="0"/>
                </c:ext>
              </c:extLst>
            </c:dLbl>
            <c:dLbl>
              <c:idx val="1"/>
              <c:tx>
                <c:strRef>
                  <c:f>'9(1)| Analysis - Participants'!$G$52</c:f>
                  <c:strCache>
                    <c:ptCount val="1"/>
                    <c:pt idx="0">
                      <c:v>5.4% 
(27 of 502)</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{36C9AFEB-9496-4410-B97D-42EF23A73876}</c15:txfldGUID>
                      <c15:f>'9(1)| Analysis - Participants'!$G$52</c15:f>
                      <c15:dlblFieldTableCache>
                        <c:ptCount val="1"/>
                        <c:pt idx="0">
                          <c:v>5.4% 
(27 of 502)</c:v>
                        </c:pt>
                      </c15:dlblFieldTableCache>
                    </c15:dlblFTEntry>
                  </c15:dlblFieldTable>
                  <c15:showDataLabelsRange val="0"/>
                </c:ext>
              </c:extLst>
            </c:dLbl>
            <c:dLbl>
              <c:idx val="2"/>
              <c:tx>
                <c:strRef>
                  <c:f>'9(1)| Analysis - Participants'!$G$53</c:f>
                  <c:strCache>
                    <c:ptCount val="1"/>
                    <c:pt idx="0">
                      <c:v>6.7% 
(41 of 611)</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{C6567F3F-C1F8-4E1B-8282-31C33CF2DE36}</c15:txfldGUID>
                      <c15:f>'9(1)| Analysis - Participants'!$G$53</c15:f>
                      <c15:dlblFieldTableCache>
                        <c:ptCount val="1"/>
                        <c:pt idx="0">
                          <c:v>6.7% 
(41 of 611)</c:v>
                        </c:pt>
                      </c15:dlblFieldTableCache>
                    </c15:dlblFTEntry>
                  </c15:dlblFieldTable>
                  <c15:showDataLabelsRange val="0"/>
                </c:ext>
              </c:extLst>
            </c:dLbl>
            <c:dLbl>
              <c:idx val="3"/>
              <c:tx>
                <c:strRef>
                  <c:f>'9(1)| Analysis - Participants'!$G$54</c:f>
                  <c:strCache>
                    <c:ptCount val="1"/>
                    <c:pt idx="0">
                      <c:v>7.4% 
(34 of 461)</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{000B4202-E9F6-4D30-AF59-FEF93503D221}</c15:txfldGUID>
                      <c15:f>'9(1)| Analysis - Participants'!$G$54</c15:f>
                      <c15:dlblFieldTableCache>
                        <c:ptCount val="1"/>
                        <c:pt idx="0">
                          <c:v>7.4% 
(34 of 461)</c:v>
                        </c:pt>
                      </c15:dlblFieldTableCache>
                    </c15:dlblFTEntry>
                  </c15:dlblFieldTable>
                  <c15:showDataLabelsRange val="0"/>
                </c:ext>
              </c:extLst>
            </c:dLbl>
            <c:dLbl>
              <c:idx val="4"/>
              <c:tx>
                <c:strRef>
                  <c:f>'9(1)| Analysis - Participants'!$G$55</c:f>
                  <c:strCache>
                    <c:ptCount val="1"/>
                    <c:pt idx="0">
                      <c:v>7.5% 
(29 of 385)</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{03D86805-BE20-45D4-BD43-916E6FCA3AFC}</c15:txfldGUID>
                      <c15:f>'9(1)| Analysis - Participants'!$G$55</c15:f>
                      <c15:dlblFieldTableCache>
                        <c:ptCount val="1"/>
                        <c:pt idx="0">
                          <c:v>7.5% 
(29 of 385)</c:v>
                        </c:pt>
                      </c15:dlblFieldTableCache>
                    </c15:dlblFTEntry>
                  </c15:dlblFieldTable>
                  <c15:showDataLabelsRange val="0"/>
                </c:ext>
              </c:extLst>
            </c:dLbl>
            <c:dLbl>
              <c:idx val="5"/>
              <c:tx>
                <c:strRef>
                  <c:f>'9(1)| Analysis - Participants'!$G$56</c:f>
                  <c:strCache>
                    <c:ptCount val="1"/>
                    <c:pt idx="0">
                      <c:v>6.9% 
(38 of 550)</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{FCCB62BC-0C9F-4460-A92B-FE9E6D1E6E3F}</c15:txfldGUID>
                      <c15:f>'9(1)| Analysis - Participants'!$G$56</c15:f>
                      <c15:dlblFieldTableCache>
                        <c:ptCount val="1"/>
                        <c:pt idx="0">
                          <c:v>6.9% 
(38 of 550)</c:v>
                        </c:pt>
                      </c15:dlblFieldTableCache>
                    </c15:dlblFTEntry>
                  </c15:dlblFieldTable>
                  <c15:showDataLabelsRange val="0"/>
                </c:ext>
              </c:extLst>
            </c:dLbl>
            <c:dLbl>
              <c:idx val="6"/>
              <c:tx>
                <c:strRef>
                  <c:f>'9(1)| Analysis - Participants'!$G$57</c:f>
                  <c:strCache>
                    <c:ptCount val="1"/>
                    <c:pt idx="0">
                      <c:v>6.6% 
(178 of 2682)</c:v>
                    </c:pt>
                  </c:strCache>
                </c:strRef>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dlblFTEntry>
                      <c15:txfldGUID>{569651AA-1A23-4BA3-BDCD-CDE7D5628C60}</c15:txfldGUID>
                      <c15:f>'9(1)| Analysis - Participants'!$G$57</c15:f>
                      <c15:dlblFieldTableCache>
                        <c:ptCount val="1"/>
                        <c:pt idx="0">
                          <c:v>6.6% 
(178 of 2682)</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'9(1)| Analysis - Participants'!$A$51:$A$57</c:f>
              <c:strCache>
                <c:ptCount val="7"/>
                <c:pt idx="0">
                  <c:v>1 to 20</c:v>
                </c:pt>
                <c:pt idx="1">
                  <c:v>21 to 40</c:v>
                </c:pt>
                <c:pt idx="2">
                  <c:v>41 to 60</c:v>
                </c:pt>
                <c:pt idx="3">
                  <c:v>61 to 80</c:v>
                </c:pt>
                <c:pt idx="4">
                  <c:v>81 to 100</c:v>
                </c:pt>
                <c:pt idx="5">
                  <c:v>101 +</c:v>
                </c:pt>
                <c:pt idx="6">
                  <c:v>Total</c:v>
                </c:pt>
              </c:strCache>
            </c:strRef>
          </c:cat>
          <c:val>
            <c:numRef>
              <c:f>'9(1)| Analysis - Participants'!$F$51:$F$57</c:f>
              <c:numCache>
                <c:formatCode>0.0%</c:formatCode>
                <c:ptCount val="7"/>
                <c:pt idx="0">
                  <c:v>5.2023121387283239E-2</c:v>
                </c:pt>
                <c:pt idx="1">
                  <c:v>5.3784860557768925E-2</c:v>
                </c:pt>
                <c:pt idx="2">
                  <c:v>6.7103109656301146E-2</c:v>
                </c:pt>
                <c:pt idx="3">
                  <c:v>7.3752711496746198E-2</c:v>
                </c:pt>
                <c:pt idx="4">
                  <c:v>7.5324675324675322E-2</c:v>
                </c:pt>
                <c:pt idx="5">
                  <c:v>6.9090909090909092E-2</c:v>
                </c:pt>
                <c:pt idx="6" formatCode="0.00%">
                  <c:v>6.6368381804623414E-2</c:v>
                </c:pt>
              </c:numCache>
            </c:numRef>
          </c:val>
        </c:ser>
        <c:dLbls>
          <c:dLblPos val="outEnd"/>
          <c:showLegendKey val="0"/>
          <c:showVal val="1"/>
          <c:showCatName val="0"/>
          <c:showSerName val="0"/>
          <c:showPercent val="0"/>
          <c:showBubbleSize val="0"/>
        </c:dLbls>
        <c:gapWidth val="219"/>
        <c:overlap val="-27"/>
        <c:axId val="224350032"/>
        <c:axId val="224346504"/>
      </c:barChart>
      <c:catAx>
        <c:axId val="224350032"/>
        <c:scaling>
          <c:orientation val="minMax"/>
        </c:scaling>
        <c:delete val="0"/>
        <c:axPos val="b"/>
        <c:title>
          <c:tx>
            <c:rich>
              <a:bodyPr/>
              <a:lstStyle/>
              <a:p>
                <a:pPr>
                  <a:defRPr/>
                </a:pPr>
                <a:r>
                  <a:rPr lang="en-US"/>
                  <a:t>Residents / Day</a:t>
                </a:r>
              </a:p>
            </c:rich>
          </c:tx>
          <c:overlay val="0"/>
        </c:title>
        <c:numFmt formatCode="General" sourceLinked="1"/>
        <c:majorTickMark val="none"/>
        <c:minorTickMark val="none"/>
        <c:tickLblPos val="nextTo"/>
        <c:spPr>
          <a:noFill/>
          <a:ln w="9525" cap="flat" cmpd="sng" algn="ctr">
            <a:solidFill>
              <a:srgbClr val="005EB8"/>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46504"/>
        <c:crosses val="autoZero"/>
        <c:auto val="1"/>
        <c:lblAlgn val="ctr"/>
        <c:lblOffset val="100"/>
        <c:noMultiLvlLbl val="0"/>
      </c:catAx>
      <c:valAx>
        <c:axId val="224346504"/>
        <c:scaling>
          <c:orientation val="minMax"/>
          <c:max val="0.2"/>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sz="1000" b="1" i="0" baseline="0">
                    <a:solidFill>
                      <a:sysClr val="windowText" lastClr="000000"/>
                    </a:solidFill>
                    <a:effectLst/>
                  </a:rPr>
                  <a:t>Participatoin</a:t>
                </a:r>
                <a:endParaRPr lang="en-AU" sz="1000" b="1">
                  <a:solidFill>
                    <a:sysClr val="windowText" lastClr="000000"/>
                  </a:solidFill>
                  <a:effectLst/>
                </a:endParaRPr>
              </a:p>
            </c:rich>
          </c:tx>
          <c:overlay val="0"/>
          <c:spPr>
            <a:noFill/>
            <a:ln>
              <a:noFill/>
            </a:ln>
            <a:effectLst/>
          </c:spPr>
        </c:title>
        <c:numFmt formatCode="0.0%" sourceLinked="1"/>
        <c:majorTickMark val="out"/>
        <c:minorTickMark val="none"/>
        <c:tickLblPos val="nextTo"/>
        <c:spPr>
          <a:noFill/>
          <a:ln>
            <a:solidFill>
              <a:srgbClr val="005EB8"/>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5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'9(2)| Analysis - Type 1 Freq'!$D$15</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 Analysis - Type 1 Freq'!$C$16:$C$31</c:f>
              <c:strCach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'9(2)| Analysis - Type 1 Freq'!$D$16:$D$31</c:f>
              <c:numCache>
                <c:formatCode>General</c:formatCode>
                <c:ptCount val="16"/>
                <c:pt idx="0">
                  <c:v>28</c:v>
                </c:pt>
                <c:pt idx="1">
                  <c:v>27</c:v>
                </c:pt>
                <c:pt idx="2">
                  <c:v>23</c:v>
                </c:pt>
                <c:pt idx="3">
                  <c:v>12</c:v>
                </c:pt>
                <c:pt idx="4">
                  <c:v>9</c:v>
                </c:pt>
                <c:pt idx="5">
                  <c:v>5</c:v>
                </c:pt>
                <c:pt idx="6">
                  <c:v>14</c:v>
                </c:pt>
                <c:pt idx="7">
                  <c:v>10</c:v>
                </c:pt>
                <c:pt idx="8">
                  <c:v>5</c:v>
                </c:pt>
                <c:pt idx="9">
                  <c:v>2</c:v>
                </c:pt>
                <c:pt idx="10">
                  <c:v>3</c:v>
                </c:pt>
                <c:pt idx="11">
                  <c:v>9</c:v>
                </c:pt>
                <c:pt idx="12">
                  <c:v>5</c:v>
                </c:pt>
                <c:pt idx="13">
                  <c:v>5</c:v>
                </c:pt>
                <c:pt idx="14">
                  <c:v>3</c:v>
                </c:pt>
                <c:pt idx="15">
                  <c:v>18</c:v>
                </c:pt>
              </c:numCache>
            </c:numRef>
          </c:val>
        </c:ser>
        <c:dLbls>
          <c:dLblPos val="outEnd"/>
          <c:showLegendKey val="0"/>
          <c:showVal val="1"/>
          <c:showCatName val="0"/>
          <c:showSerName val="0"/>
          <c:showPercent val="0"/>
          <c:showBubbleSize val="0"/>
        </c:dLbls>
        <c:gapWidth val="219"/>
        <c:overlap val="-27"/>
        <c:axId val="224352776"/>
        <c:axId val="224347288"/>
      </c:barChart>
      <c:catAx>
        <c:axId val="2243527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Type</a:t>
                </a:r>
                <a:r>
                  <a:rPr lang="en-AU" b="1" baseline="0">
                    <a:solidFill>
                      <a:sysClr val="windowText" lastClr="000000"/>
                    </a:solidFill>
                  </a:rPr>
                  <a:t> 1 incidents reported</a:t>
                </a:r>
                <a:endParaRPr lang="en-AU"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47288"/>
        <c:crosses val="autoZero"/>
        <c:auto val="1"/>
        <c:lblAlgn val="ctr"/>
        <c:lblOffset val="100"/>
        <c:noMultiLvlLbl val="0"/>
      </c:catAx>
      <c:valAx>
        <c:axId val="22434728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baseline="0">
                    <a:solidFill>
                      <a:sysClr val="windowText" lastClr="000000"/>
                    </a:solidFill>
                  </a:rPr>
                  <a:t>Services</a:t>
                </a:r>
                <a:endParaRPr lang="en-AU" b="1">
                  <a:solidFill>
                    <a:sysClr val="windowText" lastClr="000000"/>
                  </a:solidFill>
                </a:endParaRPr>
              </a:p>
            </c:rich>
          </c:tx>
          <c:layout>
            <c:manualLayout>
              <c:xMode val="edge"/>
              <c:yMode val="edge"/>
              <c:x val="2.1709633649932156E-2"/>
              <c:y val="0.4133485204470409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52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'8(3)| Serv. Table (SQLFinal)'!$AH$1</c:f>
              <c:strCache>
                <c:ptCount val="1"/>
                <c:pt idx="0">
                  <c:v>Residential Places</c:v>
                </c:pt>
              </c:strCache>
            </c:strRef>
          </c:tx>
          <c:spPr>
            <a:ln w="25400" cap="rnd">
              <a:noFill/>
              <a:round/>
            </a:ln>
            <a:effectLst/>
          </c:spPr>
          <c:marker>
            <c:symbol val="circle"/>
            <c:size val="5"/>
            <c:spPr>
              <a:solidFill>
                <a:schemeClr val="accent1"/>
              </a:solidFill>
              <a:ln w="9525">
                <a:solidFill>
                  <a:schemeClr val="accent1"/>
                </a:solidFill>
              </a:ln>
              <a:effectLst/>
            </c:spPr>
          </c:marker>
          <c:xVal>
            <c:numRef>
              <c:f>'8(3)| Serv. Table (SQLFinal)'!$AH$2:$AH$180</c:f>
              <c:numCache>
                <c:formatCode>General</c:formatCode>
                <c:ptCount val="179"/>
                <c:pt idx="0">
                  <c:v>41</c:v>
                </c:pt>
                <c:pt idx="1">
                  <c:v>60</c:v>
                </c:pt>
                <c:pt idx="2">
                  <c:v>30</c:v>
                </c:pt>
                <c:pt idx="3">
                  <c:v>114</c:v>
                </c:pt>
                <c:pt idx="4">
                  <c:v>70</c:v>
                </c:pt>
                <c:pt idx="5">
                  <c:v>64</c:v>
                </c:pt>
                <c:pt idx="6">
                  <c:v>50</c:v>
                </c:pt>
                <c:pt idx="7">
                  <c:v>19</c:v>
                </c:pt>
                <c:pt idx="8">
                  <c:v>28</c:v>
                </c:pt>
                <c:pt idx="9">
                  <c:v>25</c:v>
                </c:pt>
                <c:pt idx="10">
                  <c:v>42</c:v>
                </c:pt>
                <c:pt idx="11">
                  <c:v>60</c:v>
                </c:pt>
                <c:pt idx="12">
                  <c:v>48</c:v>
                </c:pt>
                <c:pt idx="13">
                  <c:v>118</c:v>
                </c:pt>
                <c:pt idx="14">
                  <c:v>115</c:v>
                </c:pt>
                <c:pt idx="15">
                  <c:v>66</c:v>
                </c:pt>
                <c:pt idx="16">
                  <c:v>12</c:v>
                </c:pt>
                <c:pt idx="17">
                  <c:v>8</c:v>
                </c:pt>
                <c:pt idx="18">
                  <c:v>36</c:v>
                </c:pt>
                <c:pt idx="19">
                  <c:v>40</c:v>
                </c:pt>
                <c:pt idx="20">
                  <c:v>30</c:v>
                </c:pt>
                <c:pt idx="21">
                  <c:v>35</c:v>
                </c:pt>
                <c:pt idx="22">
                  <c:v>40</c:v>
                </c:pt>
                <c:pt idx="23">
                  <c:v>56</c:v>
                </c:pt>
                <c:pt idx="24">
                  <c:v>60</c:v>
                </c:pt>
                <c:pt idx="25">
                  <c:v>59</c:v>
                </c:pt>
                <c:pt idx="26">
                  <c:v>48</c:v>
                </c:pt>
                <c:pt idx="27">
                  <c:v>64</c:v>
                </c:pt>
                <c:pt idx="28">
                  <c:v>57</c:v>
                </c:pt>
                <c:pt idx="29">
                  <c:v>54</c:v>
                </c:pt>
                <c:pt idx="30">
                  <c:v>60</c:v>
                </c:pt>
                <c:pt idx="31">
                  <c:v>69</c:v>
                </c:pt>
                <c:pt idx="32">
                  <c:v>49</c:v>
                </c:pt>
                <c:pt idx="33">
                  <c:v>122</c:v>
                </c:pt>
                <c:pt idx="34">
                  <c:v>96</c:v>
                </c:pt>
                <c:pt idx="35">
                  <c:v>111</c:v>
                </c:pt>
                <c:pt idx="36">
                  <c:v>74</c:v>
                </c:pt>
                <c:pt idx="37">
                  <c:v>69</c:v>
                </c:pt>
                <c:pt idx="38">
                  <c:v>118</c:v>
                </c:pt>
                <c:pt idx="39">
                  <c:v>52</c:v>
                </c:pt>
                <c:pt idx="40">
                  <c:v>66</c:v>
                </c:pt>
                <c:pt idx="41">
                  <c:v>20</c:v>
                </c:pt>
                <c:pt idx="42">
                  <c:v>110</c:v>
                </c:pt>
                <c:pt idx="43">
                  <c:v>85</c:v>
                </c:pt>
                <c:pt idx="44">
                  <c:v>89</c:v>
                </c:pt>
                <c:pt idx="45">
                  <c:v>82</c:v>
                </c:pt>
                <c:pt idx="46">
                  <c:v>116</c:v>
                </c:pt>
                <c:pt idx="47">
                  <c:v>161</c:v>
                </c:pt>
                <c:pt idx="48">
                  <c:v>67</c:v>
                </c:pt>
                <c:pt idx="49">
                  <c:v>78</c:v>
                </c:pt>
                <c:pt idx="50">
                  <c:v>197</c:v>
                </c:pt>
                <c:pt idx="51">
                  <c:v>82</c:v>
                </c:pt>
                <c:pt idx="52">
                  <c:v>61</c:v>
                </c:pt>
                <c:pt idx="53">
                  <c:v>112</c:v>
                </c:pt>
                <c:pt idx="54">
                  <c:v>356</c:v>
                </c:pt>
                <c:pt idx="55">
                  <c:v>112</c:v>
                </c:pt>
                <c:pt idx="56">
                  <c:v>37</c:v>
                </c:pt>
                <c:pt idx="57">
                  <c:v>65</c:v>
                </c:pt>
                <c:pt idx="58">
                  <c:v>120</c:v>
                </c:pt>
                <c:pt idx="59">
                  <c:v>108</c:v>
                </c:pt>
                <c:pt idx="60">
                  <c:v>60</c:v>
                </c:pt>
                <c:pt idx="61">
                  <c:v>50</c:v>
                </c:pt>
                <c:pt idx="62">
                  <c:v>70</c:v>
                </c:pt>
                <c:pt idx="63">
                  <c:v>61</c:v>
                </c:pt>
                <c:pt idx="64">
                  <c:v>43</c:v>
                </c:pt>
                <c:pt idx="65">
                  <c:v>50</c:v>
                </c:pt>
                <c:pt idx="66">
                  <c:v>133</c:v>
                </c:pt>
                <c:pt idx="67">
                  <c:v>40</c:v>
                </c:pt>
                <c:pt idx="68">
                  <c:v>76</c:v>
                </c:pt>
                <c:pt idx="69">
                  <c:v>148</c:v>
                </c:pt>
                <c:pt idx="70">
                  <c:v>76</c:v>
                </c:pt>
                <c:pt idx="71">
                  <c:v>60</c:v>
                </c:pt>
                <c:pt idx="72">
                  <c:v>124</c:v>
                </c:pt>
                <c:pt idx="73">
                  <c:v>39</c:v>
                </c:pt>
                <c:pt idx="74">
                  <c:v>69</c:v>
                </c:pt>
                <c:pt idx="75">
                  <c:v>81</c:v>
                </c:pt>
                <c:pt idx="76">
                  <c:v>73</c:v>
                </c:pt>
                <c:pt idx="77">
                  <c:v>47</c:v>
                </c:pt>
                <c:pt idx="78">
                  <c:v>128</c:v>
                </c:pt>
                <c:pt idx="79">
                  <c:v>96</c:v>
                </c:pt>
                <c:pt idx="80">
                  <c:v>74</c:v>
                </c:pt>
                <c:pt idx="81">
                  <c:v>60</c:v>
                </c:pt>
                <c:pt idx="82">
                  <c:v>120</c:v>
                </c:pt>
                <c:pt idx="83">
                  <c:v>97</c:v>
                </c:pt>
                <c:pt idx="84">
                  <c:v>72</c:v>
                </c:pt>
                <c:pt idx="85">
                  <c:v>67</c:v>
                </c:pt>
                <c:pt idx="86">
                  <c:v>150</c:v>
                </c:pt>
                <c:pt idx="87">
                  <c:v>168</c:v>
                </c:pt>
                <c:pt idx="88">
                  <c:v>54</c:v>
                </c:pt>
                <c:pt idx="89">
                  <c:v>120</c:v>
                </c:pt>
                <c:pt idx="90">
                  <c:v>40</c:v>
                </c:pt>
                <c:pt idx="91">
                  <c:v>42</c:v>
                </c:pt>
                <c:pt idx="92">
                  <c:v>82</c:v>
                </c:pt>
                <c:pt idx="93">
                  <c:v>93</c:v>
                </c:pt>
                <c:pt idx="94">
                  <c:v>96</c:v>
                </c:pt>
                <c:pt idx="95">
                  <c:v>67</c:v>
                </c:pt>
                <c:pt idx="96">
                  <c:v>96</c:v>
                </c:pt>
                <c:pt idx="97">
                  <c:v>75</c:v>
                </c:pt>
                <c:pt idx="98">
                  <c:v>110</c:v>
                </c:pt>
                <c:pt idx="99">
                  <c:v>48</c:v>
                </c:pt>
                <c:pt idx="100">
                  <c:v>70</c:v>
                </c:pt>
                <c:pt idx="101">
                  <c:v>154</c:v>
                </c:pt>
                <c:pt idx="102">
                  <c:v>176</c:v>
                </c:pt>
                <c:pt idx="103">
                  <c:v>94</c:v>
                </c:pt>
                <c:pt idx="104">
                  <c:v>90</c:v>
                </c:pt>
                <c:pt idx="105">
                  <c:v>60</c:v>
                </c:pt>
                <c:pt idx="106">
                  <c:v>122</c:v>
                </c:pt>
                <c:pt idx="107">
                  <c:v>61</c:v>
                </c:pt>
                <c:pt idx="108">
                  <c:v>92</c:v>
                </c:pt>
                <c:pt idx="109">
                  <c:v>62</c:v>
                </c:pt>
                <c:pt idx="110">
                  <c:v>50</c:v>
                </c:pt>
                <c:pt idx="111">
                  <c:v>114</c:v>
                </c:pt>
                <c:pt idx="112">
                  <c:v>83</c:v>
                </c:pt>
                <c:pt idx="113">
                  <c:v>65</c:v>
                </c:pt>
                <c:pt idx="114">
                  <c:v>21</c:v>
                </c:pt>
                <c:pt idx="115">
                  <c:v>92</c:v>
                </c:pt>
                <c:pt idx="116">
                  <c:v>40</c:v>
                </c:pt>
                <c:pt idx="117">
                  <c:v>40</c:v>
                </c:pt>
                <c:pt idx="118">
                  <c:v>57</c:v>
                </c:pt>
                <c:pt idx="119">
                  <c:v>24</c:v>
                </c:pt>
                <c:pt idx="120">
                  <c:v>238</c:v>
                </c:pt>
                <c:pt idx="121">
                  <c:v>54</c:v>
                </c:pt>
                <c:pt idx="122">
                  <c:v>104</c:v>
                </c:pt>
                <c:pt idx="123">
                  <c:v>84</c:v>
                </c:pt>
                <c:pt idx="124">
                  <c:v>33</c:v>
                </c:pt>
                <c:pt idx="125">
                  <c:v>78</c:v>
                </c:pt>
                <c:pt idx="126">
                  <c:v>36</c:v>
                </c:pt>
                <c:pt idx="127">
                  <c:v>67</c:v>
                </c:pt>
                <c:pt idx="128">
                  <c:v>20</c:v>
                </c:pt>
                <c:pt idx="129">
                  <c:v>78</c:v>
                </c:pt>
                <c:pt idx="130">
                  <c:v>40</c:v>
                </c:pt>
                <c:pt idx="131">
                  <c:v>51</c:v>
                </c:pt>
                <c:pt idx="132">
                  <c:v>91</c:v>
                </c:pt>
                <c:pt idx="133">
                  <c:v>50</c:v>
                </c:pt>
                <c:pt idx="134">
                  <c:v>96</c:v>
                </c:pt>
                <c:pt idx="135">
                  <c:v>80</c:v>
                </c:pt>
                <c:pt idx="136">
                  <c:v>96</c:v>
                </c:pt>
                <c:pt idx="137">
                  <c:v>154</c:v>
                </c:pt>
                <c:pt idx="138">
                  <c:v>103</c:v>
                </c:pt>
                <c:pt idx="139">
                  <c:v>38</c:v>
                </c:pt>
                <c:pt idx="140">
                  <c:v>65</c:v>
                </c:pt>
                <c:pt idx="141">
                  <c:v>150</c:v>
                </c:pt>
                <c:pt idx="142">
                  <c:v>64</c:v>
                </c:pt>
                <c:pt idx="143">
                  <c:v>120</c:v>
                </c:pt>
                <c:pt idx="144">
                  <c:v>210</c:v>
                </c:pt>
                <c:pt idx="145">
                  <c:v>144</c:v>
                </c:pt>
                <c:pt idx="146">
                  <c:v>90</c:v>
                </c:pt>
                <c:pt idx="147">
                  <c:v>31</c:v>
                </c:pt>
                <c:pt idx="148">
                  <c:v>65</c:v>
                </c:pt>
                <c:pt idx="149">
                  <c:v>170</c:v>
                </c:pt>
                <c:pt idx="150">
                  <c:v>72</c:v>
                </c:pt>
                <c:pt idx="151">
                  <c:v>40</c:v>
                </c:pt>
                <c:pt idx="152">
                  <c:v>73</c:v>
                </c:pt>
                <c:pt idx="153">
                  <c:v>122</c:v>
                </c:pt>
                <c:pt idx="154">
                  <c:v>100</c:v>
                </c:pt>
                <c:pt idx="155">
                  <c:v>123</c:v>
                </c:pt>
                <c:pt idx="156">
                  <c:v>91</c:v>
                </c:pt>
                <c:pt idx="157">
                  <c:v>90</c:v>
                </c:pt>
                <c:pt idx="158">
                  <c:v>100</c:v>
                </c:pt>
                <c:pt idx="159">
                  <c:v>96</c:v>
                </c:pt>
                <c:pt idx="160">
                  <c:v>93</c:v>
                </c:pt>
                <c:pt idx="161">
                  <c:v>112</c:v>
                </c:pt>
                <c:pt idx="162">
                  <c:v>56</c:v>
                </c:pt>
                <c:pt idx="163">
                  <c:v>106</c:v>
                </c:pt>
                <c:pt idx="164">
                  <c:v>51</c:v>
                </c:pt>
                <c:pt idx="165">
                  <c:v>140</c:v>
                </c:pt>
                <c:pt idx="166">
                  <c:v>124</c:v>
                </c:pt>
                <c:pt idx="167">
                  <c:v>150</c:v>
                </c:pt>
                <c:pt idx="168">
                  <c:v>125</c:v>
                </c:pt>
                <c:pt idx="169">
                  <c:v>127</c:v>
                </c:pt>
                <c:pt idx="170">
                  <c:v>150</c:v>
                </c:pt>
                <c:pt idx="171">
                  <c:v>144</c:v>
                </c:pt>
                <c:pt idx="172">
                  <c:v>144</c:v>
                </c:pt>
                <c:pt idx="173">
                  <c:v>38</c:v>
                </c:pt>
                <c:pt idx="174">
                  <c:v>98</c:v>
                </c:pt>
                <c:pt idx="175">
                  <c:v>64</c:v>
                </c:pt>
                <c:pt idx="176">
                  <c:v>42</c:v>
                </c:pt>
                <c:pt idx="177">
                  <c:v>46</c:v>
                </c:pt>
                <c:pt idx="178">
                  <c:v>72</c:v>
                </c:pt>
              </c:numCache>
            </c:numRef>
          </c:xVal>
          <c:yVal>
            <c:numRef>
              <c:f>'8(3)| Serv. Table (SQLFinal)'!$AB$2:$AB$180</c:f>
              <c:numCache>
                <c:formatCode>General</c:formatCode>
                <c:ptCount val="179"/>
                <c:pt idx="0">
                  <c:v>5</c:v>
                </c:pt>
                <c:pt idx="1">
                  <c:v>2</c:v>
                </c:pt>
                <c:pt idx="2">
                  <c:v>0</c:v>
                </c:pt>
                <c:pt idx="3">
                  <c:v>11</c:v>
                </c:pt>
                <c:pt idx="4">
                  <c:v>14</c:v>
                </c:pt>
                <c:pt idx="5">
                  <c:v>11</c:v>
                </c:pt>
                <c:pt idx="6">
                  <c:v>1</c:v>
                </c:pt>
                <c:pt idx="7">
                  <c:v>1</c:v>
                </c:pt>
                <c:pt idx="8">
                  <c:v>3</c:v>
                </c:pt>
                <c:pt idx="9">
                  <c:v>0</c:v>
                </c:pt>
                <c:pt idx="10">
                  <c:v>1</c:v>
                </c:pt>
                <c:pt idx="11">
                  <c:v>1</c:v>
                </c:pt>
                <c:pt idx="12">
                  <c:v>2</c:v>
                </c:pt>
                <c:pt idx="13">
                  <c:v>18</c:v>
                </c:pt>
                <c:pt idx="14">
                  <c:v>0</c:v>
                </c:pt>
                <c:pt idx="15">
                  <c:v>0</c:v>
                </c:pt>
                <c:pt idx="16">
                  <c:v>0</c:v>
                </c:pt>
                <c:pt idx="17">
                  <c:v>0</c:v>
                </c:pt>
                <c:pt idx="18">
                  <c:v>0</c:v>
                </c:pt>
                <c:pt idx="19">
                  <c:v>2</c:v>
                </c:pt>
                <c:pt idx="20">
                  <c:v>3</c:v>
                </c:pt>
                <c:pt idx="21">
                  <c:v>1</c:v>
                </c:pt>
                <c:pt idx="22">
                  <c:v>2</c:v>
                </c:pt>
                <c:pt idx="23">
                  <c:v>7</c:v>
                </c:pt>
                <c:pt idx="24">
                  <c:v>2</c:v>
                </c:pt>
                <c:pt idx="25">
                  <c:v>1</c:v>
                </c:pt>
                <c:pt idx="26">
                  <c:v>0</c:v>
                </c:pt>
                <c:pt idx="27">
                  <c:v>0</c:v>
                </c:pt>
                <c:pt idx="28">
                  <c:v>2</c:v>
                </c:pt>
                <c:pt idx="29">
                  <c:v>4</c:v>
                </c:pt>
                <c:pt idx="30">
                  <c:v>2</c:v>
                </c:pt>
                <c:pt idx="31">
                  <c:v>7</c:v>
                </c:pt>
                <c:pt idx="32">
                  <c:v>12</c:v>
                </c:pt>
                <c:pt idx="33">
                  <c:v>13</c:v>
                </c:pt>
                <c:pt idx="34">
                  <c:v>8</c:v>
                </c:pt>
                <c:pt idx="35">
                  <c:v>3</c:v>
                </c:pt>
                <c:pt idx="36">
                  <c:v>4</c:v>
                </c:pt>
                <c:pt idx="37">
                  <c:v>3</c:v>
                </c:pt>
                <c:pt idx="38">
                  <c:v>7</c:v>
                </c:pt>
                <c:pt idx="39">
                  <c:v>6</c:v>
                </c:pt>
                <c:pt idx="40">
                  <c:v>0</c:v>
                </c:pt>
                <c:pt idx="41">
                  <c:v>2</c:v>
                </c:pt>
                <c:pt idx="42">
                  <c:v>7</c:v>
                </c:pt>
                <c:pt idx="43">
                  <c:v>6</c:v>
                </c:pt>
                <c:pt idx="44">
                  <c:v>10</c:v>
                </c:pt>
                <c:pt idx="45">
                  <c:v>1</c:v>
                </c:pt>
                <c:pt idx="46">
                  <c:v>3</c:v>
                </c:pt>
                <c:pt idx="47">
                  <c:v>0</c:v>
                </c:pt>
                <c:pt idx="48">
                  <c:v>3</c:v>
                </c:pt>
                <c:pt idx="49">
                  <c:v>20</c:v>
                </c:pt>
                <c:pt idx="50">
                  <c:v>10</c:v>
                </c:pt>
                <c:pt idx="51">
                  <c:v>2</c:v>
                </c:pt>
                <c:pt idx="52">
                  <c:v>5</c:v>
                </c:pt>
                <c:pt idx="53">
                  <c:v>3</c:v>
                </c:pt>
                <c:pt idx="54">
                  <c:v>13</c:v>
                </c:pt>
                <c:pt idx="55">
                  <c:v>10</c:v>
                </c:pt>
                <c:pt idx="56">
                  <c:v>0</c:v>
                </c:pt>
                <c:pt idx="57">
                  <c:v>1</c:v>
                </c:pt>
                <c:pt idx="58">
                  <c:v>0</c:v>
                </c:pt>
                <c:pt idx="59">
                  <c:v>11</c:v>
                </c:pt>
                <c:pt idx="60">
                  <c:v>8</c:v>
                </c:pt>
                <c:pt idx="61">
                  <c:v>0</c:v>
                </c:pt>
                <c:pt idx="62">
                  <c:v>6</c:v>
                </c:pt>
                <c:pt idx="63">
                  <c:v>4</c:v>
                </c:pt>
                <c:pt idx="64">
                  <c:v>1</c:v>
                </c:pt>
                <c:pt idx="65">
                  <c:v>6</c:v>
                </c:pt>
                <c:pt idx="66">
                  <c:v>2</c:v>
                </c:pt>
                <c:pt idx="67">
                  <c:v>21</c:v>
                </c:pt>
                <c:pt idx="68">
                  <c:v>8</c:v>
                </c:pt>
                <c:pt idx="69">
                  <c:v>5</c:v>
                </c:pt>
                <c:pt idx="70">
                  <c:v>7</c:v>
                </c:pt>
                <c:pt idx="71">
                  <c:v>5</c:v>
                </c:pt>
                <c:pt idx="72">
                  <c:v>3</c:v>
                </c:pt>
                <c:pt idx="73">
                  <c:v>0</c:v>
                </c:pt>
                <c:pt idx="74">
                  <c:v>3</c:v>
                </c:pt>
                <c:pt idx="75">
                  <c:v>62</c:v>
                </c:pt>
                <c:pt idx="76">
                  <c:v>1</c:v>
                </c:pt>
                <c:pt idx="77">
                  <c:v>4</c:v>
                </c:pt>
                <c:pt idx="78">
                  <c:v>6</c:v>
                </c:pt>
                <c:pt idx="79">
                  <c:v>3</c:v>
                </c:pt>
                <c:pt idx="80">
                  <c:v>49</c:v>
                </c:pt>
                <c:pt idx="81">
                  <c:v>6</c:v>
                </c:pt>
                <c:pt idx="82">
                  <c:v>1</c:v>
                </c:pt>
                <c:pt idx="83">
                  <c:v>13</c:v>
                </c:pt>
                <c:pt idx="84">
                  <c:v>1</c:v>
                </c:pt>
                <c:pt idx="85">
                  <c:v>4</c:v>
                </c:pt>
                <c:pt idx="86">
                  <c:v>12</c:v>
                </c:pt>
                <c:pt idx="87">
                  <c:v>7</c:v>
                </c:pt>
                <c:pt idx="88">
                  <c:v>2</c:v>
                </c:pt>
                <c:pt idx="89">
                  <c:v>0</c:v>
                </c:pt>
                <c:pt idx="90">
                  <c:v>43</c:v>
                </c:pt>
                <c:pt idx="91">
                  <c:v>2</c:v>
                </c:pt>
                <c:pt idx="92">
                  <c:v>9</c:v>
                </c:pt>
                <c:pt idx="93">
                  <c:v>6</c:v>
                </c:pt>
                <c:pt idx="94">
                  <c:v>17</c:v>
                </c:pt>
                <c:pt idx="95">
                  <c:v>2</c:v>
                </c:pt>
                <c:pt idx="96">
                  <c:v>6</c:v>
                </c:pt>
                <c:pt idx="97">
                  <c:v>3</c:v>
                </c:pt>
                <c:pt idx="98">
                  <c:v>7</c:v>
                </c:pt>
                <c:pt idx="99">
                  <c:v>0</c:v>
                </c:pt>
                <c:pt idx="100">
                  <c:v>2</c:v>
                </c:pt>
                <c:pt idx="101">
                  <c:v>12</c:v>
                </c:pt>
                <c:pt idx="102">
                  <c:v>6</c:v>
                </c:pt>
                <c:pt idx="103">
                  <c:v>11</c:v>
                </c:pt>
                <c:pt idx="104">
                  <c:v>65</c:v>
                </c:pt>
                <c:pt idx="105">
                  <c:v>16</c:v>
                </c:pt>
                <c:pt idx="106">
                  <c:v>6</c:v>
                </c:pt>
                <c:pt idx="107">
                  <c:v>5</c:v>
                </c:pt>
                <c:pt idx="108">
                  <c:v>33</c:v>
                </c:pt>
                <c:pt idx="109">
                  <c:v>14</c:v>
                </c:pt>
                <c:pt idx="110">
                  <c:v>8</c:v>
                </c:pt>
                <c:pt idx="111">
                  <c:v>2</c:v>
                </c:pt>
                <c:pt idx="112">
                  <c:v>63</c:v>
                </c:pt>
                <c:pt idx="113">
                  <c:v>14</c:v>
                </c:pt>
                <c:pt idx="114">
                  <c:v>1</c:v>
                </c:pt>
                <c:pt idx="115">
                  <c:v>7</c:v>
                </c:pt>
                <c:pt idx="116">
                  <c:v>33</c:v>
                </c:pt>
                <c:pt idx="117">
                  <c:v>13</c:v>
                </c:pt>
                <c:pt idx="118">
                  <c:v>24</c:v>
                </c:pt>
                <c:pt idx="119">
                  <c:v>11</c:v>
                </c:pt>
                <c:pt idx="120">
                  <c:v>22</c:v>
                </c:pt>
                <c:pt idx="121">
                  <c:v>0</c:v>
                </c:pt>
                <c:pt idx="122">
                  <c:v>0</c:v>
                </c:pt>
                <c:pt idx="123">
                  <c:v>23</c:v>
                </c:pt>
                <c:pt idx="124">
                  <c:v>1</c:v>
                </c:pt>
                <c:pt idx="125">
                  <c:v>2</c:v>
                </c:pt>
                <c:pt idx="126">
                  <c:v>1</c:v>
                </c:pt>
                <c:pt idx="127">
                  <c:v>0</c:v>
                </c:pt>
                <c:pt idx="128">
                  <c:v>1</c:v>
                </c:pt>
                <c:pt idx="129">
                  <c:v>1</c:v>
                </c:pt>
                <c:pt idx="130">
                  <c:v>1</c:v>
                </c:pt>
                <c:pt idx="131">
                  <c:v>2</c:v>
                </c:pt>
                <c:pt idx="132">
                  <c:v>0</c:v>
                </c:pt>
                <c:pt idx="133">
                  <c:v>1</c:v>
                </c:pt>
                <c:pt idx="134">
                  <c:v>0</c:v>
                </c:pt>
                <c:pt idx="135">
                  <c:v>1</c:v>
                </c:pt>
                <c:pt idx="136">
                  <c:v>0</c:v>
                </c:pt>
                <c:pt idx="137">
                  <c:v>4</c:v>
                </c:pt>
                <c:pt idx="138">
                  <c:v>4</c:v>
                </c:pt>
                <c:pt idx="139">
                  <c:v>6</c:v>
                </c:pt>
                <c:pt idx="140">
                  <c:v>11</c:v>
                </c:pt>
                <c:pt idx="141">
                  <c:v>12</c:v>
                </c:pt>
                <c:pt idx="142">
                  <c:v>9</c:v>
                </c:pt>
                <c:pt idx="143">
                  <c:v>12</c:v>
                </c:pt>
                <c:pt idx="144">
                  <c:v>40</c:v>
                </c:pt>
                <c:pt idx="145">
                  <c:v>16</c:v>
                </c:pt>
                <c:pt idx="146">
                  <c:v>6</c:v>
                </c:pt>
                <c:pt idx="147">
                  <c:v>1</c:v>
                </c:pt>
                <c:pt idx="148">
                  <c:v>4</c:v>
                </c:pt>
                <c:pt idx="149">
                  <c:v>1</c:v>
                </c:pt>
                <c:pt idx="150">
                  <c:v>0</c:v>
                </c:pt>
                <c:pt idx="151">
                  <c:v>1</c:v>
                </c:pt>
                <c:pt idx="152">
                  <c:v>0</c:v>
                </c:pt>
                <c:pt idx="153">
                  <c:v>11</c:v>
                </c:pt>
                <c:pt idx="154">
                  <c:v>1</c:v>
                </c:pt>
                <c:pt idx="155">
                  <c:v>0</c:v>
                </c:pt>
                <c:pt idx="156">
                  <c:v>2</c:v>
                </c:pt>
                <c:pt idx="157">
                  <c:v>7</c:v>
                </c:pt>
                <c:pt idx="158">
                  <c:v>2</c:v>
                </c:pt>
                <c:pt idx="159">
                  <c:v>2</c:v>
                </c:pt>
                <c:pt idx="160">
                  <c:v>1</c:v>
                </c:pt>
                <c:pt idx="161">
                  <c:v>2</c:v>
                </c:pt>
                <c:pt idx="162">
                  <c:v>6</c:v>
                </c:pt>
                <c:pt idx="163">
                  <c:v>7</c:v>
                </c:pt>
                <c:pt idx="164">
                  <c:v>0</c:v>
                </c:pt>
                <c:pt idx="165">
                  <c:v>3</c:v>
                </c:pt>
                <c:pt idx="166">
                  <c:v>4</c:v>
                </c:pt>
                <c:pt idx="167">
                  <c:v>1</c:v>
                </c:pt>
                <c:pt idx="168">
                  <c:v>13</c:v>
                </c:pt>
                <c:pt idx="169">
                  <c:v>2</c:v>
                </c:pt>
                <c:pt idx="170">
                  <c:v>1</c:v>
                </c:pt>
                <c:pt idx="171">
                  <c:v>16</c:v>
                </c:pt>
                <c:pt idx="172">
                  <c:v>11</c:v>
                </c:pt>
                <c:pt idx="173">
                  <c:v>0</c:v>
                </c:pt>
                <c:pt idx="174">
                  <c:v>3</c:v>
                </c:pt>
                <c:pt idx="175">
                  <c:v>2</c:v>
                </c:pt>
                <c:pt idx="176">
                  <c:v>11</c:v>
                </c:pt>
                <c:pt idx="177">
                  <c:v>8</c:v>
                </c:pt>
                <c:pt idx="178">
                  <c:v>6</c:v>
                </c:pt>
              </c:numCache>
            </c:numRef>
          </c:yVal>
          <c:smooth val="0"/>
        </c:ser>
        <c:dLbls>
          <c:showLegendKey val="0"/>
          <c:showVal val="0"/>
          <c:showCatName val="0"/>
          <c:showSerName val="0"/>
          <c:showPercent val="0"/>
          <c:showBubbleSize val="0"/>
        </c:dLbls>
        <c:axId val="224353168"/>
        <c:axId val="224350424"/>
      </c:scatterChart>
      <c:valAx>
        <c:axId val="224353168"/>
        <c:scaling>
          <c:orientation val="minMax"/>
          <c:max val="37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dirty="0">
                    <a:latin typeface="Calibri" panose="020F0502020204030204" pitchFamily="34" charset="0"/>
                    <a:cs typeface="Calibri" panose="020F0502020204030204" pitchFamily="34" charset="0"/>
                  </a:rPr>
                  <a:t>Residential places</a:t>
                </a:r>
              </a:p>
            </c:rich>
          </c:tx>
          <c:layout>
            <c:manualLayout>
              <c:xMode val="edge"/>
              <c:yMode val="edge"/>
              <c:x val="0.40569557367065884"/>
              <c:y val="0.888079438658877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005EB8"/>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50424"/>
        <c:crosses val="autoZero"/>
        <c:crossBetween val="midCat"/>
      </c:valAx>
      <c:valAx>
        <c:axId val="224350424"/>
        <c:scaling>
          <c:orientation val="minMax"/>
          <c:max val="7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dirty="0">
                    <a:latin typeface="Calibri" panose="020F0502020204030204" pitchFamily="34" charset="0"/>
                    <a:cs typeface="Calibri" panose="020F0502020204030204" pitchFamily="34" charset="0"/>
                  </a:rPr>
                  <a:t>Incidents</a:t>
                </a:r>
              </a:p>
            </c:rich>
          </c:tx>
          <c:layout>
            <c:manualLayout>
              <c:xMode val="edge"/>
              <c:yMode val="edge"/>
              <c:x val="2.1709633649932156E-2"/>
              <c:y val="0.377897987045974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005EB8"/>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53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9146678917509"/>
          <c:y val="6.6050382237252195E-2"/>
          <c:w val="0.85870844892789011"/>
          <c:h val="0.75292284324332048"/>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 Analysis - Type 1 Freq'!$C$145:$C$150</c:f>
              <c:strCache>
                <c:ptCount val="6"/>
                <c:pt idx="0">
                  <c:v>Feb</c:v>
                </c:pt>
                <c:pt idx="1">
                  <c:v>Mar</c:v>
                </c:pt>
                <c:pt idx="2">
                  <c:v>Apr</c:v>
                </c:pt>
                <c:pt idx="3">
                  <c:v>May</c:v>
                </c:pt>
                <c:pt idx="4">
                  <c:v>Jun</c:v>
                </c:pt>
                <c:pt idx="5">
                  <c:v>Jul</c:v>
                </c:pt>
              </c:strCache>
            </c:strRef>
          </c:cat>
          <c:val>
            <c:numRef>
              <c:f>'9(2)| Analysis - Type 1 Freq'!$D$145:$D$150</c:f>
              <c:numCache>
                <c:formatCode>General</c:formatCode>
                <c:ptCount val="6"/>
                <c:pt idx="0">
                  <c:v>181</c:v>
                </c:pt>
                <c:pt idx="1">
                  <c:v>215</c:v>
                </c:pt>
                <c:pt idx="2">
                  <c:v>182</c:v>
                </c:pt>
                <c:pt idx="3">
                  <c:v>209</c:v>
                </c:pt>
                <c:pt idx="4">
                  <c:v>204</c:v>
                </c:pt>
                <c:pt idx="5">
                  <c:v>268</c:v>
                </c:pt>
              </c:numCache>
            </c:numRef>
          </c:val>
          <c:smooth val="0"/>
        </c:ser>
        <c:dLbls>
          <c:showLegendKey val="0"/>
          <c:showVal val="0"/>
          <c:showCatName val="0"/>
          <c:showSerName val="0"/>
          <c:showPercent val="0"/>
          <c:showBubbleSize val="0"/>
        </c:dLbls>
        <c:smooth val="0"/>
        <c:axId val="224348856"/>
        <c:axId val="224346896"/>
      </c:lineChart>
      <c:catAx>
        <c:axId val="224348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Months </a:t>
                </a:r>
              </a:p>
            </c:rich>
          </c:tx>
          <c:layout>
            <c:manualLayout>
              <c:xMode val="edge"/>
              <c:yMode val="edge"/>
              <c:x val="0.45721962841483349"/>
              <c:y val="0.91541666368137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24346896"/>
        <c:crosses val="autoZero"/>
        <c:auto val="1"/>
        <c:lblAlgn val="ctr"/>
        <c:lblOffset val="100"/>
        <c:noMultiLvlLbl val="0"/>
      </c:catAx>
      <c:valAx>
        <c:axId val="224346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Incidents</a:t>
                </a:r>
              </a:p>
            </c:rich>
          </c:tx>
          <c:layout>
            <c:manualLayout>
              <c:xMode val="edge"/>
              <c:yMode val="edge"/>
              <c:x val="2.5323561149157577E-2"/>
              <c:y val="0.378455597536195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48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'9(2)| Analysis - Type 1 Freq'!$E$85</c:f>
              <c:strCache>
                <c:ptCount val="1"/>
                <c:pt idx="0">
                  <c:v>Bin 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'9(2.1)| Analysis - Type 1 Type'!$F$14:$F$16</c:f>
              <c:strCache>
                <c:ptCount val="3"/>
                <c:pt idx="0">
                  <c:v>Unreasonable Use of Force</c:v>
                </c:pt>
                <c:pt idx="1">
                  <c:v>Unlawful Sexual Contact</c:v>
                </c:pt>
                <c:pt idx="2">
                  <c:v>Unable to Determine</c:v>
                </c:pt>
              </c:strCache>
            </c:strRef>
          </c:cat>
          <c:val>
            <c:numRef>
              <c:f>'9(2.1)| Analysis - Type 1 Type'!$D$14:$D$16</c:f>
              <c:numCache>
                <c:formatCode>_-* #,##0_-;\-* #,##0_-;_-* "-"??_-;_-@_-</c:formatCode>
                <c:ptCount val="3"/>
                <c:pt idx="0">
                  <c:v>1197</c:v>
                </c:pt>
                <c:pt idx="1">
                  <c:v>56</c:v>
                </c:pt>
                <c:pt idx="2">
                  <c:v>7</c:v>
                </c:pt>
              </c:numCache>
            </c:numRef>
          </c:val>
        </c:ser>
        <c:dLbls>
          <c:dLblPos val="outEnd"/>
          <c:showLegendKey val="0"/>
          <c:showVal val="1"/>
          <c:showCatName val="0"/>
          <c:showSerName val="0"/>
          <c:showPercent val="0"/>
          <c:showBubbleSize val="0"/>
        </c:dLbls>
        <c:gapWidth val="219"/>
        <c:axId val="224351208"/>
        <c:axId val="224347680"/>
      </c:barChart>
      <c:catAx>
        <c:axId val="224351208"/>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Assualt Type</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005EB8"/>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47680"/>
        <c:crosses val="autoZero"/>
        <c:auto val="1"/>
        <c:lblAlgn val="ctr"/>
        <c:lblOffset val="100"/>
        <c:noMultiLvlLbl val="0"/>
      </c:catAx>
      <c:valAx>
        <c:axId val="224347680"/>
        <c:scaling>
          <c:orientation val="minMax"/>
          <c:max val="1250"/>
          <c:min val="0"/>
        </c:scaling>
        <c:delete val="0"/>
        <c:axPos val="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Incidents where Assault Type</a:t>
                </a:r>
                <a:r>
                  <a:rPr lang="en-AU" b="1" baseline="0">
                    <a:solidFill>
                      <a:sysClr val="windowText" lastClr="000000"/>
                    </a:solidFill>
                  </a:rPr>
                  <a:t> reported</a:t>
                </a:r>
                <a:endParaRPr lang="en-AU"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rgbClr val="005EB8"/>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351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KPMGGlobalActiveStatus xmlns="http://schemas.microsoft.com/sharepoint/v3/fields">true</KPMGGlobalActiveStatus>
    <Expires xmlns="http://schemas.microsoft.com/sharepoint/v3">2017-03-21T13:00:00+00:00</Expires>
    <KPMGGlobalPrimaryOwner xmlns="http://schemas.microsoft.com/sharepoint/v3/fields">Knowledge Management</KPMGGlobalPrimaryOwner>
    <KPMGGlobalBusinessStrategy xmlns="http://schemas.microsoft.com/sharepoint/v3/fields" xsi:nil="true"/>
    <KPMGGlobalTechnology xmlns="http://schemas.microsoft.com/sharepoint/v3/fields" xsi:nil="true"/>
    <KPMGGlobalDocumentCategory xmlns="http://schemas.microsoft.com/sharepoint/v3/fields" xsi:nil="true"/>
    <Page_x0020_surfaced xmlns="3d90914e-7310-46c4-983f-766c5f1d36ac">Other</Page_x0020_surfaced>
    <KPMGMW3Language xmlns="http://schemas.microsoft.com/sharepoint/v3">English</KPMGMW3Language>
    <KPMGGlobalRegion xmlns="http://schemas.microsoft.com/sharepoint/v3/fields">;#Asia Pacific;#</KPMGGlobalRegion>
    <KPMGGlobalAbstract xmlns="http://schemas.microsoft.com/sharepoint/v3/fields" xsi:nil="true"/>
    <KPMGMW3IndustrySectorSubSectorSelection xmlns="http://schemas.microsoft.com/sharepoint/v3/fields" xsi:nil="true"/>
    <KPMGGlobalDocumentTypeSelection xmlns="http://schemas.microsoft.com/sharepoint/v3/fields">;#;# ;;;#</KPMGGlobalDocumentTypeSelection>
    <KPMGMW3FunctionSelection xmlns="http://schemas.microsoft.com/sharepoint/v3/fields" xsi:nil="true"/>
    <KPMGGlobalRiskReviewDate xmlns="http://schemas.microsoft.com/sharepoint/v3/fields">2017-03-21T13:00:00+00:00</KPMGGlobalRiskReviewDate>
    <KPMGGlobalCoverage xmlns="http://schemas.microsoft.com/sharepoint/v3/fields">false</KPMGGlobalCoverage>
    <KPMGGlobalAudienceLevel xmlns="http://schemas.microsoft.com/sharepoint/v3/fields" xsi:nil="true"/>
    <KPMGGlobalMediaType xmlns="http://schemas.microsoft.com/sharepoint/v3/fields" xsi:nil="true"/>
    <KPMGGlobalBusinessProcess xmlns="http://schemas.microsoft.com/sharepoint/v3/fields" xsi:nil="true"/>
    <KPMGMW3DocumentType xmlns="http://schemas.microsoft.com/sharepoint/v3/fields">None Selected</KPMGMW3DocumentType>
    <KPMGGlobalContentUse xmlns="http://schemas.microsoft.com/sharepoint/v3/fields" xsi:nil="true"/>
    <Specific_x0020_location xmlns="a1d7f779-96df-4eeb-9a29-8a6430dabac8" xsi:nil="true"/>
    <KPMGGlobalDocumentType xmlns="http://schemas.microsoft.com/sharepoint/v3/fields"> ;</KPMGGlobalDocumentType>
    <KPMGMW3Geography xmlns="http://schemas.microsoft.com/sharepoint/v3">;#Australia;#</KPMGMW3Geography>
    <KPMGGlobalPublicationDate xmlns="http://schemas.microsoft.com/sharepoint/v3/fields">2016-03-21T13:00:00+00:00</KPMGGlobalPublicationDate>
    <KPMGGlobalCountry xmlns="http://schemas.microsoft.com/sharepoint/v3/fields">Australia</KPMGGlobalCountry>
    <KPMGGlobalRiskReviewEntity xmlns="http://schemas.microsoft.com/sharepoint/v3/fields" xsi:nil="true"/>
    <KPMGGlobalRiskReviewer xmlns="http://schemas.microsoft.com/sharepoint/v3/fields" xsi:nil="true"/>
    <KPMGMW3SubService xmlns="http://schemas.microsoft.com/sharepoint/v3/fields" xsi:nil="true"/>
    <KPMGMW3Sector xmlns="http://schemas.microsoft.com/sharepoint/v3/fields" xsi:nil="true"/>
    <KPMGMW3Function xmlns="http://schemas.microsoft.com/sharepoint/v3/fields" xsi:nil="true"/>
    <KPMGMW3SubSector xmlns="http://schemas.microsoft.com/sharepoint/v3/fields" xsi:nil="true"/>
    <KPMGMW3Service xmlns="http://schemas.microsoft.com/sharepoint/v3/fields" xsi:nil="true"/>
  </documentManagement>
</p:properties>
</file>

<file path=customXml/item2.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3.xml><?xml version="1.0" encoding="utf-8"?>
<?mso-contentType ?>
<FormTemplates xmlns="http://schemas.microsoft.com/sharepoint/v3/contenttype/forms">
  <Display>GlobalDocumentLibraryForm</Display>
  <Edit>GlobalDocumentLibraryForm</Edit>
</FormTemplates>
</file>

<file path=customXml/item4.xml><?xml version="1.0" encoding="utf-8"?>
<ct:contentTypeSchema xmlns:ct="http://schemas.microsoft.com/office/2006/metadata/contentType" xmlns:ma="http://schemas.microsoft.com/office/2006/metadata/properties/metaAttributes" ct:_="" ma:_="" ma:contentTypeName="KPMG Microweb 3 Document" ma:contentTypeID="0x01010D000E458D123657A74D9D11D2886CB37A8B" ma:contentTypeVersion="47" ma:contentTypeDescription="KPMG Microweb 3 Document" ma:contentTypeScope="" ma:versionID="eed7fd7c186d5923c904465c7fcd6b2e">
  <xsd:schema xmlns:xsd="http://www.w3.org/2001/XMLSchema" xmlns:p="http://schemas.microsoft.com/office/2006/metadata/properties" xmlns:ns1="http://schemas.microsoft.com/sharepoint/v3" xmlns:ns2="http://schemas.microsoft.com/sharepoint/v3/fields" xmlns:ns3="a1d7f779-96df-4eeb-9a29-8a6430dabac8" xmlns:ns4="3d90914e-7310-46c4-983f-766c5f1d36ac" targetNamespace="http://schemas.microsoft.com/office/2006/metadata/properties" ma:root="true" ma:fieldsID="16eee0ef725e04d6f7c45f5d7a6f6bd0" ns1:_="" ns2:_="" ns3:_="" ns4:_="">
    <xsd:import namespace="http://schemas.microsoft.com/sharepoint/v3"/>
    <xsd:import namespace="http://schemas.microsoft.com/sharepoint/v3/fields"/>
    <xsd:import namespace="a1d7f779-96df-4eeb-9a29-8a6430dabac8"/>
    <xsd:import namespace="3d90914e-7310-46c4-983f-766c5f1d36ac"/>
    <xsd:element name="properties">
      <xsd:complexType>
        <xsd:sequence>
          <xsd:element name="documentManagement">
            <xsd:complexType>
              <xsd:all>
                <xsd:element ref="ns2:KPMGGlobalAbstract" minOccurs="0"/>
                <xsd:element ref="ns2:KPMGGlobalDocumentTypeSelection" minOccurs="0"/>
                <xsd:element ref="ns2:KPMGGlobalDocumentCategory" minOccurs="0"/>
                <xsd:element ref="ns2:KPMGGlobalDocumentType" minOccurs="0"/>
                <xsd:element ref="ns2:KPMGMW3DocumentType" minOccurs="0"/>
                <xsd:element ref="ns2:KPMGGlobalMediaType" minOccurs="0"/>
                <xsd:element ref="ns1:KPMGMW3Language"/>
                <xsd:element ref="ns2:KPMGGlobalCoverage" minOccurs="0"/>
                <xsd:element ref="ns2:KPMGGlobalRegion" minOccurs="0"/>
                <xsd:element ref="ns2:KPMGGlobalCountry"/>
                <xsd:element ref="ns1:KPMGMW3Geography" minOccurs="0"/>
                <xsd:element ref="ns2:KPMGMW3FunctionSelection" minOccurs="0"/>
                <xsd:element ref="ns2:KPMGMW3IndustrySectorSubSectorSelection" minOccurs="0"/>
                <xsd:element ref="ns2:KPMGGlobalAudienceLevel" minOccurs="0"/>
                <xsd:element ref="ns2:KPMGGlobalContentUse" minOccurs="0"/>
                <xsd:element ref="ns2:KPMGGlobalBusinessStrategy" minOccurs="0"/>
                <xsd:element ref="ns2:KPMGGlobalBusinessProcess" minOccurs="0"/>
                <xsd:element ref="ns2:KPMGGlobalTechnology" minOccurs="0"/>
                <xsd:element ref="ns2:KPMGGlobalActiveStatus"/>
                <xsd:element ref="ns2:KPMGGlobalPrimaryOwner"/>
                <xsd:element ref="ns2:KPMGGlobalPublicationDate"/>
                <xsd:element ref="ns2:KPMGGlobalRiskReviewEntity" minOccurs="0"/>
                <xsd:element ref="ns1:Expires"/>
                <xsd:element ref="ns2:KPMGGlobalRiskReviewDate" minOccurs="0"/>
                <xsd:element ref="ns2:KPMGGlobalRiskReviewer" minOccurs="0"/>
                <xsd:element ref="ns2:KPMGMW3SubService" minOccurs="0"/>
                <xsd:element ref="ns2:KPMGMW3Sector" minOccurs="0"/>
                <xsd:element ref="ns3:Specific_x0020_location" minOccurs="0"/>
                <xsd:element ref="ns2:KPMGMW3SubSector" minOccurs="0"/>
                <xsd:element ref="ns2:KPMGMW3Service" minOccurs="0"/>
                <xsd:element ref="ns2:KPMGMW3Function" minOccurs="0"/>
                <xsd:element ref="ns4:Page_x0020_surfaced"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10" ma:displayName="Language" ma:description="The Primary Language in which the content is written or spoken" ma:internalName="KPMGMW3Language" ma:readOnly="false">
      <xsd:simpleType>
        <xsd:restriction base="dms:Unknown"/>
      </xsd:simpleType>
    </xsd:element>
    <xsd:element name="KPMGMW3Geography" ma:index="14" nillable="true" ma:displayName="Geographic coverage" ma:description="NOTE: old field being replaced by 'Region' and 'Country'" ma:internalName="KPMGMW3Geography">
      <xsd:simpleType>
        <xsd:restriction base="dms:Unknown"/>
      </xsd:simpleType>
    </xsd:element>
    <xsd:element name="Expires" ma:index="26" ma:displayName="Expiry Date" ma:description="Identifies the date the content is targeted for review or removal" ma:format="DateOnly" ma:internalName="Expires" ma:readOnly="false">
      <xsd:simpleType>
        <xsd:restriction base="dms:DateTim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GlobalAbstract" ma:index="3" nillable="true" ma:displayName="Abstract" ma:description="A brief description of the content introducing it to users prior to opening; helps users judge relevance (recommend 25-35 words)" ma:internalName="KPMGGlobalAbstract" ma:readOnly="false">
      <xsd:simpleType>
        <xsd:restriction base="dms:Unknown"/>
      </xsd:simpleType>
    </xsd:element>
    <xsd:element name="KPMGGlobalDocumentTypeSelection" ma:index="5" nillable="true" ma:displayName="Document Category / Document Type V2" ma:description="Two-level classifier of the content based on its role in a business process" ma:internalName="KPMGGlobalDocumentTypeSelection" ma:readOnly="false">
      <xsd:simpleType>
        <xsd:restriction base="dms:Unknown"/>
      </xsd:simpleType>
    </xsd:element>
    <xsd:element name="KPMGGlobalDocumentCategory" ma:index="6" nillable="true" ma:displayName="Document Category" ma:description="Identifies and classifies the resource at a high level based on its role in a business process." ma:internalName="KPMGGlobalDocumentCategory" ma:readOnly="false">
      <xsd:simpleType>
        <xsd:restriction base="dms:Unknown"/>
      </xsd:simpleType>
    </xsd:element>
    <xsd:element name="KPMGGlobalDocumentType" ma:index="7" nillable="true" ma:displayName="Document Type V2" ma:description="A child of document Category, it further describes and classifies document in more detail." ma:internalName="KPMGGlobalDocumentType" ma:readOnly="false">
      <xsd:simpleType>
        <xsd:restriction base="dms:Unknown"/>
      </xsd:simpleType>
    </xsd:element>
    <xsd:element name="KPMGMW3DocumentType" ma:index="8" nillable="true" ma:displayName="Document Type" ma:description="NOTE: old field being replaced by 'Document Category / Document Type'" ma:internalName="KPMGMW3DocumentType" ma:readOnly="false">
      <xsd:simpleType>
        <xsd:restriction base="dms:Unknown"/>
      </xsd:simpleType>
    </xsd:element>
    <xsd:element name="KPMGGlobalMediaType" ma:index="9" nillable="true" ma:displayName="Media Type" ma:description="Format of the content" ma:internalName="KPMGGlobalMediaType" ma:readOnly="false">
      <xsd:simpleType>
        <xsd:restriction base="dms:Unknown"/>
      </xsd:simpleType>
    </xsd:element>
    <xsd:element name="KPMGGlobalCoverage" ma:index="11" nillable="true" ma:displayName="Global Coverage" ma:description="Click ‘yes’ if content has global applicability or use in more than one country" ma:internalName="KPMGGlobalCoverage" ma:readOnly="false">
      <xsd:simpleType>
        <xsd:restriction base="dms:Unknown"/>
      </xsd:simpleType>
    </xsd:element>
    <xsd:element name="KPMGGlobalRegion" ma:index="12" nillable="true" ma:displayName="Region" ma:description="Identifies the Global Region(s) for which the content is applicable" ma:internalName="KPMGGlobalRegion" ma:readOnly="false">
      <xsd:simpleType>
        <xsd:restriction base="dms:Unknown"/>
      </xsd:simpleType>
    </xsd:element>
    <xsd:element name="KPMGGlobalCountry" ma:index="13" ma:displayName="Global Country" ma:description="Identifies the Country who owns the content and where it was created" ma:internalName="KPMGGlobalCountry" ma:readOnly="false">
      <xsd:simpleType>
        <xsd:restriction base="dms:Unknown"/>
      </xsd:simpleType>
    </xsd:element>
    <xsd:element name="KPMGMW3FunctionSelection" ma:index="15" nillable="true" ma:displayName="Function/Service/SubService Selection" ma:description="Identifies the KPMG Function/Service/Subservice for which the content is applicable" ma:internalName="KPMGMW3FunctionSelection">
      <xsd:simpleType>
        <xsd:restriction base="dms:Unknown"/>
      </xsd:simpleType>
    </xsd:element>
    <xsd:element name="KPMGMW3IndustrySectorSubSectorSelection" ma:index="16" nillable="true" ma:displayName="Industry Sector/SubSector Selection" ma:description="Classifies the Markets Industry/Sector for which the content is applicable" ma:internalName="KPMGMW3IndustrySectorSubSectorSelection">
      <xsd:simpleType>
        <xsd:restriction base="dms:Unknown"/>
      </xsd:simpleType>
    </xsd:element>
    <xsd:element name="KPMGGlobalAudienceLevel" ma:index="17" nillable="true" ma:displayName="Audience Level" ma:description="All, Partner, Sr. Mgr., Mgr., Associate" ma:internalName="KPMGGlobalAudienceLevel" ma:readOnly="false">
      <xsd:simpleType>
        <xsd:restriction base="dms:Unknown"/>
      </xsd:simpleType>
    </xsd:element>
    <xsd:element name="KPMGGlobalContentUse" ma:index="18" nillable="true" ma:displayName="Content Use" ma:description="Select 'Internal' for internal use only or 'Internal/External' for public use" ma:internalName="KPMGGlobalContentUse" ma:readOnly="false">
      <xsd:simpleType>
        <xsd:restriction base="dms:Unknown"/>
      </xsd:simpleType>
    </xsd:element>
    <xsd:element name="KPMGGlobalBusinessStrategy" ma:index="19" nillable="true" ma:displayName="Business Strategy" ma:description="The plans, approaches or policies the business has designed to meet their aims and objectives" ma:internalName="KPMGGlobalBusinessStrategy" ma:readOnly="false">
      <xsd:simpleType>
        <xsd:restriction base="dms:Unknown"/>
      </xsd:simpleType>
    </xsd:element>
    <xsd:element name="KPMGGlobalBusinessProcess" ma:index="20" nillable="true" ma:displayName="Business Process" ma:description="Standard activities performed by a client to achieve their business objectives" ma:internalName="KPMGGlobalBusinessProcess" ma:readOnly="false">
      <xsd:simpleType>
        <xsd:restriction base="dms:Unknown"/>
      </xsd:simpleType>
    </xsd:element>
    <xsd:element name="KPMGGlobalTechnology" ma:index="21" nillable="true" ma:displayName="Technology" ma:description="System, application, platform or other technology component which is relevant to the content" ma:internalName="KPMGGlobalTechnology" ma:readOnly="false">
      <xsd:simpleType>
        <xsd:restriction base="dms:Unknown"/>
      </xsd:simpleType>
    </xsd:element>
    <xsd:element name="KPMGGlobalActiveStatus" ma:index="22" ma:displayName="Active Status" ma:default="1" ma:description="Check to make content viewable and searchable; useful for maintaining freshness of site" ma:internalName="KPMGGlobalActiveStatus" ma:readOnly="false">
      <xsd:simpleType>
        <xsd:restriction base="dms:Unknown"/>
      </xsd:simpleType>
    </xsd:element>
    <xsd:element name="KPMGGlobalPrimaryOwner" ma:index="23" ma:displayName="Primary Owner" ma:description="Identifies the function, industry, business group which owns the content" ma:internalName="KPMGGlobalPrimaryOwner" ma:readOnly="false">
      <xsd:simpleType>
        <xsd:restriction base="dms:Unknown"/>
      </xsd:simpleType>
    </xsd:element>
    <xsd:element name="KPMGGlobalPublicationDate" ma:index="24" ma:displayName="Publication Date" ma:description="Date the content was published" ma:format="DateOnly" ma:internalName="KPMGGlobalPublicationDate" ma:readOnly="false">
      <xsd:simpleType>
        <xsd:restriction base="dms:Unknown"/>
      </xsd:simpleType>
    </xsd:element>
    <xsd:element name="KPMGGlobalRiskReviewEntity" ma:index="25" nillable="true" ma:displayName="Risk Review Entity" ma:description="If the content requires a Risk Review, this element shows the entity that reviewed the content for risk exposure" ma:internalName="KPMGGlobalRiskReviewEntity" ma:readOnly="false">
      <xsd:simpleType>
        <xsd:restriction base="dms:Unknown"/>
      </xsd:simpleType>
    </xsd:element>
    <xsd:element name="KPMGGlobalRiskReviewDate" ma:index="27" nillable="true" ma:displayName="Risk Review Date" ma:description="Date the content was reviewed for risk exposure" ma:format="DateOnly" ma:internalName="KPMGGlobalRiskReviewDate" ma:readOnly="false">
      <xsd:simpleType>
        <xsd:restriction base="dms:Unknown"/>
      </xsd:simpleType>
    </xsd:element>
    <xsd:element name="KPMGGlobalRiskReviewer" ma:index="28" nillable="true" ma:displayName="Risk Reviewer" ma:description="Name of the person who reviewed the content for risk exposure" ma:list="UserInfo" ma:internalName="KPMGGlobalRiskReviewer" ma:readOnly="false" ma:showField="ImnName">
      <xsd:simpleType>
        <xsd:restriction base="dms:Unknown"/>
      </xsd:simpleType>
    </xsd:element>
    <xsd:element name="KPMGMW3SubService" ma:index="30" nillable="true" ma:displayName="Sub Service" ma:description="Identifies the KPMG sub service which is discussed or targeted in this folder" ma:internalName="KPMGMW3SubService" ma:readOnly="true">
      <xsd:simpleType>
        <xsd:restriction base="dms:Text"/>
      </xsd:simpleType>
    </xsd:element>
    <xsd:element name="KPMGMW3Sector" ma:index="32" nillable="true" ma:displayName="Sector" ma:description="Sector" ma:internalName="KPMGMW3Sector" ma:readOnly="true">
      <xsd:simpleType>
        <xsd:restriction base="dms:Text"/>
      </xsd:simpleType>
    </xsd:element>
    <xsd:element name="KPMGMW3SubSector" ma:index="38" nillable="true" ma:displayName="Sub Sector" ma:description="Sub Sector" ma:internalName="KPMGMW3SubSector" ma:readOnly="true">
      <xsd:simpleType>
        <xsd:restriction base="dms:Text"/>
      </xsd:simpleType>
    </xsd:element>
    <xsd:element name="KPMGMW3Service" ma:index="40" nillable="true" ma:displayName="Service" ma:description="Identifies the KPMG service which is discussed or targeted in this folder" ma:internalName="KPMGMW3Service" ma:readOnly="true">
      <xsd:simpleType>
        <xsd:restriction base="dms:Text"/>
      </xsd:simpleType>
    </xsd:element>
    <xsd:element name="KPMGMW3Function" ma:index="41" nillable="true" ma:displayName="Function" ma:description="Function" ma:internalName="KPMGMW3Function" ma:readOnly="true">
      <xsd:simpleType>
        <xsd:restriction base="dms:Text"/>
      </xsd:simpleType>
    </xsd:element>
  </xsd:schema>
  <xsd:schema xmlns:xsd="http://www.w3.org/2001/XMLSchema" xmlns:dms="http://schemas.microsoft.com/office/2006/documentManagement/types" targetNamespace="a1d7f779-96df-4eeb-9a29-8a6430dabac8" elementFormDefault="qualified">
    <xsd:import namespace="http://schemas.microsoft.com/office/2006/documentManagement/types"/>
    <xsd:element name="Specific_x0020_location" ma:index="37" nillable="true" ma:displayName="Specific location" ma:format="RadioButtons" ma:internalName="Specific_x0020_location">
      <xsd:simpleType>
        <xsd:restriction base="dms:Choice">
          <xsd:enumeration value="Adelaide"/>
          <xsd:enumeration value="Brisbane"/>
          <xsd:enumeration value="Canberra"/>
          <xsd:enumeration value="Gold Coast"/>
          <xsd:enumeration value="Melbourne"/>
          <xsd:enumeration value="Perth"/>
          <xsd:enumeration value="Sydney"/>
        </xsd:restriction>
      </xsd:simpleType>
    </xsd:element>
  </xsd:schema>
  <xsd:schema xmlns:xsd="http://www.w3.org/2001/XMLSchema" xmlns:dms="http://schemas.microsoft.com/office/2006/documentManagement/types" targetNamespace="3d90914e-7310-46c4-983f-766c5f1d36ac" elementFormDefault="qualified">
    <xsd:import namespace="http://schemas.microsoft.com/office/2006/documentManagement/types"/>
    <xsd:element name="Page_x0020_surfaced" ma:index="42" nillable="true" ma:displayName="Page surfaced" ma:default="Other" ma:format="Dropdown" ma:internalName="Page_x0020_surfaced">
      <xsd:simpleType>
        <xsd:restriction base="dms:Choice">
          <xsd:enumeration value="Other"/>
          <xsd:enumeration value="Program divisional lea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0" ma:displayName="Title"/>
        <xsd:element ref="dc:subject" minOccurs="0" maxOccurs="1"/>
        <xsd:element ref="dc:description" maxOccurs="1" ma:index="29" ma:displayName="Comments"/>
        <xsd:element name="keywords" maxOccurs="1" ma:index="4" ma:displayName="Keywords">
          <xsd:simpleType>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C8F6A-D513-410D-8D21-A9AEA5240034}">
  <ds:schemaRefs>
    <ds:schemaRef ds:uri="3d90914e-7310-46c4-983f-766c5f1d36ac"/>
    <ds:schemaRef ds:uri="http://purl.org/dc/elements/1.1/"/>
    <ds:schemaRef ds:uri="http://schemas.microsoft.com/office/2006/metadata/properties"/>
    <ds:schemaRef ds:uri="http://schemas.microsoft.com/sharepoint/v3"/>
    <ds:schemaRef ds:uri="a1d7f779-96df-4eeb-9a29-8a6430dabac8"/>
    <ds:schemaRef ds:uri="http://purl.org/dc/terms/"/>
    <ds:schemaRef ds:uri="http://schemas.openxmlformats.org/package/2006/metadata/core-properties"/>
    <ds:schemaRef ds:uri="http://schemas.microsoft.com/office/2006/documentManagement/type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B030CBB7-6B04-4E63-8444-C535D96E3D6A}">
  <ds:schemaRefs>
    <ds:schemaRef ds:uri="http://schemas.microsoft.com/sharepoint/events"/>
  </ds:schemaRefs>
</ds:datastoreItem>
</file>

<file path=customXml/itemProps3.xml><?xml version="1.0" encoding="utf-8"?>
<ds:datastoreItem xmlns:ds="http://schemas.openxmlformats.org/officeDocument/2006/customXml" ds:itemID="{E09BDE5F-1BF1-4273-B8CB-9EC538706428}">
  <ds:schemaRefs>
    <ds:schemaRef ds:uri="http://schemas.microsoft.com/sharepoint/v3/contenttype/forms"/>
  </ds:schemaRefs>
</ds:datastoreItem>
</file>

<file path=customXml/itemProps4.xml><?xml version="1.0" encoding="utf-8"?>
<ds:datastoreItem xmlns:ds="http://schemas.openxmlformats.org/officeDocument/2006/customXml" ds:itemID="{2A76A16A-A0D5-49A4-BC3C-3C2F43B9E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a1d7f779-96df-4eeb-9a29-8a6430dabac8"/>
    <ds:schemaRef ds:uri="3d90914e-7310-46c4-983f-766c5f1d36a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D9DE459-3EF9-41A3-8B4E-1986E414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23870</Words>
  <Characters>136061</Characters>
  <Application>Microsoft Office Word</Application>
  <DocSecurity>8</DocSecurity>
  <Lines>1133</Lines>
  <Paragraphs>319</Paragraphs>
  <ScaleCrop>false</ScaleCrop>
  <HeadingPairs>
    <vt:vector size="2" baseType="variant">
      <vt:variant>
        <vt:lpstr>Title</vt:lpstr>
      </vt:variant>
      <vt:variant>
        <vt:i4>1</vt:i4>
      </vt:variant>
    </vt:vector>
  </HeadingPairs>
  <TitlesOfParts>
    <vt:vector size="1" baseType="lpstr">
      <vt:lpstr>KPMG Portrait Report Word Template Option 2</vt:lpstr>
    </vt:vector>
  </TitlesOfParts>
  <Company>KPMG</Company>
  <LinksUpToDate>false</LinksUpToDate>
  <CharactersWithSpaces>159612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 Portrait Report Word Template Option 2</dc:title>
  <dc:subject/>
  <dc:creator>Collins, Kathy</dc:creator>
  <cp:keywords>KPMG Portrait Report Word Template Option 2; New brand template; word template;</cp:keywords>
  <dc:description/>
  <cp:lastModifiedBy>Haylen, Laura</cp:lastModifiedBy>
  <cp:revision>3</cp:revision>
  <dcterms:created xsi:type="dcterms:W3CDTF">2020-06-03T04:55:00Z</dcterms:created>
  <dcterms:modified xsi:type="dcterms:W3CDTF">2020-06-04T22:14:00Z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0x01010D000E458D123657A74D9D11D2886CB37A8B</vt:lpwstr>
  </property>
</Properties>
</file>