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69" w:rsidRPr="00820269" w:rsidRDefault="008064A2" w:rsidP="00820269">
      <w:pPr>
        <w:rPr>
          <w:rFonts w:ascii="Arial Narrow" w:hAnsi="Arial Narrow"/>
          <w:b/>
          <w:sz w:val="48"/>
          <w:szCs w:val="48"/>
        </w:rPr>
      </w:pPr>
      <w:r w:rsidRPr="00C1513D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5E303075" wp14:editId="27553830">
            <wp:simplePos x="0" y="0"/>
            <wp:positionH relativeFrom="column">
              <wp:posOffset>5041868</wp:posOffset>
            </wp:positionH>
            <wp:positionV relativeFrom="paragraph">
              <wp:posOffset>-158115</wp:posOffset>
            </wp:positionV>
            <wp:extent cx="1819275" cy="436880"/>
            <wp:effectExtent l="0" t="0" r="9525" b="1270"/>
            <wp:wrapNone/>
            <wp:docPr id="2" name="Picture 2" descr="C:\Users\kristena\AppData\Local\Temp\1\7zO4A1FBF26\DH_inlin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ena\AppData\Local\Temp\1\7zO4A1FBF26\DH_inline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DCEAC8E" wp14:editId="13FF51A4">
                <wp:simplePos x="0" y="0"/>
                <wp:positionH relativeFrom="column">
                  <wp:posOffset>-53498</wp:posOffset>
                </wp:positionH>
                <wp:positionV relativeFrom="paragraph">
                  <wp:posOffset>220345</wp:posOffset>
                </wp:positionV>
                <wp:extent cx="4819015" cy="1047750"/>
                <wp:effectExtent l="0" t="0" r="635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015" cy="1047750"/>
                          <a:chOff x="0" y="0"/>
                          <a:chExt cx="4109085" cy="737821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4089720" cy="215628"/>
                            <a:chOff x="-295277" y="-9525"/>
                            <a:chExt cx="6653144" cy="215628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-295277" y="-9525"/>
                              <a:ext cx="4312897" cy="214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40B5" w:rsidRPr="008064A2" w:rsidRDefault="00BB40B5" w:rsidP="00BB40B5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064A2">
                                  <w:rPr>
                                    <w:rFonts w:ascii="Arial" w:hAnsi="Arial" w:cs="Arial"/>
                                    <w:b/>
                                  </w:rPr>
                                  <w:t>INTRODUCTION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-138328" y="176964"/>
                              <a:ext cx="6496195" cy="2913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/>
                        <wps:spPr>
                          <a:xfrm>
                            <a:off x="0" y="220081"/>
                            <a:ext cx="4109085" cy="517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508C" w:rsidRPr="008064A2" w:rsidRDefault="0010508C" w:rsidP="0010508C">
                              <w:pPr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064A2"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 xml:space="preserve">OSHC is </w:t>
                              </w:r>
                              <w:r w:rsidR="00C617F0" w:rsidRPr="008064A2"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 xml:space="preserve">private </w:t>
                              </w:r>
                              <w:r w:rsidRPr="008064A2"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 xml:space="preserve">health insurance to assist overseas students and their </w:t>
                              </w:r>
                              <w:r w:rsidR="00D71F1B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dependa</w:t>
                              </w:r>
                              <w:r w:rsidR="00537BF1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nts</w:t>
                              </w:r>
                              <w:r w:rsidR="00537BF1" w:rsidRPr="008064A2"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D71F1B" w:rsidRPr="008064A2"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 xml:space="preserve">with </w:t>
                              </w:r>
                              <w:r w:rsidRPr="008064A2"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>meet</w:t>
                              </w:r>
                              <w:r w:rsidR="00D71F1B" w:rsidRPr="008064A2"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>ing</w:t>
                              </w:r>
                              <w:r w:rsidRPr="008064A2"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 xml:space="preserve"> the costs of unplanned medical and hospital care which they may need while undertaking formal studies in Australia. OSHC includes ambulance cover and limited pharmaceutical items.</w:t>
                              </w:r>
                            </w:p>
                            <w:p w:rsidR="00BB40B5" w:rsidRPr="000441AE" w:rsidRDefault="00BB40B5" w:rsidP="00BB40B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EAC8E" id="Group 27" o:spid="_x0000_s1026" style="position:absolute;margin-left:-4.2pt;margin-top:17.35pt;width:379.45pt;height:82.5pt;z-index:251655168;mso-width-relative:margin;mso-height-relative:margin" coordsize="41090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">
                <v:group id="Group 5" o:spid="_x0000_s1027" style="position:absolute;width:40897;height:2156" coordorigin="-2952,-95" coordsize="66531,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2952;top:-95;width:43128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  <v:textbox>
                      <w:txbxContent>
                        <w:p w:rsidR="00BB40B5" w:rsidRPr="008064A2" w:rsidRDefault="00BB40B5" w:rsidP="00BB40B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064A2">
                            <w:rPr>
                              <w:rFonts w:ascii="Arial" w:hAnsi="Arial" w:cs="Arial"/>
                              <w:b/>
                            </w:rPr>
                            <w:t>INTRODUCTION</w:t>
                          </w:r>
                        </w:p>
                      </w:txbxContent>
                    </v:textbox>
                  </v:shape>
                  <v:rect id="Rectangle 6" o:spid="_x0000_s1029" style="position:absolute;left:-1383;top:1769;width:64961;height: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" fillcolor="#d8d8d8 [2732]" strokecolor="#d8d8d8 [2732]" strokeweight="1.5pt">
                    <v:stroke endcap="square"/>
                  </v:rect>
                </v:group>
                <v:shape id="Text Box 15" o:spid="_x0000_s1030" type="#_x0000_t202" style="position:absolute;top:2200;width:41090;height:5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10508C" w:rsidRPr="008064A2" w:rsidRDefault="0010508C" w:rsidP="0010508C">
                        <w:pPr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8064A2"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OSHC is </w:t>
                        </w:r>
                        <w:r w:rsidR="00C617F0" w:rsidRPr="008064A2"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private </w:t>
                        </w:r>
                        <w:r w:rsidRPr="008064A2"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health insurance to assist overseas students and their </w:t>
                        </w:r>
                        <w:r w:rsidR="00D71F1B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dependa</w:t>
                        </w:r>
                        <w:r w:rsidR="00537BF1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nts</w:t>
                        </w:r>
                        <w:r w:rsidR="00537BF1" w:rsidRPr="008064A2"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D71F1B" w:rsidRPr="008064A2"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with </w:t>
                        </w:r>
                        <w:r w:rsidRPr="008064A2"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meet</w:t>
                        </w:r>
                        <w:r w:rsidR="00D71F1B" w:rsidRPr="008064A2"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ing</w:t>
                        </w:r>
                        <w:r w:rsidRPr="008064A2"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the costs of unplanned medical and hospital care which they may need while undertaking formal studies in Australia. OSHC includes ambulance cover and limited pharmaceutical items.</w:t>
                        </w:r>
                      </w:p>
                      <w:p w:rsidR="00BB40B5" w:rsidRPr="000441AE" w:rsidRDefault="00BB40B5" w:rsidP="00BB40B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20269" w:rsidRPr="004149A0">
        <w:rPr>
          <w:rFonts w:ascii="Arial Narrow" w:hAnsi="Arial Narrow"/>
          <w:b/>
          <w:color w:val="1F497D" w:themeColor="text2"/>
          <w:sz w:val="28"/>
          <w:szCs w:val="28"/>
        </w:rPr>
        <w:t>OVERSEAS STUDENT HEALTH COVER (OSHC)</w:t>
      </w:r>
      <w:r w:rsidR="00983659">
        <w:rPr>
          <w:rFonts w:ascii="Arial Narrow" w:hAnsi="Arial Narrow"/>
          <w:b/>
          <w:color w:val="1F497D" w:themeColor="text2"/>
          <w:sz w:val="28"/>
          <w:szCs w:val="28"/>
        </w:rPr>
        <w:t xml:space="preserve"> - </w:t>
      </w:r>
      <w:r w:rsidR="00983659" w:rsidRPr="00983659">
        <w:rPr>
          <w:rFonts w:ascii="Arial Narrow" w:hAnsi="Arial Narrow"/>
          <w:b/>
          <w:color w:val="1F497D" w:themeColor="text2"/>
          <w:sz w:val="28"/>
          <w:szCs w:val="28"/>
        </w:rPr>
        <w:t>FACT SHEET</w:t>
      </w:r>
      <w:r w:rsidR="00820269" w:rsidRPr="004149A0">
        <w:rPr>
          <w:rFonts w:ascii="Arial Narrow" w:hAnsi="Arial Narrow"/>
          <w:b/>
          <w:color w:val="0070C0"/>
        </w:rPr>
        <w:tab/>
      </w:r>
      <w:r w:rsidR="00820269" w:rsidRPr="00820269">
        <w:rPr>
          <w:rFonts w:ascii="Arial Narrow" w:hAnsi="Arial Narrow"/>
          <w:b/>
        </w:rPr>
        <w:tab/>
      </w:r>
      <w:r w:rsidR="00820269" w:rsidRPr="00820269">
        <w:rPr>
          <w:rFonts w:ascii="Arial Narrow" w:hAnsi="Arial Narrow"/>
          <w:b/>
        </w:rPr>
        <w:tab/>
      </w:r>
      <w:r w:rsidR="002564B7">
        <w:rPr>
          <w:rFonts w:ascii="Arial Narrow" w:hAnsi="Arial Narrow"/>
          <w:b/>
        </w:rPr>
        <w:tab/>
      </w:r>
    </w:p>
    <w:p w:rsidR="00BB40B5" w:rsidRDefault="00BB40B5" w:rsidP="002F3AE3"/>
    <w:p w:rsidR="002564B7" w:rsidRDefault="003A034B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F26243C" wp14:editId="7BA80859">
                <wp:simplePos x="0" y="0"/>
                <wp:positionH relativeFrom="column">
                  <wp:posOffset>4924425</wp:posOffset>
                </wp:positionH>
                <wp:positionV relativeFrom="paragraph">
                  <wp:posOffset>31750</wp:posOffset>
                </wp:positionV>
                <wp:extent cx="2016125" cy="9867900"/>
                <wp:effectExtent l="0" t="0" r="22225" b="0"/>
                <wp:wrapNone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6125" cy="9867900"/>
                          <a:chOff x="-102263" y="24318"/>
                          <a:chExt cx="2069288" cy="4124555"/>
                        </a:xfrm>
                      </wpg:grpSpPr>
                      <wpg:grpSp>
                        <wpg:cNvPr id="450" name="Group 450"/>
                        <wpg:cNvGrpSpPr/>
                        <wpg:grpSpPr>
                          <a:xfrm>
                            <a:off x="-81529" y="24318"/>
                            <a:ext cx="2048554" cy="200687"/>
                            <a:chOff x="-539448" y="14793"/>
                            <a:chExt cx="6135175" cy="200687"/>
                          </a:xfrm>
                        </wpg:grpSpPr>
                        <wps:wsp>
                          <wps:cNvPr id="451" name="Text Box 451"/>
                          <wps:cNvSpPr txBox="1"/>
                          <wps:spPr>
                            <a:xfrm>
                              <a:off x="-539448" y="14793"/>
                              <a:ext cx="4235153" cy="2006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64B7" w:rsidRPr="008064A2" w:rsidRDefault="002564B7" w:rsidP="002564B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064A2">
                                  <w:rPr>
                                    <w:rFonts w:ascii="Arial" w:hAnsi="Arial" w:cs="Arial"/>
                                    <w:b/>
                                  </w:rPr>
                                  <w:t>KEY FACTS</w:t>
                                </w:r>
                              </w:p>
                              <w:p w:rsidR="002564B7" w:rsidRPr="00B87701" w:rsidRDefault="002564B7" w:rsidP="002564B7">
                                <w:pPr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Rectangle 452"/>
                          <wps:cNvSpPr/>
                          <wps:spPr>
                            <a:xfrm flipV="1">
                              <a:off x="-219070" y="127548"/>
                              <a:ext cx="5814797" cy="208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3" name="Text Box 453"/>
                        <wps:cNvSpPr txBox="1"/>
                        <wps:spPr>
                          <a:xfrm>
                            <a:off x="-102263" y="157922"/>
                            <a:ext cx="2048554" cy="39909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64B7" w:rsidRPr="006E477F" w:rsidRDefault="005F6A7F" w:rsidP="002564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426" w:hanging="42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OSHC is a </w:t>
                              </w:r>
                              <w:r w:rsidR="002564B7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condition of the Student Visa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 This is mandated by the Department of Home Affairs. It is a condition that o</w:t>
                              </w:r>
                              <w:r w:rsidR="002564B7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verseas student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 and their depend</w:t>
                              </w:r>
                              <w:r w:rsidR="00E22F9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nts</w:t>
                              </w:r>
                              <w:r w:rsidR="002564B7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maintain </w:t>
                              </w:r>
                              <w:r w:rsidR="002564B7" w:rsidRPr="006E477F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adequate arrangements for health insurance</w:t>
                              </w:r>
                              <w:r w:rsidR="002564B7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for the duration of the 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intended </w:t>
                              </w:r>
                              <w:r w:rsidR="002564B7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Student Visa 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period or </w:t>
                              </w:r>
                              <w:r w:rsidR="002564B7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 Student Visa 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will </w:t>
                              </w:r>
                              <w:r w:rsidR="002E525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be cancelled. </w:t>
                              </w:r>
                            </w:p>
                            <w:p w:rsidR="002564B7" w:rsidRPr="006E477F" w:rsidRDefault="002564B7" w:rsidP="002564B7">
                              <w:pPr>
                                <w:pStyle w:val="ListParagraph"/>
                                <w:ind w:left="42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2E5258" w:rsidRPr="001F6BEF" w:rsidRDefault="002E5258" w:rsidP="002E525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426" w:hanging="42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BE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Exceptions from the requirement of OSHC apply only to students that are:</w:t>
                              </w:r>
                            </w:p>
                            <w:p w:rsidR="002E5258" w:rsidRPr="001F6BEF" w:rsidRDefault="002E5258" w:rsidP="002E5258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BE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Norwegian students covered by the Norwegian National Insurance Scheme;</w:t>
                              </w:r>
                            </w:p>
                            <w:p w:rsidR="002E5258" w:rsidRPr="001F6BEF" w:rsidRDefault="002E5258" w:rsidP="002E5258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BE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Swedish students covered by Kammarkollegiet; and </w:t>
                              </w:r>
                            </w:p>
                            <w:p w:rsidR="002E5258" w:rsidRPr="001F6BEF" w:rsidRDefault="002E5258" w:rsidP="002E5258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BE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Belgian students covered under the Reciprocal Health Care Agreement with Australia.</w:t>
                              </w:r>
                            </w:p>
                            <w:p w:rsidR="002E5258" w:rsidRPr="001F6BEF" w:rsidRDefault="002E5258" w:rsidP="002E5258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BE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However, it is important to note that these arrangements (generally) do not cover services that are considered ‘general treatment’ or ‘extras’ and these students may wish to consider separately obtaining such cover.</w:t>
                              </w:r>
                            </w:p>
                            <w:p w:rsidR="002E5258" w:rsidRDefault="002E5258" w:rsidP="002E5258">
                              <w:pPr>
                                <w:pStyle w:val="ListParagraph"/>
                                <w:ind w:left="42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72114" w:rsidRPr="006E477F" w:rsidRDefault="00B72114" w:rsidP="00B7211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426" w:hanging="42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OSHC must be purchased </w:t>
                              </w:r>
                              <w:r w:rsidRPr="006E477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before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arrival in Australia and must be ali</w:t>
                              </w:r>
                              <w:r w:rsidR="009E40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gned with the intended Student V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isa period – evidence of OSHC is required at time of Student Visa application. An ove</w:t>
                              </w:r>
                              <w:r w:rsidR="004F43F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rseas student (and their dependa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nts) </w:t>
                              </w:r>
                              <w:r w:rsidRPr="006E477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cannot 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enter Australia until the OSHC policy has commenced.</w:t>
                              </w:r>
                              <w:r w:rsidRPr="006E477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72114" w:rsidRPr="006E477F" w:rsidRDefault="00B72114" w:rsidP="00B72114">
                              <w:pPr>
                                <w:pStyle w:val="ListParagraph"/>
                                <w:ind w:left="42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72114" w:rsidRPr="006E477F" w:rsidRDefault="00B72114" w:rsidP="00B7211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426" w:hanging="42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While in Australia, overseas students can transfer their cover to another OSHC insurer if they choose</w:t>
                              </w:r>
                              <w:r w:rsid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provid</w:t>
                              </w:r>
                              <w:r w:rsidR="004D2017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ing their cover does not lapse (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overseas students must never be without OSHC while in Australia</w:t>
                              </w:r>
                              <w:r w:rsidR="004D2017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).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Waiting periods served with one insurer will count toward waiting periods with the new insurer.</w:t>
                              </w:r>
                            </w:p>
                            <w:p w:rsidR="002564B7" w:rsidRPr="006E477F" w:rsidRDefault="002564B7" w:rsidP="002564B7">
                              <w:pPr>
                                <w:pStyle w:val="ListParagrap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83659" w:rsidRPr="006E477F" w:rsidRDefault="00983659" w:rsidP="008378D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426" w:hanging="42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If an overseas student encounters a problem with their policy they should contact their insurer. They may also </w:t>
                              </w:r>
                              <w:r w:rsidR="00E61AA9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choose 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to contact the Commonwealth Ombudsman for </w:t>
                              </w:r>
                              <w:r w:rsid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further advice and </w:t>
                              </w:r>
                              <w:r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assistance via </w:t>
                              </w:r>
                              <w:hyperlink r:id="rId8" w:history="1">
                                <w:r w:rsidRPr="00E656D2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www.ombudsman.gov.au</w:t>
                                </w:r>
                              </w:hyperlink>
                              <w:r w:rsidR="00E61AA9" w:rsidRPr="006E477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61AA9" w:rsidRPr="006E477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6243C" id="Group 449" o:spid="_x0000_s1031" style="position:absolute;margin-left:387.75pt;margin-top:2.5pt;width:158.75pt;height:777pt;z-index:251668480;mso-width-relative:margin;mso-height-relative:margin" coordorigin="-1022,243" coordsize="20692,4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">
                <v:group id="Group 450" o:spid="_x0000_s1032" style="position:absolute;left:-815;top:243;width:20485;height:2007" coordorigin="-5394,147" coordsize="61351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1" o:spid="_x0000_s1033" type="#_x0000_t202" style="position:absolute;left:-5394;top:147;width:42351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" fillcolor="white [3201]" stroked="f" strokeweight=".5pt">
                    <v:textbox>
                      <w:txbxContent>
                        <w:p w:rsidR="002564B7" w:rsidRPr="008064A2" w:rsidRDefault="002564B7" w:rsidP="002564B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064A2">
                            <w:rPr>
                              <w:rFonts w:ascii="Arial" w:hAnsi="Arial" w:cs="Arial"/>
                              <w:b/>
                            </w:rPr>
                            <w:t>KEY FACTS</w:t>
                          </w:r>
                        </w:p>
                        <w:p w:rsidR="002564B7" w:rsidRPr="00B87701" w:rsidRDefault="002564B7" w:rsidP="002564B7">
                          <w:pPr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</w:txbxContent>
                    </v:textbox>
                  </v:shape>
                  <v:rect id="Rectangle 452" o:spid="_x0000_s1034" style="position:absolute;left:-2190;top:1275;width:58147;height:20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" fillcolor="#d8d8d8 [2732]" strokecolor="#d8d8d8 [2732]" strokeweight="1.5pt">
                    <v:stroke endcap="square"/>
                  </v:rect>
                </v:group>
                <v:shape id="Text Box 453" o:spid="_x0000_s1035" type="#_x0000_t202" style="position:absolute;left:-1022;top:1579;width:20484;height:39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" fillcolor="white [3201]" stroked="f" strokeweight=".5pt">
                  <v:textbox>
                    <w:txbxContent>
                      <w:p w:rsidR="002564B7" w:rsidRPr="006E477F" w:rsidRDefault="005F6A7F" w:rsidP="002564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426" w:hanging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OSHC is a </w:t>
                        </w:r>
                        <w:r w:rsidR="002564B7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condition of the Student Visa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 This is mandated by the Department of Home Affairs. It is a condition that o</w:t>
                        </w:r>
                        <w:r w:rsidR="002564B7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verseas student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 and their depend</w:t>
                        </w:r>
                        <w:r w:rsidR="00E22F9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nts</w:t>
                        </w:r>
                        <w:r w:rsidR="002564B7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maintain </w:t>
                        </w:r>
                        <w:r w:rsidR="002564B7" w:rsidRPr="006E477F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adequate arrangements for health insurance</w:t>
                        </w:r>
                        <w:r w:rsidR="002564B7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for the duration of the 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intended </w:t>
                        </w:r>
                        <w:r w:rsidR="002564B7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Student Visa 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period or </w:t>
                        </w:r>
                        <w:r w:rsidR="002564B7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 Student Visa 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will </w:t>
                        </w:r>
                        <w:r w:rsidR="002E52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be cancelled. </w:t>
                        </w:r>
                      </w:p>
                      <w:p w:rsidR="002564B7" w:rsidRPr="006E477F" w:rsidRDefault="002564B7" w:rsidP="002564B7">
                        <w:pPr>
                          <w:pStyle w:val="ListParagraph"/>
                          <w:ind w:left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E5258" w:rsidRPr="001F6BEF" w:rsidRDefault="002E5258" w:rsidP="002E525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426" w:hanging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6BE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Exceptions from the requirement of OSHC apply only to students that are:</w:t>
                        </w:r>
                      </w:p>
                      <w:p w:rsidR="002E5258" w:rsidRPr="001F6BEF" w:rsidRDefault="002E5258" w:rsidP="002E5258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6BE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Norwegian students covered by the Norwegian National Insurance Scheme;</w:t>
                        </w:r>
                      </w:p>
                      <w:p w:rsidR="002E5258" w:rsidRPr="001F6BEF" w:rsidRDefault="002E5258" w:rsidP="002E5258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6BE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Swedish students covered by </w:t>
                        </w:r>
                        <w:proofErr w:type="spellStart"/>
                        <w:r w:rsidRPr="001F6BE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Kammarkollegiet</w:t>
                        </w:r>
                        <w:proofErr w:type="spellEnd"/>
                        <w:r w:rsidRPr="001F6BE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; and </w:t>
                        </w:r>
                      </w:p>
                      <w:p w:rsidR="002E5258" w:rsidRPr="001F6BEF" w:rsidRDefault="002E5258" w:rsidP="002E5258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6BE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Belgian students covered under the Reciprocal Health Care Agreement with Australia.</w:t>
                        </w:r>
                      </w:p>
                      <w:p w:rsidR="002E5258" w:rsidRPr="001F6BEF" w:rsidRDefault="002E5258" w:rsidP="002E5258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6BE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However, it is important to note that these arrangements (generally) do not cover services that are considered ‘general treatment’ or ‘extras’ and these students may wish to consider separately obtaining such cover.</w:t>
                        </w:r>
                      </w:p>
                      <w:p w:rsidR="002E5258" w:rsidRDefault="002E5258" w:rsidP="002E5258">
                        <w:pPr>
                          <w:pStyle w:val="ListParagraph"/>
                          <w:ind w:left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72114" w:rsidRPr="006E477F" w:rsidRDefault="00B72114" w:rsidP="00B7211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426" w:hanging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OSHC must be purchased </w:t>
                        </w:r>
                        <w:r w:rsidRPr="006E477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before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arrival in Australia and must be ali</w:t>
                        </w:r>
                        <w:r w:rsidR="009E40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gned with the intended Student V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isa period – evidence of OSHC is required at time of Student Visa application. An ove</w:t>
                        </w:r>
                        <w:r w:rsidR="004F43F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rseas student (and their dependa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nts) </w:t>
                        </w:r>
                        <w:r w:rsidRPr="006E477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cannot 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enter Australia until the OSHC policy has commenced.</w:t>
                        </w:r>
                        <w:r w:rsidRPr="006E477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72114" w:rsidRPr="006E477F" w:rsidRDefault="00B72114" w:rsidP="00B72114">
                        <w:pPr>
                          <w:pStyle w:val="ListParagraph"/>
                          <w:ind w:left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72114" w:rsidRPr="006E477F" w:rsidRDefault="00B72114" w:rsidP="00B7211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426" w:hanging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While in Australia, overseas students can transfer their cover to another OSHC insurer if they choose</w:t>
                        </w:r>
                        <w:r w:rsid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provid</w:t>
                        </w:r>
                        <w:r w:rsidR="004D2017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ing their cover does not lapse (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overseas students must never be without OSHC while in Australia</w:t>
                        </w:r>
                        <w:r w:rsidR="004D2017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).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Waiting periods served with one insurer will count toward waiting periods with the new insurer.</w:t>
                        </w:r>
                      </w:p>
                      <w:p w:rsidR="002564B7" w:rsidRPr="006E477F" w:rsidRDefault="002564B7" w:rsidP="002564B7">
                        <w:pPr>
                          <w:pStyle w:val="ListParagrap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83659" w:rsidRPr="006E477F" w:rsidRDefault="00983659" w:rsidP="008378D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426" w:hanging="42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If an overseas student encounters a problem with their policy they should contact their insurer. They may also </w:t>
                        </w:r>
                        <w:r w:rsidR="00E61AA9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choose 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to contact the Commonwealth Ombudsman for </w:t>
                        </w:r>
                        <w:r w:rsid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further advice and </w:t>
                        </w:r>
                        <w:r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assistance via </w:t>
                        </w:r>
                        <w:hyperlink r:id="rId9" w:history="1">
                          <w:r w:rsidRPr="00E656D2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www.ombudsman.gov.au</w:t>
                          </w:r>
                        </w:hyperlink>
                        <w:r w:rsidR="00E61AA9" w:rsidRPr="006E477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E61AA9" w:rsidRPr="006E477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40B5" w:rsidRPr="002F3AE3" w:rsidRDefault="008064A2" w:rsidP="002F3AE3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35C0076" wp14:editId="567DE2D9">
                <wp:simplePos x="0" y="0"/>
                <wp:positionH relativeFrom="column">
                  <wp:posOffset>-76200</wp:posOffset>
                </wp:positionH>
                <wp:positionV relativeFrom="paragraph">
                  <wp:posOffset>713740</wp:posOffset>
                </wp:positionV>
                <wp:extent cx="4971415" cy="9026225"/>
                <wp:effectExtent l="0" t="0" r="635" b="3810"/>
                <wp:wrapNone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9026225"/>
                          <a:chOff x="26730" y="-52950"/>
                          <a:chExt cx="4239034" cy="2707437"/>
                        </a:xfrm>
                      </wpg:grpSpPr>
                      <wpg:grpSp>
                        <wpg:cNvPr id="455" name="Group 455"/>
                        <wpg:cNvGrpSpPr/>
                        <wpg:grpSpPr>
                          <a:xfrm>
                            <a:off x="26730" y="-52950"/>
                            <a:ext cx="4090059" cy="118556"/>
                            <a:chOff x="-251793" y="-62475"/>
                            <a:chExt cx="6653697" cy="118556"/>
                          </a:xfrm>
                        </wpg:grpSpPr>
                        <wps:wsp>
                          <wps:cNvPr id="456" name="Text Box 456"/>
                          <wps:cNvSpPr txBox="1"/>
                          <wps:spPr>
                            <a:xfrm>
                              <a:off x="-251793" y="-62475"/>
                              <a:ext cx="4312898" cy="1185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64B7" w:rsidRPr="008064A2" w:rsidRDefault="002564B7" w:rsidP="002564B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064A2">
                                  <w:rPr>
                                    <w:rFonts w:ascii="Arial" w:hAnsi="Arial" w:cs="Arial"/>
                                    <w:b/>
                                  </w:rPr>
                                  <w:t>HOW IT WORKS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Rectangle 457"/>
                          <wps:cNvSpPr/>
                          <wps:spPr>
                            <a:xfrm>
                              <a:off x="-94292" y="28524"/>
                              <a:ext cx="6496196" cy="1794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8" name="Text Box 458"/>
                        <wps:cNvSpPr txBox="1"/>
                        <wps:spPr>
                          <a:xfrm>
                            <a:off x="42974" y="55997"/>
                            <a:ext cx="4222790" cy="2598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9A7" w:rsidRPr="008064A2" w:rsidRDefault="00FF40E1" w:rsidP="003E69A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OSHC products and policies may only be offered by insurers that are a party to the Australian Government </w:t>
                              </w:r>
                              <w:r w:rsidRPr="008064A2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Deed for the Provision of Overseas Student Health Cover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(the Deed).</w:t>
                              </w:r>
                              <w:r w:rsidRPr="008064A2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 Deed sets out conditions with which a registered Australian private health insurer (the insurer) must comply in order to provide OSHC products and policies. </w:t>
                              </w:r>
                            </w:p>
                            <w:p w:rsidR="00FF40E1" w:rsidRPr="008064A2" w:rsidRDefault="00FF40E1" w:rsidP="003E69A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FF40E1" w:rsidRPr="008064A2" w:rsidRDefault="00FF40E1" w:rsidP="00FF40E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There are currently 6 private health insurers operating in Australia which offer OSHC</w:t>
                              </w:r>
                              <w:r w:rsidR="00D42BA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D42BAA" w:rsidRPr="001F6BEF" w:rsidRDefault="00A22057" w:rsidP="00D42BA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BE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ahm OSHC (offered through Medibank Private)</w:t>
                              </w:r>
                            </w:p>
                            <w:p w:rsidR="00D42BAA" w:rsidRPr="008064A2" w:rsidRDefault="00D42BAA" w:rsidP="00D42BA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Allianz Global Assistance (Peoplecare Health) </w:t>
                              </w:r>
                              <w:bookmarkStart w:id="0" w:name="_GoBack"/>
                              <w:bookmarkEnd w:id="0"/>
                            </w:p>
                            <w:p w:rsidR="003E69A7" w:rsidRPr="008064A2" w:rsidRDefault="00456B4A" w:rsidP="004A11CE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Bupa </w:t>
                              </w:r>
                              <w:r w:rsidR="00D42BA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Australia </w:t>
                              </w:r>
                            </w:p>
                            <w:p w:rsidR="00456B4A" w:rsidRPr="008064A2" w:rsidRDefault="00D42BAA" w:rsidP="003E69A7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CBHS International Health </w:t>
                              </w:r>
                            </w:p>
                            <w:p w:rsidR="003E69A7" w:rsidRPr="008064A2" w:rsidRDefault="0079425A" w:rsidP="003E69A7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hyperlink r:id="rId10" w:tooltip="External website link: Medibank Private " w:history="1">
                                <w:r w:rsidR="003E69A7" w:rsidRPr="008064A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Medibank Private </w:t>
                                </w:r>
                              </w:hyperlink>
                              <w:r w:rsidR="00FF40E1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F40E1" w:rsidRPr="008064A2" w:rsidRDefault="0079425A" w:rsidP="00D42BAA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hyperlink r:id="rId11" w:tooltip="External website link: nib" w:history="1">
                                <w:r w:rsidR="00A449B5" w:rsidRPr="008064A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nib</w:t>
                                </w:r>
                              </w:hyperlink>
                            </w:p>
                            <w:p w:rsidR="003E69A7" w:rsidRPr="008064A2" w:rsidRDefault="003E69A7" w:rsidP="003E69A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3E69A7" w:rsidRPr="008064A2" w:rsidRDefault="003E69A7" w:rsidP="003E69A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OSHC can </w:t>
                              </w:r>
                              <w:r w:rsidR="00D42BA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typically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 purchased</w:t>
                              </w:r>
                              <w:r w:rsidR="005714F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directly through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3E69A7" w:rsidRPr="008064A2" w:rsidRDefault="005714F7" w:rsidP="003E69A7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 overseas student’s Educational I</w:t>
                              </w:r>
                              <w:r w:rsidR="003E69A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nstitution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or U</w:t>
                              </w:r>
                              <w:r w:rsidR="000B678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niversity;</w:t>
                              </w:r>
                              <w:r w:rsidR="003E69A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3E69A7" w:rsidRPr="008064A2" w:rsidRDefault="000B678A" w:rsidP="003E69A7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 insurer;</w:t>
                              </w:r>
                            </w:p>
                            <w:p w:rsidR="003E69A7" w:rsidRPr="008064A2" w:rsidRDefault="005714F7" w:rsidP="003E69A7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 </w:t>
                              </w:r>
                              <w:r w:rsidR="003E69A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migration </w:t>
                              </w:r>
                              <w:r w:rsidR="00FC6954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agent; or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3E69A7" w:rsidRPr="008064A2" w:rsidRDefault="005714F7" w:rsidP="003E69A7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an </w:t>
                              </w:r>
                              <w:r w:rsidR="003E69A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education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agent </w:t>
                              </w:r>
                              <w:r w:rsidR="00E75B6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acting as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 intermediary</w:t>
                              </w:r>
                              <w:r w:rsidR="00E75B6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E69A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 behalf of the Education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</w:t>
                              </w:r>
                              <w:r w:rsidR="003E69A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Institution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:rsidR="003E69A7" w:rsidRPr="008064A2" w:rsidRDefault="003E69A7" w:rsidP="003E69A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</w:p>
                            <w:p w:rsidR="00A72713" w:rsidRPr="008064A2" w:rsidRDefault="000B678A" w:rsidP="00A7271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OSHC products and policies vary between individual insurers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so it is important to take note of what is (and is not) covered under each product. </w:t>
                              </w:r>
                              <w:r w:rsidR="00F47FA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While, i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nsurers are required to offer a minimum level of benefits (as set out in the Deed) </w:t>
                              </w:r>
                              <w:r w:rsidR="00F47FA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they 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may choose to</w:t>
                              </w:r>
                              <w:r w:rsidR="002136BC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offer additional 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benefit</w:t>
                              </w:r>
                              <w:r w:rsidR="002136BC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above the minimum as part of </w:t>
                              </w:r>
                              <w:r w:rsid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their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product offering. </w:t>
                              </w:r>
                              <w:r w:rsidR="00111488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These 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additional benefits may include 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‘extras</w:t>
                              </w:r>
                              <w:r w:rsidR="004346DA" w:rsidRPr="008064A2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’</w:t>
                              </w:r>
                              <w:r w:rsidR="00F1361B" w:rsidRPr="008064A2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or</w:t>
                              </w:r>
                              <w:r w:rsidR="00B5433D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include 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higher benefits for certain services. </w:t>
                              </w:r>
                              <w:r w:rsidR="00B5433D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Costs will vary </w:t>
                              </w:r>
                              <w:r w:rsidR="005F6A7F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 will be dependent on the l</w:t>
                              </w:r>
                              <w:r w:rsidR="00B5433D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evel of cover provided by each insurer.</w:t>
                              </w:r>
                            </w:p>
                            <w:p w:rsidR="00E656D2" w:rsidRPr="008064A2" w:rsidRDefault="00E656D2" w:rsidP="00A7271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E656D2" w:rsidRPr="008064A2" w:rsidRDefault="00E656D2" w:rsidP="00E656D2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 </w:t>
                              </w:r>
                              <w:r w:rsidRPr="00BF5A7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Single</w:t>
                              </w:r>
                              <w:r w:rsidRPr="00BF5A7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F5A7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OSHC i</w:t>
                              </w:r>
                              <w:r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nsurance policy </w:t>
                              </w:r>
                              <w:r w:rsidR="00231601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applies to the </w:t>
                              </w:r>
                              <w:r w:rsidR="0079425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verseas </w:t>
                              </w:r>
                              <w:r w:rsidR="0079425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tudent who is the primary Student Visa</w:t>
                              </w:r>
                              <w:r w:rsidR="009D33CC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holder</w:t>
                              </w:r>
                              <w:r w:rsidR="00BF5A78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and</w:t>
                              </w:r>
                              <w:r w:rsidR="001F6BEF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who does not h</w:t>
                              </w:r>
                              <w:r w:rsidR="0033309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ave dependents linked to their Student V</w:t>
                              </w:r>
                              <w:r w:rsidR="001F6BEF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isa</w:t>
                              </w:r>
                              <w:r w:rsidR="00231601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r w:rsidR="009D33CC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 </w:t>
                              </w:r>
                              <w:r w:rsidR="0079425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overseas s</w:t>
                              </w:r>
                              <w:r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tudent with dependants</w:t>
                              </w:r>
                              <w:r w:rsidR="001F6BEF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joining them in Australia</w:t>
                              </w:r>
                              <w:r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9D33CC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 </w:t>
                              </w:r>
                              <w:r w:rsidR="00231601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Couple, Single-Parent </w:t>
                              </w:r>
                              <w:r w:rsidR="009D33CC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and/</w:t>
                              </w:r>
                              <w:r w:rsidR="00231601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or Family OSHC policy applies</w:t>
                              </w:r>
                              <w:r w:rsidR="009D33CC" w:rsidRP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9D33C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1361B" w:rsidRPr="008064A2" w:rsidRDefault="00F1361B" w:rsidP="00A7271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185C13" w:rsidRPr="008064A2" w:rsidRDefault="00B72114" w:rsidP="00185C1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There are w</w:t>
                              </w:r>
                              <w:r w:rsidR="00185C13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aiting periods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for certain services (excluding emergency treatments) covered under</w:t>
                              </w:r>
                              <w:r w:rsidR="00185C13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OSHC products and policies. </w:t>
                              </w:r>
                              <w:r w:rsidR="003F175B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Services and treatments covered under a person’s policy will only attract a benefit once a policy holder has served the required waiting period</w:t>
                              </w:r>
                              <w:r w:rsidR="005714F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 Ordinarily, waiting periods</w:t>
                              </w:r>
                              <w:r w:rsidR="003F175B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include: </w:t>
                              </w:r>
                              <w:r w:rsidR="00C617F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75B6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E75B6A" w:rsidRPr="008064A2" w:rsidRDefault="00E75B6A" w:rsidP="00185C13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12 months for Pre-existing conditions</w:t>
                              </w:r>
                              <w:r w:rsidR="005714F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E75B6A" w:rsidRPr="008064A2" w:rsidRDefault="00E75B6A" w:rsidP="00E75B6A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12 months for Pregnancy related conditions</w:t>
                              </w:r>
                              <w:r w:rsidR="005714F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B72114" w:rsidRPr="008064A2" w:rsidRDefault="00E75B6A" w:rsidP="00A72713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 months for </w:t>
                              </w:r>
                              <w:r w:rsidR="009867E4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Pre-existing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Psychiatric conditions</w:t>
                              </w:r>
                              <w:r w:rsidR="005714F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4F43FB" w:rsidRPr="008064A2" w:rsidRDefault="004F43FB" w:rsidP="00B1507B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1507B" w:rsidRPr="008064A2" w:rsidRDefault="001F6BEF" w:rsidP="00B1507B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BE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 waiting periods do not apply for emergency treatment, even when the treatment is for a pre-existing condition, provided it meets the definition of ‘emergency’ as set out in the Deed</w:t>
                              </w:r>
                              <w:r w:rsidR="00BF5A7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DA6EEF" w:rsidRPr="008064A2" w:rsidRDefault="00DA6EEF" w:rsidP="00B1507B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F6A7F" w:rsidRPr="008064A2" w:rsidRDefault="00B5433D" w:rsidP="00185C1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bookmarkStart w:id="1" w:name="_Toc477522982"/>
                              <w:bookmarkStart w:id="2" w:name="_Toc477527631"/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When seeking medical or hospital treatment in Australia</w:t>
                              </w:r>
                              <w:r w:rsidR="00FC6954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overseas students are recommended to contact their insurer</w:t>
                              </w:r>
                              <w:r w:rsidRPr="008064A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before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agreeing to treatment to </w:t>
                              </w:r>
                              <w:r w:rsidR="00E22F97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understand how they will be covered and any out of pocket costs that may apply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8064A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85C13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Overseas s</w:t>
                              </w:r>
                              <w:r w:rsidR="002136BC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tudents who </w:t>
                              </w:r>
                              <w:r w:rsidR="00185C13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choose </w:t>
                              </w:r>
                              <w:r w:rsidR="00185C13" w:rsidRPr="008064A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not</w:t>
                              </w:r>
                              <w:r w:rsidR="00185C13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to </w:t>
                              </w:r>
                              <w:r w:rsidR="00F47FA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contact their insurers</w:t>
                              </w:r>
                              <w:r w:rsidR="00185C13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before agreeing to </w:t>
                              </w:r>
                              <w:r w:rsidR="002136BC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treatment or hosp</w:t>
                              </w:r>
                              <w:r w:rsidR="00185C13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ital admission </w:t>
                              </w:r>
                              <w:r w:rsidR="00F47FA0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are likely to </w:t>
                              </w:r>
                              <w:r w:rsidR="005F6A7F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be required to pay for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all costs at the time of treatment</w:t>
                              </w:r>
                              <w:r w:rsidR="005F6A7F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and</w:t>
                              </w:r>
                              <w:r w:rsidR="00E61AA9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5F6A7F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if the services are not covered by their insurer</w:t>
                              </w:r>
                              <w:r w:rsidR="00B1507B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5F6A7F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the insurer is not required to pay a benefit</w:t>
                              </w:r>
                              <w:r w:rsidR="00E61AA9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B1507B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F6A7F" w:rsidRPr="008064A2" w:rsidRDefault="005F6A7F" w:rsidP="00185C1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185C13" w:rsidRPr="008064A2" w:rsidRDefault="005F6A7F" w:rsidP="00185C1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Where </w:t>
                              </w:r>
                              <w:r w:rsidR="00E61AA9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 medical or hospital treatment </w:t>
                              </w:r>
                              <w:r w:rsidR="00E61AA9" w:rsidRPr="008064A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is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covered by their insurer, </w:t>
                              </w:r>
                              <w:r w:rsidR="00B5433D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 </w:t>
                              </w:r>
                              <w:r w:rsidR="00B5433D" w:rsidRPr="008064A2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bill or account</w:t>
                              </w:r>
                              <w:r w:rsidR="00B5433D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will be issued for payment. </w:t>
                              </w:r>
                              <w:r w:rsidR="00185C13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Overseas students may choose to: </w:t>
                              </w:r>
                            </w:p>
                            <w:p w:rsidR="00185C13" w:rsidRPr="008064A2" w:rsidRDefault="00185C13" w:rsidP="00185C13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pay the bill and apply for reimbursement from their insurer; or </w:t>
                              </w:r>
                            </w:p>
                            <w:p w:rsidR="00185C13" w:rsidRPr="008064A2" w:rsidRDefault="00185C13" w:rsidP="00185C13">
                              <w:pPr>
                                <w:numPr>
                                  <w:ilvl w:val="0"/>
                                  <w:numId w:val="3"/>
                                </w:numPr>
                                <w:ind w:hanging="36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provide the unpaid bill directly to their insurer for processing. </w:t>
                              </w:r>
                            </w:p>
                            <w:p w:rsidR="002136BC" w:rsidRPr="008064A2" w:rsidRDefault="002136BC" w:rsidP="0074320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E61AA9" w:rsidRPr="008064A2" w:rsidRDefault="00B72114" w:rsidP="005F6A7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 process for </w:t>
                              </w:r>
                              <w:r w:rsidR="007E788F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submitting an OSHC claim and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 payment of benefits (and issuing of refunds if required) </w:t>
                              </w:r>
                              <w:r w:rsidR="007E788F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can </w:t>
                              </w: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vary depending on the</w:t>
                              </w:r>
                              <w:r w:rsidR="00111E8F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insurer. </w:t>
                              </w:r>
                              <w:r w:rsidR="004346D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Overseas students</w:t>
                              </w:r>
                              <w:r w:rsidR="00FC6954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are recommended to contact the relevant </w:t>
                              </w:r>
                              <w:r w:rsidR="004346D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insurer for further information</w:t>
                              </w:r>
                              <w:r w:rsidR="007E788F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on how to submit an OSHC claim and processing times which can vary depending on the nature of the claim</w:t>
                              </w:r>
                              <w:r w:rsidR="004346DA"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bookmarkEnd w:id="1"/>
                            <w:bookmarkEnd w:id="2"/>
                            <w:p w:rsidR="004F43FB" w:rsidRPr="008064A2" w:rsidRDefault="004F43FB" w:rsidP="00537BF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537BF1" w:rsidRPr="008064A2" w:rsidRDefault="00537BF1" w:rsidP="00537BF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64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For more information go to: </w:t>
                              </w:r>
                              <w:hyperlink r:id="rId12" w:history="1">
                                <w:r w:rsidRPr="008064A2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www.privatehealth.gov.au/health_insurance/overseas</w:t>
                                </w:r>
                              </w:hyperlink>
                            </w:p>
                            <w:p w:rsidR="008C5C89" w:rsidRPr="008C5C89" w:rsidRDefault="008C5C89" w:rsidP="008C5C89">
                              <w:pPr>
                                <w:contextualSpacing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27198" w:rsidRDefault="00227198" w:rsidP="00227198">
                              <w:pPr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227198" w:rsidRPr="00227198" w:rsidRDefault="00227198" w:rsidP="00227198">
                              <w:pPr>
                                <w:rPr>
                                  <w:rStyle w:val="tgc"/>
                                  <w:rFonts w:ascii="Arial" w:eastAsiaTheme="minorHAnsi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2564B7" w:rsidRDefault="002564B7" w:rsidP="002564B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C0076" id="Group 454" o:spid="_x0000_s1036" style="position:absolute;margin-left:-6pt;margin-top:56.2pt;width:391.45pt;height:710.75pt;z-index:251649024;mso-width-relative:margin;mso-height-relative:margin" coordorigin="267,-529" coordsize="42390,27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">
                <v:group id="Group 455" o:spid="_x0000_s1037" style="position:absolute;left:267;top:-529;width:40900;height:1185" coordorigin="-2517,-624" coordsize="66536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38" type="#_x0000_t202" style="position:absolute;left:-2517;top:-624;width:43128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" fillcolor="white [3201]" stroked="f" strokeweight=".5pt">
                    <v:textbox>
                      <w:txbxContent>
                        <w:p w:rsidR="002564B7" w:rsidRPr="008064A2" w:rsidRDefault="002564B7" w:rsidP="002564B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064A2">
                            <w:rPr>
                              <w:rFonts w:ascii="Arial" w:hAnsi="Arial" w:cs="Arial"/>
                              <w:b/>
                            </w:rPr>
                            <w:t>HOW IT WORKS</w:t>
                          </w:r>
                        </w:p>
                      </w:txbxContent>
                    </v:textbox>
                  </v:shape>
                  <v:rect id="Rectangle 457" o:spid="_x0000_s1039" style="position:absolute;left:-942;top:285;width:64961;height: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" fillcolor="#d8d8d8 [2732]" strokecolor="#d8d8d8 [2732]" strokeweight="1.5pt">
                    <v:stroke endcap="square"/>
                  </v:rect>
                </v:group>
                <v:shape id="Text Box 458" o:spid="_x0000_s1040" type="#_x0000_t202" style="position:absolute;left:429;top:559;width:42228;height:25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" fillcolor="white [3201]" stroked="f" strokeweight=".5pt">
                  <v:textbox>
                    <w:txbxContent>
                      <w:p w:rsidR="003E69A7" w:rsidRPr="008064A2" w:rsidRDefault="00FF40E1" w:rsidP="003E69A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OSHC products and policies may only be offered by insurers that are a party to the Australian Government </w:t>
                        </w:r>
                        <w:r w:rsidRPr="008064A2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Deed for the Provision of Overseas Student Health Cover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(the Deed).</w:t>
                        </w:r>
                        <w:r w:rsidRPr="008064A2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 Deed sets out conditions with which a registered Australian private health insurer (the insurer) must comply in order to provide OSHC products and policies. </w:t>
                        </w:r>
                      </w:p>
                      <w:p w:rsidR="00FF40E1" w:rsidRPr="008064A2" w:rsidRDefault="00FF40E1" w:rsidP="003E69A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FF40E1" w:rsidRPr="008064A2" w:rsidRDefault="00FF40E1" w:rsidP="00FF40E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There are currently 6 private health insurers operating in Australia which offer OSHC</w:t>
                        </w:r>
                        <w:r w:rsidR="00D42BA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:rsidR="00D42BAA" w:rsidRPr="001F6BEF" w:rsidRDefault="00A22057" w:rsidP="00D42BA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6BE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ahm OSHC (offered through Medibank Private)</w:t>
                        </w:r>
                      </w:p>
                      <w:p w:rsidR="00D42BAA" w:rsidRPr="008064A2" w:rsidRDefault="00D42BAA" w:rsidP="00D42BA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Allianz Global Assistance (Peoplecare Health) </w:t>
                        </w:r>
                        <w:bookmarkStart w:id="3" w:name="_GoBack"/>
                        <w:bookmarkEnd w:id="3"/>
                      </w:p>
                      <w:p w:rsidR="003E69A7" w:rsidRPr="008064A2" w:rsidRDefault="00456B4A" w:rsidP="004A11CE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Bupa </w:t>
                        </w:r>
                        <w:r w:rsidR="00D42BA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Australia </w:t>
                        </w:r>
                      </w:p>
                      <w:p w:rsidR="00456B4A" w:rsidRPr="008064A2" w:rsidRDefault="00D42BAA" w:rsidP="003E69A7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CBHS International Health </w:t>
                        </w:r>
                      </w:p>
                      <w:p w:rsidR="003E69A7" w:rsidRPr="008064A2" w:rsidRDefault="0079425A" w:rsidP="003E69A7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13" w:tooltip="External website link: Medibank Private " w:history="1">
                          <w:r w:rsidR="003E69A7" w:rsidRPr="008064A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Medibank Private </w:t>
                          </w:r>
                        </w:hyperlink>
                        <w:r w:rsidR="00FF40E1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F40E1" w:rsidRPr="008064A2" w:rsidRDefault="0079425A" w:rsidP="00D42BAA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14" w:tooltip="External website link: nib" w:history="1">
                          <w:r w:rsidR="00A449B5" w:rsidRPr="008064A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nib</w:t>
                          </w:r>
                        </w:hyperlink>
                      </w:p>
                      <w:p w:rsidR="003E69A7" w:rsidRPr="008064A2" w:rsidRDefault="003E69A7" w:rsidP="003E69A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3E69A7" w:rsidRPr="008064A2" w:rsidRDefault="003E69A7" w:rsidP="003E69A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OSHC can </w:t>
                        </w:r>
                        <w:r w:rsidR="00D42BA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typically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 purchased</w:t>
                        </w:r>
                        <w:r w:rsidR="005714F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directly through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:rsidR="003E69A7" w:rsidRPr="008064A2" w:rsidRDefault="005714F7" w:rsidP="003E69A7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 overseas student’s Educational I</w:t>
                        </w:r>
                        <w:r w:rsidR="003E69A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nstitution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or U</w:t>
                        </w:r>
                        <w:r w:rsidR="000B678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niversity;</w:t>
                        </w:r>
                        <w:r w:rsidR="003E69A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E69A7" w:rsidRPr="008064A2" w:rsidRDefault="000B678A" w:rsidP="003E69A7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 insurer;</w:t>
                        </w:r>
                      </w:p>
                      <w:p w:rsidR="003E69A7" w:rsidRPr="008064A2" w:rsidRDefault="005714F7" w:rsidP="003E69A7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 w:rsidR="003E69A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migration </w:t>
                        </w:r>
                        <w:r w:rsidR="00FC6954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agent; or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E69A7" w:rsidRPr="008064A2" w:rsidRDefault="005714F7" w:rsidP="003E69A7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an </w:t>
                        </w:r>
                        <w:r w:rsidR="003E69A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education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agent </w:t>
                        </w:r>
                        <w:r w:rsidR="00E75B6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acting as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 intermediary</w:t>
                        </w:r>
                        <w:r w:rsidR="00E75B6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3E69A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 behalf of the Education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</w:t>
                        </w:r>
                        <w:r w:rsidR="003E69A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Institution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:rsidR="003E69A7" w:rsidRPr="008064A2" w:rsidRDefault="003E69A7" w:rsidP="003E69A7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A72713" w:rsidRPr="008064A2" w:rsidRDefault="000B678A" w:rsidP="00A7271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OSHC products and policies vary between individual insurers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so it is important to take note of what is (and is not) covered under each product. </w:t>
                        </w:r>
                        <w:r w:rsidR="00F47FA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While, i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nsurers are required to offer a minimum level of benefits (as set out in the Deed) </w:t>
                        </w:r>
                        <w:r w:rsidR="00F47FA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they 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may choose to</w:t>
                        </w:r>
                        <w:r w:rsidR="002136BC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offer additional 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benefit</w:t>
                        </w:r>
                        <w:r w:rsidR="002136BC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above the minimum as part of </w:t>
                        </w:r>
                        <w:r w:rsid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their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product offering. </w:t>
                        </w:r>
                        <w:r w:rsidR="00111488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These 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additional benefits may include </w:t>
                        </w:r>
                        <w:r w:rsidR="00C617F0" w:rsidRPr="008064A2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‘extras</w:t>
                        </w:r>
                        <w:r w:rsidR="004346DA" w:rsidRPr="008064A2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’</w:t>
                        </w:r>
                        <w:r w:rsidR="00F1361B" w:rsidRPr="008064A2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or</w:t>
                        </w:r>
                        <w:r w:rsidR="00B5433D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include 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higher benefits for certain services. </w:t>
                        </w:r>
                        <w:r w:rsidR="00B5433D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Costs will vary </w:t>
                        </w:r>
                        <w:r w:rsidR="005F6A7F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and will be dependent on the l</w:t>
                        </w:r>
                        <w:r w:rsidR="00B5433D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evel of cover provided by each insurer.</w:t>
                        </w:r>
                      </w:p>
                      <w:p w:rsidR="00E656D2" w:rsidRPr="008064A2" w:rsidRDefault="00E656D2" w:rsidP="00A7271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E656D2" w:rsidRPr="008064A2" w:rsidRDefault="00E656D2" w:rsidP="00E656D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 w:rsidRPr="00BF5A7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Single</w:t>
                        </w:r>
                        <w:r w:rsidRPr="00BF5A7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BF5A7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OSHC i</w:t>
                        </w:r>
                        <w:r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nsurance policy </w:t>
                        </w:r>
                        <w:r w:rsidR="00231601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applies to the </w:t>
                        </w:r>
                        <w:r w:rsidR="0079425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</w:t>
                        </w:r>
                        <w:r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verseas </w:t>
                        </w:r>
                        <w:r w:rsidR="0079425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tudent who is the primary Student Visa</w:t>
                        </w:r>
                        <w:r w:rsidR="009D33CC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holder</w:t>
                        </w:r>
                        <w:r w:rsidR="00BF5A78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and</w:t>
                        </w:r>
                        <w:r w:rsidR="001F6BEF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who does not h</w:t>
                        </w:r>
                        <w:r w:rsidR="003330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ave dependents linked to their Student V</w:t>
                        </w:r>
                        <w:r w:rsidR="001F6BEF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isa</w:t>
                        </w:r>
                        <w:r w:rsidR="00231601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For</w:t>
                        </w:r>
                        <w:r w:rsidR="009D33CC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 </w:t>
                        </w:r>
                        <w:r w:rsidR="0079425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overseas s</w:t>
                        </w:r>
                        <w:r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tudent with dependants</w:t>
                        </w:r>
                        <w:r w:rsidR="001F6BEF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joining them in Australia</w:t>
                        </w:r>
                        <w:r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</w:t>
                        </w:r>
                        <w:r w:rsidR="009D33CC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 w:rsidR="00231601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Couple, Single-Parent </w:t>
                        </w:r>
                        <w:r w:rsidR="009D33CC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and/</w:t>
                        </w:r>
                        <w:r w:rsidR="00231601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or Family OSHC policy applies</w:t>
                        </w:r>
                        <w:r w:rsidR="009D33CC" w:rsidRP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9D33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1361B" w:rsidRPr="008064A2" w:rsidRDefault="00F1361B" w:rsidP="00A7271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5C13" w:rsidRPr="008064A2" w:rsidRDefault="00B72114" w:rsidP="00185C1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There are w</w:t>
                        </w:r>
                        <w:r w:rsidR="00185C13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aiting periods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for certain services (excluding emergency treatments) covered under</w:t>
                        </w:r>
                        <w:r w:rsidR="00185C13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OSHC products and policies. </w:t>
                        </w:r>
                        <w:r w:rsidR="003F175B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Services and treatments covered under a person’s policy will only attract a benefit once a policy holder has served the required waiting period</w:t>
                        </w:r>
                        <w:r w:rsidR="005714F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 Ordinarily, waiting periods</w:t>
                        </w:r>
                        <w:r w:rsidR="003F175B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include: </w:t>
                        </w:r>
                        <w:r w:rsidR="00C617F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E75B6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E75B6A" w:rsidRPr="008064A2" w:rsidRDefault="00E75B6A" w:rsidP="00185C13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 months for Pre-existing conditions</w:t>
                        </w:r>
                        <w:r w:rsidR="005714F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</w:p>
                      <w:p w:rsidR="00E75B6A" w:rsidRPr="008064A2" w:rsidRDefault="00E75B6A" w:rsidP="00E75B6A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 months for Pregnancy related conditions</w:t>
                        </w:r>
                        <w:r w:rsidR="005714F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</w:p>
                      <w:p w:rsidR="00B72114" w:rsidRPr="008064A2" w:rsidRDefault="00E75B6A" w:rsidP="00A72713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 months for </w:t>
                        </w:r>
                        <w:r w:rsidR="009867E4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Pre-existing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Psychiatric conditions</w:t>
                        </w:r>
                        <w:r w:rsidR="005714F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4F43FB" w:rsidRPr="008064A2" w:rsidRDefault="004F43FB" w:rsidP="00B1507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B1507B" w:rsidRPr="008064A2" w:rsidRDefault="001F6BEF" w:rsidP="00B1507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6BE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 waiting periods do not apply for emergency treatment, even when the treatment is for a pre-existing condition, provided it meets the definition of ‘emergency’ as set out in the Deed</w:t>
                        </w:r>
                        <w:r w:rsidR="00BF5A7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DA6EEF" w:rsidRPr="008064A2" w:rsidRDefault="00DA6EEF" w:rsidP="00B1507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F6A7F" w:rsidRPr="008064A2" w:rsidRDefault="00B5433D" w:rsidP="00185C1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bookmarkStart w:id="4" w:name="_Toc477522982"/>
                        <w:bookmarkStart w:id="5" w:name="_Toc477527631"/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When seeking medical or hospital treatment in Australia</w:t>
                        </w:r>
                        <w:r w:rsidR="00FC6954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overseas students are recommended to contact their insurer</w:t>
                        </w:r>
                        <w:r w:rsidRPr="008064A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before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agreeing to treatment to </w:t>
                        </w:r>
                        <w:r w:rsidR="00E22F97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understand how they will be covered and any out of pocket costs that may apply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Pr="008064A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185C13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Overseas s</w:t>
                        </w:r>
                        <w:r w:rsidR="002136BC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tudents who </w:t>
                        </w:r>
                        <w:r w:rsidR="00185C13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choose </w:t>
                        </w:r>
                        <w:r w:rsidR="00185C13" w:rsidRPr="008064A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not</w:t>
                        </w:r>
                        <w:r w:rsidR="00185C13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to </w:t>
                        </w:r>
                        <w:r w:rsidR="00F47FA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contact their insurers</w:t>
                        </w:r>
                        <w:r w:rsidR="00185C13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before agreeing to </w:t>
                        </w:r>
                        <w:r w:rsidR="002136BC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treatment or hosp</w:t>
                        </w:r>
                        <w:r w:rsidR="00185C13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ital admission </w:t>
                        </w:r>
                        <w:r w:rsidR="00F47FA0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are likely to </w:t>
                        </w:r>
                        <w:r w:rsidR="005F6A7F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be required to pay for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all costs at the time of treatment</w:t>
                        </w:r>
                        <w:r w:rsidR="005F6A7F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and</w:t>
                        </w:r>
                        <w:r w:rsidR="00E61AA9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="005F6A7F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if the services are not covered by their insurer</w:t>
                        </w:r>
                        <w:r w:rsidR="00B1507B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="005F6A7F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the insurer is not required to pay a benefit</w:t>
                        </w:r>
                        <w:r w:rsidR="00E61AA9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B1507B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F6A7F" w:rsidRPr="008064A2" w:rsidRDefault="005F6A7F" w:rsidP="00185C1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85C13" w:rsidRPr="008064A2" w:rsidRDefault="005F6A7F" w:rsidP="00185C1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Where </w:t>
                        </w:r>
                        <w:r w:rsidR="00E61AA9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 medical or hospital treatment </w:t>
                        </w:r>
                        <w:r w:rsidR="00E61AA9" w:rsidRPr="008064A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is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covered by their insurer, </w:t>
                        </w:r>
                        <w:r w:rsidR="00B5433D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 w:rsidR="00B5433D" w:rsidRPr="008064A2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bill or account</w:t>
                        </w:r>
                        <w:r w:rsidR="00B5433D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will be issued for payment. </w:t>
                        </w:r>
                        <w:r w:rsidR="00185C13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Overseas students may choose to: </w:t>
                        </w:r>
                      </w:p>
                      <w:p w:rsidR="00185C13" w:rsidRPr="008064A2" w:rsidRDefault="00185C13" w:rsidP="00185C13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pay the bill and apply for reimbursement from their insurer; or </w:t>
                        </w:r>
                      </w:p>
                      <w:p w:rsidR="00185C13" w:rsidRPr="008064A2" w:rsidRDefault="00185C13" w:rsidP="00185C13">
                        <w:pPr>
                          <w:numPr>
                            <w:ilvl w:val="0"/>
                            <w:numId w:val="3"/>
                          </w:numPr>
                          <w:ind w:hanging="36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provide the unpaid bill directly to their insurer for processing. </w:t>
                        </w:r>
                      </w:p>
                      <w:p w:rsidR="002136BC" w:rsidRPr="008064A2" w:rsidRDefault="002136BC" w:rsidP="0074320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E61AA9" w:rsidRPr="008064A2" w:rsidRDefault="00B72114" w:rsidP="005F6A7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 process for </w:t>
                        </w:r>
                        <w:r w:rsidR="007E788F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submitting an OSHC claim and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 payment of benefits (and issuing of refunds if required) </w:t>
                        </w:r>
                        <w:r w:rsidR="007E788F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can </w:t>
                        </w: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vary depending on the</w:t>
                        </w:r>
                        <w:r w:rsidR="00111E8F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insurer. </w:t>
                        </w:r>
                        <w:r w:rsidR="004346D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Overseas students</w:t>
                        </w:r>
                        <w:r w:rsidR="00FC6954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are recommended to contact the relevant </w:t>
                        </w:r>
                        <w:r w:rsidR="004346D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insurer for further information</w:t>
                        </w:r>
                        <w:r w:rsidR="007E788F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on how to submit an OSHC claim and processing times which can vary depending on the nature of the claim</w:t>
                        </w:r>
                        <w:r w:rsidR="004346DA"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bookmarkEnd w:id="4"/>
                      <w:bookmarkEnd w:id="5"/>
                      <w:p w:rsidR="004F43FB" w:rsidRPr="008064A2" w:rsidRDefault="004F43FB" w:rsidP="00537B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537BF1" w:rsidRPr="008064A2" w:rsidRDefault="00537BF1" w:rsidP="00537BF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64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For more information go to: </w:t>
                        </w:r>
                        <w:hyperlink r:id="rId15" w:history="1">
                          <w:r w:rsidRPr="008064A2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www.privatehealth.gov.au/health_insurance/overseas</w:t>
                          </w:r>
                        </w:hyperlink>
                      </w:p>
                      <w:p w:rsidR="008C5C89" w:rsidRPr="008C5C89" w:rsidRDefault="008C5C89" w:rsidP="008C5C89">
                        <w:pPr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27198" w:rsidRDefault="00227198" w:rsidP="00227198">
                        <w:pPr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27198" w:rsidRPr="00227198" w:rsidRDefault="00227198" w:rsidP="00227198">
                        <w:pPr>
                          <w:rPr>
                            <w:rStyle w:val="tgc"/>
                            <w:rFonts w:ascii="Arial" w:eastAsiaTheme="minorHAnsi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564B7" w:rsidRDefault="002564B7" w:rsidP="002564B7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B40B5" w:rsidRPr="002F3AE3" w:rsidSect="008064A2">
      <w:headerReference w:type="default" r:id="rId16"/>
      <w:pgSz w:w="11906" w:h="16838"/>
      <w:pgMar w:top="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14" w:rsidRDefault="001C1E14" w:rsidP="00BB40B5">
      <w:r>
        <w:separator/>
      </w:r>
    </w:p>
  </w:endnote>
  <w:endnote w:type="continuationSeparator" w:id="0">
    <w:p w:rsidR="001C1E14" w:rsidRDefault="001C1E14" w:rsidP="00BB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GKFP Z+ Allianz Sans">
    <w:altName w:val="MGKFP Z+ Allianz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14" w:rsidRDefault="001C1E14" w:rsidP="00BB40B5">
      <w:r>
        <w:separator/>
      </w:r>
    </w:p>
  </w:footnote>
  <w:footnote w:type="continuationSeparator" w:id="0">
    <w:p w:rsidR="001C1E14" w:rsidRDefault="001C1E14" w:rsidP="00BB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B5" w:rsidRDefault="00BB40B5" w:rsidP="008202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C4"/>
    <w:multiLevelType w:val="hybridMultilevel"/>
    <w:tmpl w:val="5ADAC7BA"/>
    <w:lvl w:ilvl="0" w:tplc="E1620B7E">
      <w:start w:val="5"/>
      <w:numFmt w:val="bullet"/>
      <w:lvlText w:val="-"/>
      <w:lvlJc w:val="left"/>
      <w:pPr>
        <w:ind w:left="1080" w:hanging="360"/>
      </w:pPr>
      <w:rPr>
        <w:rFonts w:ascii="MGKFP Z+ Allianz Sans" w:eastAsia="Times New Roman" w:hAnsi="MGKFP Z+ Allianz Sans" w:cs="MGKFP Z+ Allianz Sans" w:hint="default"/>
        <w:b w:val="0"/>
        <w:sz w:val="17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677EF"/>
    <w:multiLevelType w:val="hybridMultilevel"/>
    <w:tmpl w:val="647452EE"/>
    <w:lvl w:ilvl="0" w:tplc="0838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6309"/>
    <w:multiLevelType w:val="hybridMultilevel"/>
    <w:tmpl w:val="3D484386"/>
    <w:lvl w:ilvl="0" w:tplc="0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2D38"/>
    <w:multiLevelType w:val="multilevel"/>
    <w:tmpl w:val="EF9CF0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D4A7DB3"/>
    <w:multiLevelType w:val="multilevel"/>
    <w:tmpl w:val="442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34766"/>
    <w:multiLevelType w:val="hybridMultilevel"/>
    <w:tmpl w:val="9AA08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71ABA"/>
    <w:multiLevelType w:val="hybridMultilevel"/>
    <w:tmpl w:val="32BCAED4"/>
    <w:lvl w:ilvl="0" w:tplc="874E3D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7D6D"/>
    <w:multiLevelType w:val="multilevel"/>
    <w:tmpl w:val="47D2C7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B5"/>
    <w:rsid w:val="00003743"/>
    <w:rsid w:val="0004246A"/>
    <w:rsid w:val="00067456"/>
    <w:rsid w:val="000B678A"/>
    <w:rsid w:val="000D085D"/>
    <w:rsid w:val="0010508C"/>
    <w:rsid w:val="00111488"/>
    <w:rsid w:val="00111E8F"/>
    <w:rsid w:val="0015307B"/>
    <w:rsid w:val="00185C13"/>
    <w:rsid w:val="001A36DF"/>
    <w:rsid w:val="001B3443"/>
    <w:rsid w:val="001C1E14"/>
    <w:rsid w:val="001F6BEF"/>
    <w:rsid w:val="002136BC"/>
    <w:rsid w:val="00227198"/>
    <w:rsid w:val="00231601"/>
    <w:rsid w:val="002564B7"/>
    <w:rsid w:val="002761E9"/>
    <w:rsid w:val="002B2E6B"/>
    <w:rsid w:val="002E5258"/>
    <w:rsid w:val="002E69D6"/>
    <w:rsid w:val="002F3AE3"/>
    <w:rsid w:val="0030786C"/>
    <w:rsid w:val="00333096"/>
    <w:rsid w:val="003A034B"/>
    <w:rsid w:val="003D17F9"/>
    <w:rsid w:val="003E69A7"/>
    <w:rsid w:val="003F175B"/>
    <w:rsid w:val="004149A0"/>
    <w:rsid w:val="004346DA"/>
    <w:rsid w:val="00456B4A"/>
    <w:rsid w:val="004867E2"/>
    <w:rsid w:val="004D2017"/>
    <w:rsid w:val="004F43FB"/>
    <w:rsid w:val="00537BF1"/>
    <w:rsid w:val="005714F7"/>
    <w:rsid w:val="00593BF4"/>
    <w:rsid w:val="0059760C"/>
    <w:rsid w:val="005C55C4"/>
    <w:rsid w:val="005F62E4"/>
    <w:rsid w:val="005F6A7F"/>
    <w:rsid w:val="006636AA"/>
    <w:rsid w:val="006C14A8"/>
    <w:rsid w:val="006E477F"/>
    <w:rsid w:val="006E65C0"/>
    <w:rsid w:val="00704BD7"/>
    <w:rsid w:val="0074320B"/>
    <w:rsid w:val="007702BD"/>
    <w:rsid w:val="0078458F"/>
    <w:rsid w:val="0079425A"/>
    <w:rsid w:val="007E788F"/>
    <w:rsid w:val="008064A2"/>
    <w:rsid w:val="00820269"/>
    <w:rsid w:val="008264EB"/>
    <w:rsid w:val="008C5C89"/>
    <w:rsid w:val="008E347F"/>
    <w:rsid w:val="008E51A5"/>
    <w:rsid w:val="008E600C"/>
    <w:rsid w:val="0094027C"/>
    <w:rsid w:val="0095149B"/>
    <w:rsid w:val="00983659"/>
    <w:rsid w:val="009867E4"/>
    <w:rsid w:val="00994EE0"/>
    <w:rsid w:val="009D33CC"/>
    <w:rsid w:val="009E40FA"/>
    <w:rsid w:val="00A00053"/>
    <w:rsid w:val="00A22057"/>
    <w:rsid w:val="00A449B5"/>
    <w:rsid w:val="00A4512D"/>
    <w:rsid w:val="00A705AF"/>
    <w:rsid w:val="00A72713"/>
    <w:rsid w:val="00A911DB"/>
    <w:rsid w:val="00AC36CC"/>
    <w:rsid w:val="00B1507B"/>
    <w:rsid w:val="00B42851"/>
    <w:rsid w:val="00B5433D"/>
    <w:rsid w:val="00B72114"/>
    <w:rsid w:val="00B72287"/>
    <w:rsid w:val="00BB40B5"/>
    <w:rsid w:val="00BF0B43"/>
    <w:rsid w:val="00BF5A78"/>
    <w:rsid w:val="00C617F0"/>
    <w:rsid w:val="00CB532A"/>
    <w:rsid w:val="00CB5B1A"/>
    <w:rsid w:val="00D42BAA"/>
    <w:rsid w:val="00D71F1B"/>
    <w:rsid w:val="00DA6EEF"/>
    <w:rsid w:val="00E10AD1"/>
    <w:rsid w:val="00E22F97"/>
    <w:rsid w:val="00E61AA9"/>
    <w:rsid w:val="00E656D2"/>
    <w:rsid w:val="00E75B6A"/>
    <w:rsid w:val="00F1361B"/>
    <w:rsid w:val="00F47FA0"/>
    <w:rsid w:val="00F86A0C"/>
    <w:rsid w:val="00FC6954"/>
    <w:rsid w:val="00FE44B2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C6A57A2"/>
  <w15:docId w15:val="{A91717D1-A598-4836-B9A3-707CC292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0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uiPriority w:val="39"/>
    <w:rsid w:val="00BB40B5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BB40B5"/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gc">
    <w:name w:val="_tgc"/>
    <w:basedOn w:val="DefaultParagraphFont"/>
    <w:rsid w:val="00BB40B5"/>
  </w:style>
  <w:style w:type="paragraph" w:styleId="Header">
    <w:name w:val="header"/>
    <w:basedOn w:val="Normal"/>
    <w:link w:val="HeaderChar"/>
    <w:uiPriority w:val="99"/>
    <w:rsid w:val="00BB4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0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B4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0B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B4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0B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000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11DB"/>
    <w:pPr>
      <w:spacing w:before="225"/>
    </w:pPr>
    <w:rPr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4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1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47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8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637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2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01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23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2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84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entral.health\DFSUserENV\Users\User_01\kristena\Documents\www.ombudsman.gov.au" TargetMode="External"/><Relationship Id="rId13" Type="http://schemas.openxmlformats.org/officeDocument/2006/relationships/hyperlink" Target="http://www.medibank.com.au/Client/StaticPages/OSHCHome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rivatehealth.gov.au/health_insurance/overse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b.com.au/home/newtonib/overseasstudents/Pages/overseasstudents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ivatehealth.gov.au/health_insurance/overseas" TargetMode="External"/><Relationship Id="rId10" Type="http://schemas.openxmlformats.org/officeDocument/2006/relationships/hyperlink" Target="http://www.medibank.com.au/Client/StaticPages/OSHCHom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central.health\DFSUserENV\Users\User_01\kristena\Documents\www.ombudsman.gov.au" TargetMode="External"/><Relationship Id="rId14" Type="http://schemas.openxmlformats.org/officeDocument/2006/relationships/hyperlink" Target="http://www.nib.com.au/home/newtonib/overseasstudents/Pages/overseasstud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Student Health Cover (OSHC)</vt:lpstr>
    </vt:vector>
  </TitlesOfParts>
  <Company>Dept Health And Ageing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Student Health Cover (OSHC)</dc:title>
  <dc:creator>KYLE, Kristen</dc:creator>
  <cp:lastModifiedBy>Kyle, Kristen</cp:lastModifiedBy>
  <cp:revision>6</cp:revision>
  <cp:lastPrinted>2020-03-03T02:06:00Z</cp:lastPrinted>
  <dcterms:created xsi:type="dcterms:W3CDTF">2020-03-02T23:49:00Z</dcterms:created>
  <dcterms:modified xsi:type="dcterms:W3CDTF">2020-03-03T23:59:00Z</dcterms:modified>
</cp:coreProperties>
</file>