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line="80" w:lineRule="exact"/>
        <w:rPr>
          <w:rFonts w:ascii="Times New Roman"/>
          <w:sz w:val="8"/>
        </w:rPr>
      </w:pPr>
      <w:r>
        <w:rPr>
          <w:rFonts w:ascii="Times New Roman"/>
          <w:position w:val="-1"/>
          <w:sz w:val="8"/>
        </w:rPr>
        <w:pict>
          <v:group style="width:506.25pt;height:4pt;mso-position-horizontal-relative:char;mso-position-vertical-relative:line" coordorigin="0,0" coordsize="10125,80">
            <v:line style="position:absolute" from="0,40" to="10125,40" stroked="true" strokeweight="4pt" strokecolor="#5bc4bf">
              <v:stroke dashstyle="solid"/>
            </v:line>
          </v:group>
        </w:pict>
      </w:r>
      <w:r>
        <w:rPr>
          <w:rFonts w:ascii="Times New Roman"/>
          <w:position w:val="-1"/>
          <w:sz w:val="8"/>
        </w:rPr>
      </w:r>
    </w:p>
    <w:p>
      <w:pPr>
        <w:pStyle w:val="BodyText"/>
        <w:spacing w:before="5"/>
        <w:ind w:left="0"/>
        <w:rPr>
          <w:rFonts w:ascii="Times New Roman"/>
          <w:sz w:val="21"/>
        </w:rPr>
      </w:pPr>
    </w:p>
    <w:p>
      <w:pPr>
        <w:spacing w:before="154"/>
        <w:ind w:left="4544" w:right="0" w:firstLine="0"/>
        <w:jc w:val="left"/>
        <w:rPr>
          <w:b/>
          <w:sz w:val="38"/>
        </w:rPr>
      </w:pPr>
      <w:r>
        <w:rPr/>
        <w:pict>
          <v:line style="position:absolute;mso-position-horizontal-relative:page;mso-position-vertical-relative:paragraph;z-index:1120" from="244.011398pt,75.048662pt" to="244.011398pt,3.056662pt" stroked="true" strokeweight="1.45pt" strokecolor="#5bc4bf">
            <v:stroke dashstyle="solid"/>
            <w10:wrap type="none"/>
          </v:line>
        </w:pict>
      </w:r>
      <w:r>
        <w:rPr/>
        <w:drawing>
          <wp:anchor distT="0" distB="0" distL="0" distR="0" allowOverlap="1" layoutInCell="1" locked="0" behindDoc="0" simplePos="0" relativeHeight="1144">
            <wp:simplePos x="0" y="0"/>
            <wp:positionH relativeFrom="page">
              <wp:posOffset>1342961</wp:posOffset>
            </wp:positionH>
            <wp:positionV relativeFrom="paragraph">
              <wp:posOffset>73714</wp:posOffset>
            </wp:positionV>
            <wp:extent cx="1476326" cy="658646"/>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1476326" cy="658646"/>
                    </a:xfrm>
                    <a:prstGeom prst="rect">
                      <a:avLst/>
                    </a:prstGeom>
                  </pic:spPr>
                </pic:pic>
              </a:graphicData>
            </a:graphic>
          </wp:anchor>
        </w:drawing>
      </w:r>
      <w:r>
        <w:rPr/>
        <w:pict>
          <v:group style="position:absolute;margin-left:43.208401pt;margin-top:5.298262pt;width:49.25pt;height:49.25pt;mso-position-horizontal-relative:page;mso-position-vertical-relative:paragraph;z-index:1192" coordorigin="864,106" coordsize="985,985">
            <v:shape style="position:absolute;left:919;top:724;width:437;height:366" coordorigin="920,725" coordsize="437,366" path="m989,725l959,735,935,756,922,784,920,814,930,844,972,906,1022,959,1080,1005,1143,1041,1211,1068,1282,1085,1356,1090,1325,1084,1300,1067,1283,1041,1276,1010,1283,979,1300,954,1325,937,1356,930,1287,923,1221,901,1161,867,1110,821,1069,764,1047,740,1020,727,989,725xe" filled="true" fillcolor="#027a7e" stroked="false">
              <v:path arrowok="t"/>
              <v:fill type="solid"/>
            </v:shape>
            <v:shape style="position:absolute;left:1356;top:105;width:437;height:366" coordorigin="1356,106" coordsize="437,366" path="m1356,106l1387,112,1413,129,1430,155,1436,186,1430,217,1413,242,1387,260,1356,266,1419,272,1479,289,1534,317,1584,356,1631,411,1644,432,1657,449,1674,462,1693,469,1713,472,1724,471,1777,440,1793,382,1782,352,1742,292,1693,239,1635,192,1571,155,1503,128,1431,112,1356,106xe" filled="true" fillcolor="#692874" stroked="false">
              <v:path arrowok="t"/>
              <v:fill type="solid"/>
            </v:shape>
            <v:shape style="position:absolute;left:930;top:105;width:507;height:327" coordorigin="930,106" coordsize="507,327" path="m1190,313l1009,313,1039,323,1063,344,1077,371,1079,402,1069,432,1110,375,1161,329,1190,313xm1356,106l1282,112,1211,128,1143,155,1080,191,1022,237,972,291,930,352,951,328,979,315,1009,313,1190,313,1221,295,1287,273,1356,266,1387,260,1413,242,1430,217,1436,186,1430,155,1413,129,1387,112,1356,106xe" filled="true" fillcolor="#0068a1" stroked="false">
              <v:path arrowok="t"/>
              <v:fill type="solid"/>
            </v:shape>
            <v:shape style="position:absolute;left:1633;top:351;width:215;height:533" coordorigin="1634,352" coordsize="215,533" path="m1644,432l1663,471,1677,512,1686,555,1688,598,1686,642,1677,684,1663,725,1644,764,1634,794,1636,825,1649,852,1673,873,1683,878,1693,882,1703,884,1713,884,1734,882,1753,874,1769,861,1782,844,1811,786,1832,726,1844,663,1848,598,1844,534,1832,472,1713,472,1693,469,1674,462,1657,449,1644,432xm1782,352l1793,382,1791,413,1777,440,1753,461,1744,466,1734,469,1724,471,1713,472,1832,472,1832,471,1811,410,1782,352xe" filled="true" fillcolor="#c7a9d1" stroked="false">
              <v:path arrowok="t"/>
              <v:fill type="solid"/>
            </v:shape>
            <v:shape style="position:absolute;left:1276;top:764;width:507;height:327" coordorigin="1276,764" coordsize="507,327" path="m1644,764l1603,821,1551,867,1492,901,1426,923,1356,930,1325,937,1300,954,1283,979,1276,1010,1283,1041,1300,1067,1325,1084,1356,1090,1430,1085,1502,1068,1570,1041,1633,1005,1690,959,1740,906,1755,884,1713,884,1703,883,1693,882,1683,878,1673,873,1649,852,1636,825,1634,794,1644,764xm1782,844l1769,861,1753,874,1734,882,1713,884,1755,884,1782,844xe" filled="true" fillcolor="#b9da93" stroked="false">
              <v:path arrowok="t"/>
              <v:fill type="solid"/>
            </v:shape>
            <v:shape style="position:absolute;left:864;top:312;width:215;height:532" coordorigin="864,313" coordsize="215,532" path="m1009,313l979,315,951,328,930,352,902,410,881,470,868,534,864,598,868,663,881,726,902,786,930,844,920,814,922,784,935,756,959,735,989,725,1049,725,1035,684,1027,642,1024,598,1027,555,1035,512,1049,471,1069,432,1079,402,1077,371,1063,344,1039,323,1009,313xm1049,725l989,725,1020,727,1047,740,1069,764,1049,725,1049,725xe" filled="true" fillcolor="#5cc4be" stroked="false">
              <v:path arrowok="t"/>
              <v:fill type="solid"/>
            </v:shape>
            <w10:wrap type="none"/>
          </v:group>
        </w:pict>
      </w:r>
      <w:r>
        <w:rPr>
          <w:b/>
          <w:color w:val="692874"/>
          <w:spacing w:val="-7"/>
          <w:sz w:val="38"/>
        </w:rPr>
        <w:t>National </w:t>
      </w:r>
      <w:r>
        <w:rPr>
          <w:b/>
          <w:color w:val="692874"/>
          <w:spacing w:val="-8"/>
          <w:sz w:val="38"/>
        </w:rPr>
        <w:t>Immunisation</w:t>
      </w:r>
      <w:r>
        <w:rPr>
          <w:b/>
          <w:color w:val="692874"/>
          <w:spacing w:val="-69"/>
          <w:sz w:val="38"/>
        </w:rPr>
        <w:t> </w:t>
      </w:r>
      <w:r>
        <w:rPr>
          <w:b/>
          <w:color w:val="692874"/>
          <w:spacing w:val="-8"/>
          <w:sz w:val="38"/>
        </w:rPr>
        <w:t>Program</w:t>
      </w:r>
    </w:p>
    <w:p>
      <w:pPr>
        <w:spacing w:line="228" w:lineRule="auto" w:before="70"/>
        <w:ind w:left="4544" w:right="1948" w:firstLine="0"/>
        <w:jc w:val="left"/>
        <w:rPr>
          <w:b/>
          <w:sz w:val="33"/>
        </w:rPr>
      </w:pPr>
      <w:r>
        <w:rPr/>
        <w:drawing>
          <wp:anchor distT="0" distB="0" distL="0" distR="0" allowOverlap="1" layoutInCell="1" locked="0" behindDoc="0" simplePos="0" relativeHeight="1168">
            <wp:simplePos x="0" y="0"/>
            <wp:positionH relativeFrom="page">
              <wp:posOffset>548666</wp:posOffset>
            </wp:positionH>
            <wp:positionV relativeFrom="paragraph">
              <wp:posOffset>486175</wp:posOffset>
            </wp:positionV>
            <wp:extent cx="2272195" cy="82405"/>
            <wp:effectExtent l="0" t="0" r="0" b="0"/>
            <wp:wrapNone/>
            <wp:docPr id="3" name="image2.png" descr=""/>
            <wp:cNvGraphicFramePr>
              <a:graphicFrameLocks noChangeAspect="1"/>
            </wp:cNvGraphicFramePr>
            <a:graphic>
              <a:graphicData uri="http://schemas.openxmlformats.org/drawingml/2006/picture">
                <pic:pic>
                  <pic:nvPicPr>
                    <pic:cNvPr id="4" name="image2.png"/>
                    <pic:cNvPicPr/>
                  </pic:nvPicPr>
                  <pic:blipFill>
                    <a:blip r:embed="rId6" cstate="print"/>
                    <a:stretch>
                      <a:fillRect/>
                    </a:stretch>
                  </pic:blipFill>
                  <pic:spPr>
                    <a:xfrm>
                      <a:off x="0" y="0"/>
                      <a:ext cx="2272195" cy="82405"/>
                    </a:xfrm>
                    <a:prstGeom prst="rect">
                      <a:avLst/>
                    </a:prstGeom>
                  </pic:spPr>
                </pic:pic>
              </a:graphicData>
            </a:graphic>
          </wp:anchor>
        </w:drawing>
      </w:r>
      <w:r>
        <w:rPr>
          <w:b/>
          <w:color w:val="00797E"/>
          <w:spacing w:val="-7"/>
          <w:w w:val="95"/>
          <w:sz w:val="33"/>
        </w:rPr>
        <w:t>Meningococcal vaccination </w:t>
      </w:r>
      <w:r>
        <w:rPr>
          <w:b/>
          <w:color w:val="00797E"/>
          <w:spacing w:val="-7"/>
          <w:sz w:val="33"/>
        </w:rPr>
        <w:t>schedule </w:t>
      </w:r>
      <w:r>
        <w:rPr>
          <w:b/>
          <w:color w:val="00797E"/>
          <w:spacing w:val="-6"/>
          <w:sz w:val="33"/>
        </w:rPr>
        <w:t>from </w:t>
      </w:r>
      <w:r>
        <w:rPr>
          <w:b/>
          <w:color w:val="00797E"/>
          <w:sz w:val="33"/>
        </w:rPr>
        <w:t>1 </w:t>
      </w:r>
      <w:r>
        <w:rPr>
          <w:b/>
          <w:color w:val="00797E"/>
          <w:spacing w:val="-6"/>
          <w:sz w:val="33"/>
        </w:rPr>
        <w:t>July </w:t>
      </w:r>
      <w:r>
        <w:rPr>
          <w:b/>
          <w:color w:val="00797E"/>
          <w:spacing w:val="-7"/>
          <w:sz w:val="33"/>
        </w:rPr>
        <w:t>2020</w:t>
      </w:r>
    </w:p>
    <w:p>
      <w:pPr>
        <w:pStyle w:val="BodyText"/>
        <w:spacing w:before="11"/>
        <w:ind w:left="0"/>
        <w:rPr>
          <w:b/>
          <w:sz w:val="29"/>
        </w:rPr>
      </w:pPr>
      <w:r>
        <w:rPr/>
        <w:pict>
          <v:line style="position:absolute;mso-position-horizontal-relative:page;mso-position-vertical-relative:paragraph;z-index:1048;mso-wrap-distance-left:0;mso-wrap-distance-right:0" from="44.519699pt,21.184742pt" to="550.755699pt,21.184742pt" stroked="true" strokeweight="4pt" strokecolor="#5bc4bf">
            <v:stroke dashstyle="solid"/>
            <w10:wrap type="topAndBottom"/>
          </v:line>
        </w:pict>
      </w:r>
    </w:p>
    <w:p>
      <w:pPr>
        <w:spacing w:before="113"/>
        <w:ind w:left="150" w:right="0" w:firstLine="0"/>
        <w:jc w:val="left"/>
        <w:rPr>
          <w:rFonts w:ascii="Arial Black"/>
          <w:b/>
          <w:sz w:val="32"/>
        </w:rPr>
      </w:pPr>
      <w:r>
        <w:rPr>
          <w:rFonts w:ascii="Arial Black"/>
          <w:b/>
          <w:color w:val="00797E"/>
          <w:w w:val="80"/>
          <w:sz w:val="32"/>
        </w:rPr>
        <w:t>Clinical advice for vaccination providers</w:t>
      </w:r>
    </w:p>
    <w:p>
      <w:pPr>
        <w:spacing w:line="254" w:lineRule="auto" w:before="149"/>
        <w:ind w:left="150" w:right="0" w:firstLine="0"/>
        <w:jc w:val="left"/>
        <w:rPr>
          <w:sz w:val="28"/>
        </w:rPr>
      </w:pPr>
      <w:r>
        <w:rPr>
          <w:color w:val="00797E"/>
          <w:sz w:val="28"/>
        </w:rPr>
        <w:t>From</w:t>
      </w:r>
      <w:r>
        <w:rPr>
          <w:color w:val="00797E"/>
          <w:spacing w:val="-25"/>
          <w:sz w:val="28"/>
        </w:rPr>
        <w:t> </w:t>
      </w:r>
      <w:r>
        <w:rPr>
          <w:color w:val="00797E"/>
          <w:sz w:val="28"/>
        </w:rPr>
        <w:t>1</w:t>
      </w:r>
      <w:r>
        <w:rPr>
          <w:color w:val="00797E"/>
          <w:spacing w:val="-25"/>
          <w:sz w:val="28"/>
        </w:rPr>
        <w:t> </w:t>
      </w:r>
      <w:r>
        <w:rPr>
          <w:color w:val="00797E"/>
          <w:sz w:val="28"/>
        </w:rPr>
        <w:t>July</w:t>
      </w:r>
      <w:r>
        <w:rPr>
          <w:color w:val="00797E"/>
          <w:spacing w:val="-25"/>
          <w:sz w:val="28"/>
        </w:rPr>
        <w:t> </w:t>
      </w:r>
      <w:r>
        <w:rPr>
          <w:color w:val="00797E"/>
          <w:spacing w:val="-4"/>
          <w:sz w:val="28"/>
        </w:rPr>
        <w:t>2020,</w:t>
      </w:r>
      <w:r>
        <w:rPr>
          <w:color w:val="00797E"/>
          <w:spacing w:val="-25"/>
          <w:sz w:val="28"/>
        </w:rPr>
        <w:t> </w:t>
      </w:r>
      <w:r>
        <w:rPr>
          <w:color w:val="00797E"/>
          <w:sz w:val="28"/>
        </w:rPr>
        <w:t>there</w:t>
      </w:r>
      <w:r>
        <w:rPr>
          <w:color w:val="00797E"/>
          <w:spacing w:val="-25"/>
          <w:sz w:val="28"/>
        </w:rPr>
        <w:t> </w:t>
      </w:r>
      <w:r>
        <w:rPr>
          <w:color w:val="00797E"/>
          <w:sz w:val="28"/>
        </w:rPr>
        <w:t>are</w:t>
      </w:r>
      <w:r>
        <w:rPr>
          <w:color w:val="00797E"/>
          <w:spacing w:val="-25"/>
          <w:sz w:val="28"/>
        </w:rPr>
        <w:t> </w:t>
      </w:r>
      <w:r>
        <w:rPr>
          <w:color w:val="00797E"/>
          <w:sz w:val="28"/>
        </w:rPr>
        <w:t>changes</w:t>
      </w:r>
      <w:r>
        <w:rPr>
          <w:color w:val="00797E"/>
          <w:spacing w:val="-25"/>
          <w:sz w:val="28"/>
        </w:rPr>
        <w:t> </w:t>
      </w:r>
      <w:r>
        <w:rPr>
          <w:color w:val="00797E"/>
          <w:sz w:val="28"/>
        </w:rPr>
        <w:t>to</w:t>
      </w:r>
      <w:r>
        <w:rPr>
          <w:color w:val="00797E"/>
          <w:spacing w:val="-25"/>
          <w:sz w:val="28"/>
        </w:rPr>
        <w:t> </w:t>
      </w:r>
      <w:r>
        <w:rPr>
          <w:color w:val="00797E"/>
          <w:sz w:val="28"/>
        </w:rPr>
        <w:t>the</w:t>
      </w:r>
      <w:r>
        <w:rPr>
          <w:color w:val="00797E"/>
          <w:spacing w:val="-25"/>
          <w:sz w:val="28"/>
        </w:rPr>
        <w:t> </w:t>
      </w:r>
      <w:r>
        <w:rPr>
          <w:color w:val="00797E"/>
          <w:sz w:val="28"/>
        </w:rPr>
        <w:t>meningococcal</w:t>
      </w:r>
      <w:r>
        <w:rPr>
          <w:color w:val="00797E"/>
          <w:spacing w:val="-25"/>
          <w:sz w:val="28"/>
        </w:rPr>
        <w:t> </w:t>
      </w:r>
      <w:r>
        <w:rPr>
          <w:color w:val="00797E"/>
          <w:sz w:val="28"/>
        </w:rPr>
        <w:t>vaccination</w:t>
      </w:r>
      <w:r>
        <w:rPr>
          <w:color w:val="00797E"/>
          <w:spacing w:val="-25"/>
          <w:sz w:val="28"/>
        </w:rPr>
        <w:t> </w:t>
      </w:r>
      <w:r>
        <w:rPr>
          <w:color w:val="00797E"/>
          <w:sz w:val="28"/>
        </w:rPr>
        <w:t>schedule under</w:t>
      </w:r>
      <w:r>
        <w:rPr>
          <w:color w:val="00797E"/>
          <w:spacing w:val="-13"/>
          <w:sz w:val="28"/>
        </w:rPr>
        <w:t> </w:t>
      </w:r>
      <w:r>
        <w:rPr>
          <w:color w:val="00797E"/>
          <w:sz w:val="28"/>
        </w:rPr>
        <w:t>the</w:t>
      </w:r>
      <w:r>
        <w:rPr>
          <w:color w:val="00797E"/>
          <w:spacing w:val="-13"/>
          <w:sz w:val="28"/>
        </w:rPr>
        <w:t> </w:t>
      </w:r>
      <w:r>
        <w:rPr>
          <w:color w:val="00797E"/>
          <w:sz w:val="28"/>
        </w:rPr>
        <w:t>National</w:t>
      </w:r>
      <w:r>
        <w:rPr>
          <w:color w:val="00797E"/>
          <w:spacing w:val="-13"/>
          <w:sz w:val="28"/>
        </w:rPr>
        <w:t> </w:t>
      </w:r>
      <w:r>
        <w:rPr>
          <w:color w:val="00797E"/>
          <w:sz w:val="28"/>
        </w:rPr>
        <w:t>Immunisation</w:t>
      </w:r>
      <w:r>
        <w:rPr>
          <w:color w:val="00797E"/>
          <w:spacing w:val="-13"/>
          <w:sz w:val="28"/>
        </w:rPr>
        <w:t> </w:t>
      </w:r>
      <w:r>
        <w:rPr>
          <w:color w:val="00797E"/>
          <w:sz w:val="28"/>
        </w:rPr>
        <w:t>Program</w:t>
      </w:r>
      <w:r>
        <w:rPr>
          <w:color w:val="00797E"/>
          <w:spacing w:val="-13"/>
          <w:sz w:val="28"/>
        </w:rPr>
        <w:t> </w:t>
      </w:r>
      <w:r>
        <w:rPr>
          <w:color w:val="00797E"/>
          <w:spacing w:val="-2"/>
          <w:sz w:val="28"/>
        </w:rPr>
        <w:t>(NIP).</w:t>
      </w:r>
    </w:p>
    <w:p>
      <w:pPr>
        <w:pStyle w:val="BodyText"/>
        <w:ind w:left="0"/>
        <w:rPr>
          <w:sz w:val="17"/>
        </w:rPr>
      </w:pPr>
      <w:r>
        <w:rPr/>
        <w:pict>
          <v:line style="position:absolute;mso-position-horizontal-relative:page;mso-position-vertical-relative:paragraph;z-index:1072;mso-wrap-distance-left:0;mso-wrap-distance-right:0" from="43.089401pt,12.496598pt" to="552.006401pt,12.496598pt" stroked="true" strokeweight="1.5pt" strokecolor="#5bc4bf">
            <v:stroke dashstyle="solid"/>
            <w10:wrap type="topAndBottom"/>
          </v:line>
        </w:pict>
      </w:r>
    </w:p>
    <w:p>
      <w:pPr>
        <w:pStyle w:val="BodyText"/>
        <w:spacing w:before="10"/>
        <w:ind w:left="0"/>
        <w:rPr>
          <w:sz w:val="6"/>
        </w:rPr>
      </w:pPr>
    </w:p>
    <w:p>
      <w:pPr>
        <w:spacing w:after="0"/>
        <w:rPr>
          <w:sz w:val="6"/>
        </w:rPr>
        <w:sectPr>
          <w:type w:val="continuous"/>
          <w:pgSz w:w="11910" w:h="16840"/>
          <w:pgMar w:top="840" w:bottom="280" w:left="700" w:right="740"/>
        </w:sectPr>
      </w:pPr>
    </w:p>
    <w:p>
      <w:pPr>
        <w:pStyle w:val="Heading1"/>
        <w:spacing w:line="232" w:lineRule="auto"/>
        <w:ind w:right="37"/>
      </w:pPr>
      <w:r>
        <w:rPr>
          <w:color w:val="00797E"/>
          <w:spacing w:val="-3"/>
        </w:rPr>
        <w:t>Meningococcal</w:t>
      </w:r>
      <w:r>
        <w:rPr>
          <w:color w:val="00797E"/>
          <w:spacing w:val="-16"/>
        </w:rPr>
        <w:t> </w:t>
      </w:r>
      <w:r>
        <w:rPr>
          <w:color w:val="00797E"/>
        </w:rPr>
        <w:t>B</w:t>
      </w:r>
      <w:r>
        <w:rPr>
          <w:color w:val="00797E"/>
          <w:spacing w:val="-16"/>
        </w:rPr>
        <w:t> </w:t>
      </w:r>
      <w:r>
        <w:rPr>
          <w:color w:val="00797E"/>
          <w:spacing w:val="-3"/>
        </w:rPr>
        <w:t>vaccination</w:t>
      </w:r>
      <w:r>
        <w:rPr>
          <w:color w:val="00797E"/>
          <w:spacing w:val="-16"/>
        </w:rPr>
        <w:t> </w:t>
      </w:r>
      <w:r>
        <w:rPr>
          <w:color w:val="00797E"/>
        </w:rPr>
        <w:t>for</w:t>
      </w:r>
      <w:r>
        <w:rPr>
          <w:color w:val="00797E"/>
          <w:spacing w:val="-16"/>
        </w:rPr>
        <w:t> </w:t>
      </w:r>
      <w:r>
        <w:rPr>
          <w:color w:val="00797E"/>
          <w:spacing w:val="-3"/>
        </w:rPr>
        <w:t>Aboriginal </w:t>
      </w:r>
      <w:r>
        <w:rPr>
          <w:color w:val="00797E"/>
        </w:rPr>
        <w:t>and </w:t>
      </w:r>
      <w:r>
        <w:rPr>
          <w:color w:val="00797E"/>
          <w:spacing w:val="-8"/>
        </w:rPr>
        <w:t>Torres </w:t>
      </w:r>
      <w:r>
        <w:rPr>
          <w:color w:val="00797E"/>
          <w:spacing w:val="-4"/>
        </w:rPr>
        <w:t>Strait </w:t>
      </w:r>
      <w:r>
        <w:rPr>
          <w:color w:val="00797E"/>
          <w:spacing w:val="-3"/>
        </w:rPr>
        <w:t>Islander</w:t>
      </w:r>
      <w:r>
        <w:rPr>
          <w:color w:val="00797E"/>
          <w:spacing w:val="-42"/>
        </w:rPr>
        <w:t> </w:t>
      </w:r>
      <w:r>
        <w:rPr>
          <w:color w:val="00797E"/>
          <w:spacing w:val="-3"/>
        </w:rPr>
        <w:t>children</w:t>
      </w:r>
    </w:p>
    <w:p>
      <w:pPr>
        <w:pStyle w:val="BodyText"/>
        <w:spacing w:line="261" w:lineRule="auto" w:before="53"/>
        <w:ind w:right="256"/>
      </w:pPr>
      <w:r>
        <w:rPr/>
        <w:t>From</w:t>
      </w:r>
      <w:r>
        <w:rPr>
          <w:spacing w:val="-17"/>
        </w:rPr>
        <w:t> </w:t>
      </w:r>
      <w:r>
        <w:rPr/>
        <w:t>1</w:t>
      </w:r>
      <w:r>
        <w:rPr>
          <w:spacing w:val="-17"/>
        </w:rPr>
        <w:t> </w:t>
      </w:r>
      <w:r>
        <w:rPr/>
        <w:t>July</w:t>
      </w:r>
      <w:r>
        <w:rPr>
          <w:spacing w:val="-17"/>
        </w:rPr>
        <w:t> </w:t>
      </w:r>
      <w:r>
        <w:rPr/>
        <w:t>2020,</w:t>
      </w:r>
      <w:r>
        <w:rPr>
          <w:spacing w:val="-17"/>
        </w:rPr>
        <w:t> </w:t>
      </w:r>
      <w:r>
        <w:rPr/>
        <w:t>the</w:t>
      </w:r>
      <w:r>
        <w:rPr>
          <w:spacing w:val="-17"/>
        </w:rPr>
        <w:t> </w:t>
      </w:r>
      <w:r>
        <w:rPr/>
        <w:t>meningococcal</w:t>
      </w:r>
      <w:r>
        <w:rPr>
          <w:spacing w:val="-17"/>
        </w:rPr>
        <w:t> </w:t>
      </w:r>
      <w:r>
        <w:rPr/>
        <w:t>B</w:t>
      </w:r>
      <w:r>
        <w:rPr>
          <w:spacing w:val="-17"/>
        </w:rPr>
        <w:t> </w:t>
      </w:r>
      <w:r>
        <w:rPr/>
        <w:t>vaccine</w:t>
      </w:r>
      <w:r>
        <w:rPr>
          <w:spacing w:val="-17"/>
        </w:rPr>
        <w:t> </w:t>
      </w:r>
      <w:r>
        <w:rPr/>
        <w:t>(Bexsero®)</w:t>
      </w:r>
      <w:r>
        <w:rPr>
          <w:spacing w:val="-17"/>
        </w:rPr>
        <w:t> </w:t>
      </w:r>
      <w:r>
        <w:rPr/>
        <w:t>will</w:t>
      </w:r>
      <w:r>
        <w:rPr>
          <w:spacing w:val="-17"/>
        </w:rPr>
        <w:t> </w:t>
      </w:r>
      <w:r>
        <w:rPr/>
        <w:t>be funded through the NIP for Aboriginal and </w:t>
      </w:r>
      <w:r>
        <w:rPr>
          <w:spacing w:val="-4"/>
        </w:rPr>
        <w:t>Torres </w:t>
      </w:r>
      <w:r>
        <w:rPr/>
        <w:t>Strait Islander children &lt;2 years of</w:t>
      </w:r>
      <w:r>
        <w:rPr>
          <w:spacing w:val="-18"/>
        </w:rPr>
        <w:t> </w:t>
      </w:r>
      <w:r>
        <w:rPr/>
        <w:t>age.</w:t>
      </w:r>
    </w:p>
    <w:p>
      <w:pPr>
        <w:pStyle w:val="BodyText"/>
        <w:spacing w:line="261" w:lineRule="auto" w:before="55"/>
        <w:ind w:right="246"/>
        <w:jc w:val="both"/>
      </w:pPr>
      <w:r>
        <w:rPr/>
        <w:t>The</w:t>
      </w:r>
      <w:r>
        <w:rPr>
          <w:spacing w:val="-19"/>
        </w:rPr>
        <w:t> </w:t>
      </w:r>
      <w:r>
        <w:rPr/>
        <w:t>incidence</w:t>
      </w:r>
      <w:r>
        <w:rPr>
          <w:spacing w:val="-19"/>
        </w:rPr>
        <w:t> </w:t>
      </w:r>
      <w:r>
        <w:rPr/>
        <w:t>of</w:t>
      </w:r>
      <w:r>
        <w:rPr>
          <w:spacing w:val="-19"/>
        </w:rPr>
        <w:t> </w:t>
      </w:r>
      <w:r>
        <w:rPr/>
        <w:t>invasive</w:t>
      </w:r>
      <w:r>
        <w:rPr>
          <w:spacing w:val="-19"/>
        </w:rPr>
        <w:t> </w:t>
      </w:r>
      <w:r>
        <w:rPr/>
        <w:t>meningococcal</w:t>
      </w:r>
      <w:r>
        <w:rPr>
          <w:spacing w:val="-19"/>
        </w:rPr>
        <w:t> </w:t>
      </w:r>
      <w:r>
        <w:rPr/>
        <w:t>disease</w:t>
      </w:r>
      <w:r>
        <w:rPr>
          <w:spacing w:val="-19"/>
        </w:rPr>
        <w:t> </w:t>
      </w:r>
      <w:r>
        <w:rPr/>
        <w:t>(IMD)</w:t>
      </w:r>
      <w:r>
        <w:rPr>
          <w:spacing w:val="-19"/>
        </w:rPr>
        <w:t> </w:t>
      </w:r>
      <w:r>
        <w:rPr/>
        <w:t>caused</w:t>
      </w:r>
      <w:r>
        <w:rPr>
          <w:spacing w:val="-19"/>
        </w:rPr>
        <w:t> </w:t>
      </w:r>
      <w:r>
        <w:rPr/>
        <w:t>by serogroup</w:t>
      </w:r>
      <w:r>
        <w:rPr>
          <w:spacing w:val="-9"/>
        </w:rPr>
        <w:t> </w:t>
      </w:r>
      <w:r>
        <w:rPr/>
        <w:t>B</w:t>
      </w:r>
      <w:r>
        <w:rPr>
          <w:spacing w:val="-9"/>
        </w:rPr>
        <w:t> </w:t>
      </w:r>
      <w:r>
        <w:rPr/>
        <w:t>is</w:t>
      </w:r>
      <w:r>
        <w:rPr>
          <w:spacing w:val="-9"/>
        </w:rPr>
        <w:t> </w:t>
      </w:r>
      <w:r>
        <w:rPr/>
        <w:t>highest</w:t>
      </w:r>
      <w:r>
        <w:rPr>
          <w:spacing w:val="-9"/>
        </w:rPr>
        <w:t> </w:t>
      </w:r>
      <w:r>
        <w:rPr/>
        <w:t>in</w:t>
      </w:r>
      <w:r>
        <w:rPr>
          <w:spacing w:val="-9"/>
        </w:rPr>
        <w:t> </w:t>
      </w:r>
      <w:r>
        <w:rPr/>
        <w:t>young</w:t>
      </w:r>
      <w:r>
        <w:rPr>
          <w:spacing w:val="-9"/>
        </w:rPr>
        <w:t> </w:t>
      </w:r>
      <w:r>
        <w:rPr/>
        <w:t>children</w:t>
      </w:r>
      <w:r>
        <w:rPr>
          <w:spacing w:val="-9"/>
        </w:rPr>
        <w:t> </w:t>
      </w:r>
      <w:r>
        <w:rPr/>
        <w:t>compared</w:t>
      </w:r>
      <w:r>
        <w:rPr>
          <w:spacing w:val="-9"/>
        </w:rPr>
        <w:t> </w:t>
      </w:r>
      <w:r>
        <w:rPr/>
        <w:t>with</w:t>
      </w:r>
      <w:r>
        <w:rPr>
          <w:spacing w:val="-9"/>
        </w:rPr>
        <w:t> </w:t>
      </w:r>
      <w:r>
        <w:rPr/>
        <w:t>other</w:t>
      </w:r>
      <w:r>
        <w:rPr>
          <w:spacing w:val="-9"/>
        </w:rPr>
        <w:t> </w:t>
      </w:r>
      <w:r>
        <w:rPr/>
        <w:t>age groups</w:t>
      </w:r>
      <w:r>
        <w:rPr>
          <w:spacing w:val="-11"/>
        </w:rPr>
        <w:t> </w:t>
      </w:r>
      <w:r>
        <w:rPr/>
        <w:t>and</w:t>
      </w:r>
      <w:r>
        <w:rPr>
          <w:spacing w:val="-11"/>
        </w:rPr>
        <w:t> </w:t>
      </w:r>
      <w:r>
        <w:rPr/>
        <w:t>it</w:t>
      </w:r>
      <w:r>
        <w:rPr>
          <w:spacing w:val="-11"/>
        </w:rPr>
        <w:t> </w:t>
      </w:r>
      <w:r>
        <w:rPr/>
        <w:t>is</w:t>
      </w:r>
      <w:r>
        <w:rPr>
          <w:spacing w:val="-11"/>
        </w:rPr>
        <w:t> </w:t>
      </w:r>
      <w:r>
        <w:rPr/>
        <w:t>about</w:t>
      </w:r>
      <w:r>
        <w:rPr>
          <w:spacing w:val="-11"/>
        </w:rPr>
        <w:t> </w:t>
      </w:r>
      <w:r>
        <w:rPr/>
        <w:t>4</w:t>
      </w:r>
      <w:r>
        <w:rPr>
          <w:spacing w:val="-11"/>
        </w:rPr>
        <w:t> </w:t>
      </w:r>
      <w:r>
        <w:rPr/>
        <w:t>times</w:t>
      </w:r>
      <w:r>
        <w:rPr>
          <w:spacing w:val="-11"/>
        </w:rPr>
        <w:t> </w:t>
      </w:r>
      <w:r>
        <w:rPr/>
        <w:t>higher</w:t>
      </w:r>
      <w:r>
        <w:rPr>
          <w:spacing w:val="-11"/>
        </w:rPr>
        <w:t> </w:t>
      </w:r>
      <w:r>
        <w:rPr/>
        <w:t>in</w:t>
      </w:r>
      <w:r>
        <w:rPr>
          <w:spacing w:val="-11"/>
        </w:rPr>
        <w:t> </w:t>
      </w:r>
      <w:r>
        <w:rPr/>
        <w:t>Aboriginal</w:t>
      </w:r>
      <w:r>
        <w:rPr>
          <w:spacing w:val="-11"/>
        </w:rPr>
        <w:t> </w:t>
      </w:r>
      <w:r>
        <w:rPr/>
        <w:t>and</w:t>
      </w:r>
      <w:r>
        <w:rPr>
          <w:spacing w:val="-11"/>
        </w:rPr>
        <w:t> </w:t>
      </w:r>
      <w:r>
        <w:rPr>
          <w:spacing w:val="-4"/>
        </w:rPr>
        <w:t>Torres</w:t>
      </w:r>
      <w:r>
        <w:rPr>
          <w:spacing w:val="-11"/>
        </w:rPr>
        <w:t> </w:t>
      </w:r>
      <w:r>
        <w:rPr/>
        <w:t>Strait Islander</w:t>
      </w:r>
      <w:r>
        <w:rPr>
          <w:spacing w:val="-13"/>
        </w:rPr>
        <w:t> </w:t>
      </w:r>
      <w:r>
        <w:rPr/>
        <w:t>children</w:t>
      </w:r>
      <w:r>
        <w:rPr>
          <w:spacing w:val="-13"/>
        </w:rPr>
        <w:t> </w:t>
      </w:r>
      <w:r>
        <w:rPr/>
        <w:t>aged</w:t>
      </w:r>
      <w:r>
        <w:rPr>
          <w:spacing w:val="-13"/>
        </w:rPr>
        <w:t> </w:t>
      </w:r>
      <w:r>
        <w:rPr/>
        <w:t>&lt;2</w:t>
      </w:r>
      <w:r>
        <w:rPr>
          <w:spacing w:val="-13"/>
        </w:rPr>
        <w:t> </w:t>
      </w:r>
      <w:r>
        <w:rPr/>
        <w:t>years</w:t>
      </w:r>
      <w:r>
        <w:rPr>
          <w:spacing w:val="-13"/>
        </w:rPr>
        <w:t> </w:t>
      </w:r>
      <w:r>
        <w:rPr/>
        <w:t>than</w:t>
      </w:r>
      <w:r>
        <w:rPr>
          <w:spacing w:val="-13"/>
        </w:rPr>
        <w:t> </w:t>
      </w:r>
      <w:r>
        <w:rPr/>
        <w:t>in</w:t>
      </w:r>
      <w:r>
        <w:rPr>
          <w:spacing w:val="-13"/>
        </w:rPr>
        <w:t> </w:t>
      </w:r>
      <w:r>
        <w:rPr/>
        <w:t>non-Indigenous</w:t>
      </w:r>
      <w:r>
        <w:rPr>
          <w:spacing w:val="-13"/>
        </w:rPr>
        <w:t> </w:t>
      </w:r>
      <w:r>
        <w:rPr/>
        <w:t>children.</w:t>
      </w:r>
    </w:p>
    <w:p>
      <w:pPr>
        <w:pStyle w:val="BodyText"/>
        <w:spacing w:line="261" w:lineRule="auto" w:before="55"/>
        <w:ind w:right="249"/>
      </w:pPr>
      <w:r>
        <w:rPr/>
        <w:t>The number of Bexsero® doses required depends on age and presence of any medical conditions that increase the risk of IMD.</w:t>
      </w:r>
    </w:p>
    <w:p>
      <w:pPr>
        <w:pStyle w:val="BodyText"/>
        <w:spacing w:before="1"/>
        <w:ind w:left="0"/>
        <w:rPr>
          <w:sz w:val="12"/>
        </w:rPr>
      </w:pPr>
    </w:p>
    <w:tbl>
      <w:tblPr>
        <w:tblW w:w="0" w:type="auto"/>
        <w:jc w:val="left"/>
        <w:tblInd w:w="1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top w:w="0" w:type="dxa"/>
          <w:left w:w="0" w:type="dxa"/>
          <w:bottom w:w="0" w:type="dxa"/>
          <w:right w:w="0" w:type="dxa"/>
        </w:tblCellMar>
        <w:tblLook w:val="01E0"/>
      </w:tblPr>
      <w:tblGrid>
        <w:gridCol w:w="4965"/>
      </w:tblGrid>
      <w:tr>
        <w:trPr>
          <w:trHeight w:val="1277" w:hRule="atLeast"/>
        </w:trPr>
        <w:tc>
          <w:tcPr>
            <w:tcW w:w="4965" w:type="dxa"/>
            <w:tcBorders>
              <w:left w:val="nil"/>
              <w:bottom w:val="single" w:sz="12" w:space="0" w:color="FFFFFF"/>
              <w:right w:val="single" w:sz="12" w:space="0" w:color="FFFFFF"/>
            </w:tcBorders>
            <w:shd w:val="clear" w:color="auto" w:fill="5BC4BF"/>
          </w:tcPr>
          <w:p>
            <w:pPr>
              <w:pStyle w:val="TableParagraph"/>
              <w:spacing w:line="232" w:lineRule="auto" w:before="72"/>
              <w:ind w:right="585"/>
              <w:rPr>
                <w:sz w:val="26"/>
              </w:rPr>
            </w:pPr>
            <w:r>
              <w:rPr>
                <w:color w:val="FFFFFF"/>
                <w:spacing w:val="-5"/>
                <w:sz w:val="26"/>
              </w:rPr>
              <w:t>Table</w:t>
            </w:r>
            <w:r>
              <w:rPr>
                <w:color w:val="FFFFFF"/>
                <w:spacing w:val="-30"/>
                <w:sz w:val="26"/>
              </w:rPr>
              <w:t> </w:t>
            </w:r>
            <w:r>
              <w:rPr>
                <w:color w:val="FFFFFF"/>
                <w:sz w:val="26"/>
              </w:rPr>
              <w:t>1.</w:t>
            </w:r>
            <w:r>
              <w:rPr>
                <w:color w:val="FFFFFF"/>
                <w:spacing w:val="-30"/>
                <w:sz w:val="26"/>
              </w:rPr>
              <w:t> </w:t>
            </w:r>
            <w:r>
              <w:rPr>
                <w:color w:val="FFFFFF"/>
                <w:sz w:val="26"/>
              </w:rPr>
              <w:t>NIP</w:t>
            </w:r>
            <w:r>
              <w:rPr>
                <w:color w:val="FFFFFF"/>
                <w:spacing w:val="-30"/>
                <w:sz w:val="26"/>
              </w:rPr>
              <w:t> </w:t>
            </w:r>
            <w:r>
              <w:rPr>
                <w:color w:val="FFFFFF"/>
                <w:sz w:val="26"/>
              </w:rPr>
              <w:t>funded</w:t>
            </w:r>
            <w:r>
              <w:rPr>
                <w:color w:val="FFFFFF"/>
                <w:spacing w:val="-30"/>
                <w:sz w:val="26"/>
              </w:rPr>
              <w:t> </w:t>
            </w:r>
            <w:r>
              <w:rPr>
                <w:color w:val="FFFFFF"/>
                <w:sz w:val="26"/>
              </w:rPr>
              <w:t>meningococcal</w:t>
            </w:r>
            <w:r>
              <w:rPr>
                <w:color w:val="FFFFFF"/>
                <w:spacing w:val="-30"/>
                <w:sz w:val="26"/>
              </w:rPr>
              <w:t> </w:t>
            </w:r>
            <w:r>
              <w:rPr>
                <w:color w:val="FFFFFF"/>
                <w:sz w:val="26"/>
              </w:rPr>
              <w:t>B vaccination schedule for Aboriginal and </w:t>
            </w:r>
            <w:r>
              <w:rPr>
                <w:color w:val="FFFFFF"/>
                <w:spacing w:val="-5"/>
                <w:sz w:val="26"/>
              </w:rPr>
              <w:t>Torres </w:t>
            </w:r>
            <w:r>
              <w:rPr>
                <w:color w:val="FFFFFF"/>
                <w:sz w:val="26"/>
              </w:rPr>
              <w:t>Strait Islander children aged &lt;2</w:t>
            </w:r>
            <w:r>
              <w:rPr>
                <w:color w:val="FFFFFF"/>
                <w:spacing w:val="-14"/>
                <w:sz w:val="26"/>
              </w:rPr>
              <w:t> </w:t>
            </w:r>
            <w:r>
              <w:rPr>
                <w:color w:val="FFFFFF"/>
                <w:sz w:val="26"/>
              </w:rPr>
              <w:t>years</w:t>
            </w:r>
          </w:p>
        </w:tc>
      </w:tr>
      <w:tr>
        <w:trPr>
          <w:trHeight w:val="841" w:hRule="atLeast"/>
        </w:trPr>
        <w:tc>
          <w:tcPr>
            <w:tcW w:w="4965" w:type="dxa"/>
            <w:tcBorders>
              <w:top w:val="single" w:sz="12" w:space="0" w:color="FFFFFF"/>
              <w:left w:val="nil"/>
            </w:tcBorders>
            <w:shd w:val="clear" w:color="auto" w:fill="EFF9F9"/>
          </w:tcPr>
          <w:p>
            <w:pPr>
              <w:pStyle w:val="TableParagraph"/>
              <w:spacing w:line="261" w:lineRule="auto" w:before="103"/>
              <w:ind w:right="280"/>
              <w:rPr>
                <w:b/>
                <w:sz w:val="16"/>
              </w:rPr>
            </w:pPr>
            <w:r>
              <w:rPr>
                <w:b/>
                <w:sz w:val="16"/>
              </w:rPr>
              <w:t>Aboriginal</w:t>
            </w:r>
            <w:r>
              <w:rPr>
                <w:b/>
                <w:spacing w:val="-21"/>
                <w:sz w:val="16"/>
              </w:rPr>
              <w:t> </w:t>
            </w:r>
            <w:r>
              <w:rPr>
                <w:b/>
                <w:sz w:val="16"/>
              </w:rPr>
              <w:t>and</w:t>
            </w:r>
            <w:r>
              <w:rPr>
                <w:b/>
                <w:spacing w:val="-21"/>
                <w:sz w:val="16"/>
              </w:rPr>
              <w:t> </w:t>
            </w:r>
            <w:r>
              <w:rPr>
                <w:b/>
                <w:spacing w:val="-3"/>
                <w:sz w:val="16"/>
              </w:rPr>
              <w:t>Torres</w:t>
            </w:r>
            <w:r>
              <w:rPr>
                <w:b/>
                <w:spacing w:val="-21"/>
                <w:sz w:val="16"/>
              </w:rPr>
              <w:t> </w:t>
            </w:r>
            <w:r>
              <w:rPr>
                <w:b/>
                <w:sz w:val="16"/>
              </w:rPr>
              <w:t>Strait</w:t>
            </w:r>
            <w:r>
              <w:rPr>
                <w:b/>
                <w:spacing w:val="-21"/>
                <w:sz w:val="16"/>
              </w:rPr>
              <w:t> </w:t>
            </w:r>
            <w:r>
              <w:rPr>
                <w:b/>
                <w:sz w:val="16"/>
              </w:rPr>
              <w:t>Islander</w:t>
            </w:r>
            <w:r>
              <w:rPr>
                <w:b/>
                <w:spacing w:val="-21"/>
                <w:sz w:val="16"/>
              </w:rPr>
              <w:t> </w:t>
            </w:r>
            <w:r>
              <w:rPr>
                <w:b/>
                <w:sz w:val="16"/>
              </w:rPr>
              <w:t>children</w:t>
            </w:r>
            <w:r>
              <w:rPr>
                <w:b/>
                <w:spacing w:val="-21"/>
                <w:sz w:val="16"/>
              </w:rPr>
              <w:t> </w:t>
            </w:r>
            <w:r>
              <w:rPr>
                <w:b/>
                <w:sz w:val="16"/>
              </w:rPr>
              <w:t>with</w:t>
            </w:r>
            <w:r>
              <w:rPr>
                <w:b/>
                <w:spacing w:val="-21"/>
                <w:sz w:val="16"/>
              </w:rPr>
              <w:t> </w:t>
            </w:r>
            <w:r>
              <w:rPr>
                <w:b/>
                <w:sz w:val="16"/>
              </w:rPr>
              <w:t>no</w:t>
            </w:r>
            <w:r>
              <w:rPr>
                <w:b/>
                <w:spacing w:val="-21"/>
                <w:sz w:val="16"/>
              </w:rPr>
              <w:t> </w:t>
            </w:r>
            <w:r>
              <w:rPr>
                <w:b/>
                <w:sz w:val="16"/>
              </w:rPr>
              <w:t>medical risk</w:t>
            </w:r>
            <w:r>
              <w:rPr>
                <w:b/>
                <w:spacing w:val="-5"/>
                <w:sz w:val="16"/>
              </w:rPr>
              <w:t> </w:t>
            </w:r>
            <w:r>
              <w:rPr>
                <w:b/>
                <w:sz w:val="16"/>
              </w:rPr>
              <w:t>conditions</w:t>
            </w:r>
          </w:p>
          <w:p>
            <w:pPr>
              <w:pStyle w:val="TableParagraph"/>
              <w:numPr>
                <w:ilvl w:val="0"/>
                <w:numId w:val="1"/>
              </w:numPr>
              <w:tabs>
                <w:tab w:pos="383" w:val="left" w:leader="none"/>
              </w:tabs>
              <w:spacing w:line="240" w:lineRule="auto" w:before="55" w:after="0"/>
              <w:ind w:left="382" w:right="0" w:hanging="227"/>
              <w:jc w:val="left"/>
              <w:rPr>
                <w:sz w:val="16"/>
              </w:rPr>
            </w:pPr>
            <w:r>
              <w:rPr>
                <w:sz w:val="16"/>
              </w:rPr>
              <w:t>1</w:t>
            </w:r>
            <w:r>
              <w:rPr>
                <w:spacing w:val="-12"/>
                <w:sz w:val="16"/>
              </w:rPr>
              <w:t> </w:t>
            </w:r>
            <w:r>
              <w:rPr>
                <w:sz w:val="16"/>
              </w:rPr>
              <w:t>dose</w:t>
            </w:r>
            <w:r>
              <w:rPr>
                <w:spacing w:val="-12"/>
                <w:sz w:val="16"/>
              </w:rPr>
              <w:t> </w:t>
            </w:r>
            <w:r>
              <w:rPr>
                <w:sz w:val="16"/>
              </w:rPr>
              <w:t>at</w:t>
            </w:r>
            <w:r>
              <w:rPr>
                <w:spacing w:val="-12"/>
                <w:sz w:val="16"/>
              </w:rPr>
              <w:t> </w:t>
            </w:r>
            <w:r>
              <w:rPr>
                <w:sz w:val="16"/>
              </w:rPr>
              <w:t>2*,</w:t>
            </w:r>
            <w:r>
              <w:rPr>
                <w:spacing w:val="-12"/>
                <w:sz w:val="16"/>
              </w:rPr>
              <w:t> </w:t>
            </w:r>
            <w:r>
              <w:rPr>
                <w:sz w:val="16"/>
              </w:rPr>
              <w:t>4</w:t>
            </w:r>
            <w:r>
              <w:rPr>
                <w:spacing w:val="-12"/>
                <w:sz w:val="16"/>
              </w:rPr>
              <w:t> </w:t>
            </w:r>
            <w:r>
              <w:rPr>
                <w:sz w:val="16"/>
              </w:rPr>
              <w:t>and</w:t>
            </w:r>
            <w:r>
              <w:rPr>
                <w:spacing w:val="-12"/>
                <w:sz w:val="16"/>
              </w:rPr>
              <w:t> </w:t>
            </w:r>
            <w:r>
              <w:rPr>
                <w:sz w:val="16"/>
              </w:rPr>
              <w:t>12</w:t>
            </w:r>
            <w:r>
              <w:rPr>
                <w:spacing w:val="-12"/>
                <w:sz w:val="16"/>
              </w:rPr>
              <w:t> </w:t>
            </w:r>
            <w:r>
              <w:rPr>
                <w:sz w:val="16"/>
              </w:rPr>
              <w:t>months</w:t>
            </w:r>
            <w:r>
              <w:rPr>
                <w:spacing w:val="-12"/>
                <w:sz w:val="16"/>
              </w:rPr>
              <w:t> </w:t>
            </w:r>
            <w:r>
              <w:rPr>
                <w:sz w:val="16"/>
              </w:rPr>
              <w:t>of</w:t>
            </w:r>
            <w:r>
              <w:rPr>
                <w:spacing w:val="-12"/>
                <w:sz w:val="16"/>
              </w:rPr>
              <w:t> </w:t>
            </w:r>
            <w:r>
              <w:rPr>
                <w:sz w:val="16"/>
              </w:rPr>
              <w:t>age</w:t>
            </w:r>
            <w:r>
              <w:rPr>
                <w:spacing w:val="-12"/>
                <w:sz w:val="16"/>
              </w:rPr>
              <w:t> </w:t>
            </w:r>
            <w:r>
              <w:rPr>
                <w:sz w:val="16"/>
              </w:rPr>
              <w:t>(3</w:t>
            </w:r>
            <w:r>
              <w:rPr>
                <w:spacing w:val="-12"/>
                <w:sz w:val="16"/>
              </w:rPr>
              <w:t> </w:t>
            </w:r>
            <w:r>
              <w:rPr>
                <w:sz w:val="16"/>
              </w:rPr>
              <w:t>doses</w:t>
            </w:r>
            <w:r>
              <w:rPr>
                <w:spacing w:val="-12"/>
                <w:sz w:val="16"/>
              </w:rPr>
              <w:t> </w:t>
            </w:r>
            <w:r>
              <w:rPr>
                <w:sz w:val="16"/>
              </w:rPr>
              <w:t>in</w:t>
            </w:r>
            <w:r>
              <w:rPr>
                <w:spacing w:val="-12"/>
                <w:sz w:val="16"/>
              </w:rPr>
              <w:t> </w:t>
            </w:r>
            <w:r>
              <w:rPr>
                <w:sz w:val="16"/>
              </w:rPr>
              <w:t>total).</w:t>
            </w:r>
          </w:p>
        </w:tc>
      </w:tr>
      <w:tr>
        <w:trPr>
          <w:trHeight w:val="846" w:hRule="atLeast"/>
        </w:trPr>
        <w:tc>
          <w:tcPr>
            <w:tcW w:w="4965" w:type="dxa"/>
            <w:tcBorders>
              <w:left w:val="nil"/>
            </w:tcBorders>
            <w:shd w:val="clear" w:color="auto" w:fill="EFF9F9"/>
          </w:tcPr>
          <w:p>
            <w:pPr>
              <w:pStyle w:val="TableParagraph"/>
              <w:spacing w:line="261" w:lineRule="auto" w:before="108"/>
              <w:ind w:right="817"/>
              <w:rPr>
                <w:b/>
                <w:sz w:val="16"/>
              </w:rPr>
            </w:pPr>
            <w:r>
              <w:rPr>
                <w:b/>
                <w:sz w:val="16"/>
              </w:rPr>
              <w:t>Aboriginal</w:t>
            </w:r>
            <w:r>
              <w:rPr>
                <w:b/>
                <w:spacing w:val="-22"/>
                <w:sz w:val="16"/>
              </w:rPr>
              <w:t> </w:t>
            </w:r>
            <w:r>
              <w:rPr>
                <w:b/>
                <w:sz w:val="16"/>
              </w:rPr>
              <w:t>and</w:t>
            </w:r>
            <w:r>
              <w:rPr>
                <w:b/>
                <w:spacing w:val="-22"/>
                <w:sz w:val="16"/>
              </w:rPr>
              <w:t> </w:t>
            </w:r>
            <w:r>
              <w:rPr>
                <w:b/>
                <w:spacing w:val="-3"/>
                <w:sz w:val="16"/>
              </w:rPr>
              <w:t>Torres</w:t>
            </w:r>
            <w:r>
              <w:rPr>
                <w:b/>
                <w:spacing w:val="-22"/>
                <w:sz w:val="16"/>
              </w:rPr>
              <w:t> </w:t>
            </w:r>
            <w:r>
              <w:rPr>
                <w:b/>
                <w:sz w:val="16"/>
              </w:rPr>
              <w:t>Strait</w:t>
            </w:r>
            <w:r>
              <w:rPr>
                <w:b/>
                <w:spacing w:val="-22"/>
                <w:sz w:val="16"/>
              </w:rPr>
              <w:t> </w:t>
            </w:r>
            <w:r>
              <w:rPr>
                <w:b/>
                <w:sz w:val="16"/>
              </w:rPr>
              <w:t>Islander</w:t>
            </w:r>
            <w:r>
              <w:rPr>
                <w:b/>
                <w:spacing w:val="-22"/>
                <w:sz w:val="16"/>
              </w:rPr>
              <w:t> </w:t>
            </w:r>
            <w:r>
              <w:rPr>
                <w:b/>
                <w:sz w:val="16"/>
              </w:rPr>
              <w:t>children</w:t>
            </w:r>
            <w:r>
              <w:rPr>
                <w:b/>
                <w:spacing w:val="-22"/>
                <w:sz w:val="16"/>
              </w:rPr>
              <w:t> </w:t>
            </w:r>
            <w:r>
              <w:rPr>
                <w:b/>
                <w:sz w:val="16"/>
              </w:rPr>
              <w:t>with</w:t>
            </w:r>
            <w:r>
              <w:rPr>
                <w:b/>
                <w:spacing w:val="-22"/>
                <w:sz w:val="16"/>
              </w:rPr>
              <w:t> </w:t>
            </w:r>
            <w:r>
              <w:rPr>
                <w:b/>
                <w:sz w:val="16"/>
              </w:rPr>
              <w:t>risk conditions</w:t>
            </w:r>
            <w:r>
              <w:rPr>
                <w:b/>
                <w:spacing w:val="-6"/>
                <w:sz w:val="16"/>
              </w:rPr>
              <w:t> </w:t>
            </w:r>
            <w:r>
              <w:rPr>
                <w:b/>
                <w:sz w:val="16"/>
              </w:rPr>
              <w:t>for</w:t>
            </w:r>
            <w:r>
              <w:rPr>
                <w:b/>
                <w:spacing w:val="-6"/>
                <w:sz w:val="16"/>
              </w:rPr>
              <w:t> </w:t>
            </w:r>
            <w:r>
              <w:rPr>
                <w:b/>
                <w:sz w:val="16"/>
              </w:rPr>
              <w:t>IMD</w:t>
            </w:r>
            <w:r>
              <w:rPr>
                <w:b/>
                <w:spacing w:val="-6"/>
                <w:sz w:val="16"/>
              </w:rPr>
              <w:t> </w:t>
            </w:r>
            <w:r>
              <w:rPr>
                <w:b/>
                <w:sz w:val="16"/>
              </w:rPr>
              <w:t>set</w:t>
            </w:r>
            <w:r>
              <w:rPr>
                <w:b/>
                <w:spacing w:val="-6"/>
                <w:sz w:val="16"/>
              </w:rPr>
              <w:t> </w:t>
            </w:r>
            <w:r>
              <w:rPr>
                <w:b/>
                <w:sz w:val="16"/>
              </w:rPr>
              <w:t>out</w:t>
            </w:r>
            <w:r>
              <w:rPr>
                <w:b/>
                <w:spacing w:val="-6"/>
                <w:sz w:val="16"/>
              </w:rPr>
              <w:t> </w:t>
            </w:r>
            <w:r>
              <w:rPr>
                <w:b/>
                <w:sz w:val="16"/>
              </w:rPr>
              <w:t>in</w:t>
            </w:r>
            <w:r>
              <w:rPr>
                <w:b/>
                <w:spacing w:val="-6"/>
                <w:sz w:val="16"/>
              </w:rPr>
              <w:t> </w:t>
            </w:r>
            <w:r>
              <w:rPr>
                <w:b/>
                <w:spacing w:val="-3"/>
                <w:sz w:val="16"/>
              </w:rPr>
              <w:t>Table</w:t>
            </w:r>
            <w:r>
              <w:rPr>
                <w:b/>
                <w:spacing w:val="-6"/>
                <w:sz w:val="16"/>
              </w:rPr>
              <w:t> </w:t>
            </w:r>
            <w:r>
              <w:rPr>
                <w:b/>
                <w:sz w:val="16"/>
              </w:rPr>
              <w:t>2</w:t>
            </w:r>
          </w:p>
          <w:p>
            <w:pPr>
              <w:pStyle w:val="TableParagraph"/>
              <w:numPr>
                <w:ilvl w:val="0"/>
                <w:numId w:val="2"/>
              </w:numPr>
              <w:tabs>
                <w:tab w:pos="383" w:val="left" w:leader="none"/>
              </w:tabs>
              <w:spacing w:line="240" w:lineRule="auto" w:before="55" w:after="0"/>
              <w:ind w:left="382" w:right="0" w:hanging="227"/>
              <w:jc w:val="left"/>
              <w:rPr>
                <w:sz w:val="16"/>
              </w:rPr>
            </w:pPr>
            <w:r>
              <w:rPr>
                <w:sz w:val="16"/>
              </w:rPr>
              <w:t>1</w:t>
            </w:r>
            <w:r>
              <w:rPr>
                <w:spacing w:val="-13"/>
                <w:sz w:val="16"/>
              </w:rPr>
              <w:t> </w:t>
            </w:r>
            <w:r>
              <w:rPr>
                <w:sz w:val="16"/>
              </w:rPr>
              <w:t>dose</w:t>
            </w:r>
            <w:r>
              <w:rPr>
                <w:spacing w:val="-13"/>
                <w:sz w:val="16"/>
              </w:rPr>
              <w:t> </w:t>
            </w:r>
            <w:r>
              <w:rPr>
                <w:sz w:val="16"/>
              </w:rPr>
              <w:t>at</w:t>
            </w:r>
            <w:r>
              <w:rPr>
                <w:spacing w:val="-13"/>
                <w:sz w:val="16"/>
              </w:rPr>
              <w:t> </w:t>
            </w:r>
            <w:r>
              <w:rPr>
                <w:sz w:val="16"/>
              </w:rPr>
              <w:t>2*,</w:t>
            </w:r>
            <w:r>
              <w:rPr>
                <w:spacing w:val="-13"/>
                <w:sz w:val="16"/>
              </w:rPr>
              <w:t> </w:t>
            </w:r>
            <w:r>
              <w:rPr>
                <w:sz w:val="16"/>
              </w:rPr>
              <w:t>4,</w:t>
            </w:r>
            <w:r>
              <w:rPr>
                <w:spacing w:val="-13"/>
                <w:sz w:val="16"/>
              </w:rPr>
              <w:t> </w:t>
            </w:r>
            <w:r>
              <w:rPr>
                <w:sz w:val="16"/>
              </w:rPr>
              <w:t>6</w:t>
            </w:r>
            <w:r>
              <w:rPr>
                <w:spacing w:val="-13"/>
                <w:sz w:val="16"/>
              </w:rPr>
              <w:t> </w:t>
            </w:r>
            <w:r>
              <w:rPr>
                <w:sz w:val="16"/>
              </w:rPr>
              <w:t>and</w:t>
            </w:r>
            <w:r>
              <w:rPr>
                <w:spacing w:val="-13"/>
                <w:sz w:val="16"/>
              </w:rPr>
              <w:t> </w:t>
            </w:r>
            <w:r>
              <w:rPr>
                <w:sz w:val="16"/>
              </w:rPr>
              <w:t>12</w:t>
            </w:r>
            <w:r>
              <w:rPr>
                <w:spacing w:val="-13"/>
                <w:sz w:val="16"/>
              </w:rPr>
              <w:t> </w:t>
            </w:r>
            <w:r>
              <w:rPr>
                <w:sz w:val="16"/>
              </w:rPr>
              <w:t>months</w:t>
            </w:r>
            <w:r>
              <w:rPr>
                <w:spacing w:val="-13"/>
                <w:sz w:val="16"/>
              </w:rPr>
              <w:t> </w:t>
            </w:r>
            <w:r>
              <w:rPr>
                <w:sz w:val="16"/>
              </w:rPr>
              <w:t>of</w:t>
            </w:r>
            <w:r>
              <w:rPr>
                <w:spacing w:val="-13"/>
                <w:sz w:val="16"/>
              </w:rPr>
              <w:t> </w:t>
            </w:r>
            <w:r>
              <w:rPr>
                <w:sz w:val="16"/>
              </w:rPr>
              <w:t>age</w:t>
            </w:r>
            <w:r>
              <w:rPr>
                <w:spacing w:val="-13"/>
                <w:sz w:val="16"/>
              </w:rPr>
              <w:t> </w:t>
            </w:r>
            <w:r>
              <w:rPr>
                <w:sz w:val="16"/>
              </w:rPr>
              <w:t>(4</w:t>
            </w:r>
            <w:r>
              <w:rPr>
                <w:spacing w:val="-13"/>
                <w:sz w:val="16"/>
              </w:rPr>
              <w:t> </w:t>
            </w:r>
            <w:r>
              <w:rPr>
                <w:sz w:val="16"/>
              </w:rPr>
              <w:t>doses</w:t>
            </w:r>
            <w:r>
              <w:rPr>
                <w:spacing w:val="-13"/>
                <w:sz w:val="16"/>
              </w:rPr>
              <w:t> </w:t>
            </w:r>
            <w:r>
              <w:rPr>
                <w:sz w:val="16"/>
              </w:rPr>
              <w:t>in</w:t>
            </w:r>
            <w:r>
              <w:rPr>
                <w:spacing w:val="-13"/>
                <w:sz w:val="16"/>
              </w:rPr>
              <w:t> </w:t>
            </w:r>
            <w:r>
              <w:rPr>
                <w:sz w:val="16"/>
              </w:rPr>
              <w:t>total).</w:t>
            </w:r>
          </w:p>
        </w:tc>
      </w:tr>
      <w:tr>
        <w:trPr>
          <w:trHeight w:val="2416" w:hRule="atLeast"/>
        </w:trPr>
        <w:tc>
          <w:tcPr>
            <w:tcW w:w="4965" w:type="dxa"/>
            <w:tcBorders>
              <w:left w:val="nil"/>
            </w:tcBorders>
            <w:shd w:val="clear" w:color="auto" w:fill="EFF9F9"/>
          </w:tcPr>
          <w:p>
            <w:pPr>
              <w:pStyle w:val="TableParagraph"/>
              <w:spacing w:before="108"/>
              <w:rPr>
                <w:b/>
                <w:sz w:val="16"/>
              </w:rPr>
            </w:pPr>
            <w:r>
              <w:rPr>
                <w:b/>
                <w:w w:val="95"/>
                <w:sz w:val="16"/>
              </w:rPr>
              <w:t>Catch-up vaccination</w:t>
            </w:r>
          </w:p>
          <w:p>
            <w:pPr>
              <w:pStyle w:val="TableParagraph"/>
              <w:numPr>
                <w:ilvl w:val="0"/>
                <w:numId w:val="3"/>
              </w:numPr>
              <w:tabs>
                <w:tab w:pos="383" w:val="left" w:leader="none"/>
              </w:tabs>
              <w:spacing w:line="261" w:lineRule="auto" w:before="72" w:after="0"/>
              <w:ind w:left="382" w:right="244" w:hanging="227"/>
              <w:jc w:val="left"/>
              <w:rPr>
                <w:sz w:val="16"/>
              </w:rPr>
            </w:pPr>
            <w:r>
              <w:rPr>
                <w:sz w:val="16"/>
              </w:rPr>
              <w:t>Meningococcal</w:t>
            </w:r>
            <w:r>
              <w:rPr>
                <w:spacing w:val="-23"/>
                <w:sz w:val="16"/>
              </w:rPr>
              <w:t> </w:t>
            </w:r>
            <w:r>
              <w:rPr>
                <w:sz w:val="16"/>
              </w:rPr>
              <w:t>B</w:t>
            </w:r>
            <w:r>
              <w:rPr>
                <w:spacing w:val="-23"/>
                <w:sz w:val="16"/>
              </w:rPr>
              <w:t> </w:t>
            </w:r>
            <w:r>
              <w:rPr>
                <w:sz w:val="16"/>
              </w:rPr>
              <w:t>vaccine</w:t>
            </w:r>
            <w:r>
              <w:rPr>
                <w:spacing w:val="-23"/>
                <w:sz w:val="16"/>
              </w:rPr>
              <w:t> </w:t>
            </w:r>
            <w:r>
              <w:rPr>
                <w:sz w:val="16"/>
              </w:rPr>
              <w:t>catch-up</w:t>
            </w:r>
            <w:r>
              <w:rPr>
                <w:spacing w:val="-23"/>
                <w:sz w:val="16"/>
              </w:rPr>
              <w:t> </w:t>
            </w:r>
            <w:r>
              <w:rPr>
                <w:sz w:val="16"/>
              </w:rPr>
              <w:t>is</w:t>
            </w:r>
            <w:r>
              <w:rPr>
                <w:spacing w:val="-23"/>
                <w:sz w:val="16"/>
              </w:rPr>
              <w:t> </w:t>
            </w:r>
            <w:r>
              <w:rPr>
                <w:sz w:val="16"/>
              </w:rPr>
              <w:t>available</w:t>
            </w:r>
            <w:r>
              <w:rPr>
                <w:spacing w:val="-23"/>
                <w:sz w:val="16"/>
              </w:rPr>
              <w:t> </w:t>
            </w:r>
            <w:r>
              <w:rPr>
                <w:sz w:val="16"/>
              </w:rPr>
              <w:t>for</w:t>
            </w:r>
            <w:r>
              <w:rPr>
                <w:spacing w:val="-23"/>
                <w:sz w:val="16"/>
              </w:rPr>
              <w:t> </w:t>
            </w:r>
            <w:r>
              <w:rPr>
                <w:sz w:val="16"/>
              </w:rPr>
              <w:t>all</w:t>
            </w:r>
            <w:r>
              <w:rPr>
                <w:spacing w:val="-23"/>
                <w:sz w:val="16"/>
              </w:rPr>
              <w:t> </w:t>
            </w:r>
            <w:r>
              <w:rPr>
                <w:sz w:val="16"/>
              </w:rPr>
              <w:t>Aboriginal and</w:t>
            </w:r>
            <w:r>
              <w:rPr>
                <w:spacing w:val="-16"/>
                <w:sz w:val="16"/>
              </w:rPr>
              <w:t> </w:t>
            </w:r>
            <w:r>
              <w:rPr>
                <w:spacing w:val="-5"/>
                <w:sz w:val="16"/>
              </w:rPr>
              <w:t>Torres</w:t>
            </w:r>
            <w:r>
              <w:rPr>
                <w:spacing w:val="-16"/>
                <w:sz w:val="16"/>
              </w:rPr>
              <w:t> </w:t>
            </w:r>
            <w:r>
              <w:rPr>
                <w:spacing w:val="-3"/>
                <w:sz w:val="16"/>
              </w:rPr>
              <w:t>Strait</w:t>
            </w:r>
            <w:r>
              <w:rPr>
                <w:spacing w:val="-16"/>
                <w:sz w:val="16"/>
              </w:rPr>
              <w:t> </w:t>
            </w:r>
            <w:r>
              <w:rPr>
                <w:sz w:val="16"/>
              </w:rPr>
              <w:t>Islander</w:t>
            </w:r>
            <w:r>
              <w:rPr>
                <w:spacing w:val="-16"/>
                <w:sz w:val="16"/>
              </w:rPr>
              <w:t> </w:t>
            </w:r>
            <w:r>
              <w:rPr>
                <w:sz w:val="16"/>
              </w:rPr>
              <w:t>children</w:t>
            </w:r>
            <w:r>
              <w:rPr>
                <w:spacing w:val="-16"/>
                <w:sz w:val="16"/>
              </w:rPr>
              <w:t> </w:t>
            </w:r>
            <w:r>
              <w:rPr>
                <w:sz w:val="16"/>
              </w:rPr>
              <w:t>aged</w:t>
            </w:r>
            <w:r>
              <w:rPr>
                <w:spacing w:val="-16"/>
                <w:sz w:val="16"/>
              </w:rPr>
              <w:t> </w:t>
            </w:r>
            <w:r>
              <w:rPr>
                <w:sz w:val="16"/>
              </w:rPr>
              <w:t>&lt;2</w:t>
            </w:r>
            <w:r>
              <w:rPr>
                <w:spacing w:val="-16"/>
                <w:sz w:val="16"/>
              </w:rPr>
              <w:t> </w:t>
            </w:r>
            <w:r>
              <w:rPr>
                <w:sz w:val="16"/>
              </w:rPr>
              <w:t>years</w:t>
            </w:r>
            <w:r>
              <w:rPr>
                <w:spacing w:val="-16"/>
                <w:sz w:val="16"/>
              </w:rPr>
              <w:t> </w:t>
            </w:r>
            <w:r>
              <w:rPr>
                <w:sz w:val="16"/>
              </w:rPr>
              <w:t>(i.e.</w:t>
            </w:r>
            <w:r>
              <w:rPr>
                <w:spacing w:val="-16"/>
                <w:sz w:val="16"/>
              </w:rPr>
              <w:t> </w:t>
            </w:r>
            <w:r>
              <w:rPr>
                <w:sz w:val="16"/>
              </w:rPr>
              <w:t>up</w:t>
            </w:r>
            <w:r>
              <w:rPr>
                <w:spacing w:val="-16"/>
                <w:sz w:val="16"/>
              </w:rPr>
              <w:t> </w:t>
            </w:r>
            <w:r>
              <w:rPr>
                <w:sz w:val="16"/>
              </w:rPr>
              <w:t>to</w:t>
            </w:r>
            <w:r>
              <w:rPr>
                <w:spacing w:val="-16"/>
                <w:sz w:val="16"/>
              </w:rPr>
              <w:t> </w:t>
            </w:r>
            <w:r>
              <w:rPr>
                <w:sz w:val="16"/>
              </w:rPr>
              <w:t>23 months) for the first three years of the program (i.e. until 30 June</w:t>
            </w:r>
            <w:r>
              <w:rPr>
                <w:spacing w:val="-8"/>
                <w:sz w:val="16"/>
              </w:rPr>
              <w:t> </w:t>
            </w:r>
            <w:r>
              <w:rPr>
                <w:spacing w:val="-2"/>
                <w:sz w:val="16"/>
              </w:rPr>
              <w:t>2023).</w:t>
            </w:r>
          </w:p>
          <w:p>
            <w:pPr>
              <w:pStyle w:val="TableParagraph"/>
              <w:numPr>
                <w:ilvl w:val="0"/>
                <w:numId w:val="3"/>
              </w:numPr>
              <w:tabs>
                <w:tab w:pos="383" w:val="left" w:leader="none"/>
              </w:tabs>
              <w:spacing w:line="249" w:lineRule="auto" w:before="83" w:after="0"/>
              <w:ind w:left="382" w:right="258" w:hanging="227"/>
              <w:jc w:val="left"/>
              <w:rPr>
                <w:sz w:val="16"/>
              </w:rPr>
            </w:pPr>
            <w:r>
              <w:rPr>
                <w:sz w:val="16"/>
              </w:rPr>
              <w:t>For</w:t>
            </w:r>
            <w:r>
              <w:rPr>
                <w:spacing w:val="-14"/>
                <w:sz w:val="16"/>
              </w:rPr>
              <w:t> </w:t>
            </w:r>
            <w:r>
              <w:rPr>
                <w:sz w:val="16"/>
              </w:rPr>
              <w:t>children</w:t>
            </w:r>
            <w:r>
              <w:rPr>
                <w:spacing w:val="-14"/>
                <w:sz w:val="16"/>
              </w:rPr>
              <w:t> </w:t>
            </w:r>
            <w:r>
              <w:rPr>
                <w:sz w:val="16"/>
              </w:rPr>
              <w:t>requiring</w:t>
            </w:r>
            <w:r>
              <w:rPr>
                <w:spacing w:val="-14"/>
                <w:sz w:val="16"/>
              </w:rPr>
              <w:t> </w:t>
            </w:r>
            <w:r>
              <w:rPr>
                <w:sz w:val="16"/>
              </w:rPr>
              <w:t>catch-up</w:t>
            </w:r>
            <w:r>
              <w:rPr>
                <w:spacing w:val="-14"/>
                <w:sz w:val="16"/>
              </w:rPr>
              <w:t> </w:t>
            </w:r>
            <w:r>
              <w:rPr>
                <w:sz w:val="16"/>
              </w:rPr>
              <w:t>doses,</w:t>
            </w:r>
            <w:r>
              <w:rPr>
                <w:spacing w:val="-14"/>
                <w:sz w:val="16"/>
              </w:rPr>
              <w:t> </w:t>
            </w:r>
            <w:r>
              <w:rPr>
                <w:sz w:val="16"/>
              </w:rPr>
              <w:t>the</w:t>
            </w:r>
            <w:r>
              <w:rPr>
                <w:spacing w:val="-14"/>
                <w:sz w:val="16"/>
              </w:rPr>
              <w:t> </w:t>
            </w:r>
            <w:r>
              <w:rPr>
                <w:sz w:val="16"/>
              </w:rPr>
              <w:t>number</w:t>
            </w:r>
            <w:r>
              <w:rPr>
                <w:spacing w:val="-14"/>
                <w:sz w:val="16"/>
              </w:rPr>
              <w:t> </w:t>
            </w:r>
            <w:r>
              <w:rPr>
                <w:sz w:val="16"/>
              </w:rPr>
              <w:t>and</w:t>
            </w:r>
            <w:r>
              <w:rPr>
                <w:spacing w:val="-14"/>
                <w:sz w:val="16"/>
              </w:rPr>
              <w:t> </w:t>
            </w:r>
            <w:r>
              <w:rPr>
                <w:sz w:val="16"/>
              </w:rPr>
              <w:t>interval between doses depend on the age of first meningococcal vaccination (refer to the Meningococcal section in the</w:t>
            </w:r>
            <w:hyperlink r:id="rId7">
              <w:r>
                <w:rPr>
                  <w:sz w:val="16"/>
                </w:rPr>
                <w:t> </w:t>
              </w:r>
              <w:r>
                <w:rPr>
                  <w:rFonts w:ascii="Arial Black"/>
                  <w:b/>
                  <w:sz w:val="16"/>
                </w:rPr>
                <w:t>Australian</w:t>
              </w:r>
              <w:r>
                <w:rPr>
                  <w:rFonts w:ascii="Arial Black"/>
                  <w:b/>
                  <w:spacing w:val="-26"/>
                  <w:sz w:val="16"/>
                </w:rPr>
                <w:t> </w:t>
              </w:r>
              <w:r>
                <w:rPr>
                  <w:rFonts w:ascii="Arial Black"/>
                  <w:b/>
                  <w:sz w:val="16"/>
                </w:rPr>
                <w:t>Immunisation</w:t>
              </w:r>
              <w:r>
                <w:rPr>
                  <w:rFonts w:ascii="Arial Black"/>
                  <w:b/>
                  <w:spacing w:val="-28"/>
                  <w:sz w:val="16"/>
                </w:rPr>
                <w:t> </w:t>
              </w:r>
              <w:r>
                <w:rPr>
                  <w:rFonts w:ascii="Arial Black"/>
                  <w:b/>
                  <w:sz w:val="16"/>
                </w:rPr>
                <w:t>Handbook</w:t>
              </w:r>
            </w:hyperlink>
            <w:r>
              <w:rPr>
                <w:sz w:val="16"/>
              </w:rPr>
              <w:t>).</w:t>
            </w:r>
          </w:p>
          <w:p>
            <w:pPr>
              <w:pStyle w:val="TableParagraph"/>
              <w:spacing w:before="77"/>
              <w:rPr>
                <w:sz w:val="16"/>
              </w:rPr>
            </w:pPr>
            <w:r>
              <w:rPr>
                <w:sz w:val="16"/>
              </w:rPr>
              <w:t>*can be given from 6 weeks</w:t>
            </w:r>
          </w:p>
        </w:tc>
      </w:tr>
    </w:tbl>
    <w:p>
      <w:pPr>
        <w:pStyle w:val="BodyText"/>
        <w:spacing w:line="261" w:lineRule="auto" w:before="135"/>
        <w:ind w:right="42"/>
      </w:pPr>
      <w:r>
        <w:rPr>
          <w:spacing w:val="-10"/>
        </w:rPr>
        <w:t>To</w:t>
      </w:r>
      <w:r>
        <w:rPr>
          <w:spacing w:val="-8"/>
        </w:rPr>
        <w:t> </w:t>
      </w:r>
      <w:r>
        <w:rPr/>
        <w:t>facilitate</w:t>
      </w:r>
      <w:r>
        <w:rPr>
          <w:spacing w:val="-8"/>
        </w:rPr>
        <w:t> </w:t>
      </w:r>
      <w:r>
        <w:rPr/>
        <w:t>implementation</w:t>
      </w:r>
      <w:r>
        <w:rPr>
          <w:spacing w:val="-8"/>
        </w:rPr>
        <w:t> </w:t>
      </w:r>
      <w:r>
        <w:rPr/>
        <w:t>of</w:t>
      </w:r>
      <w:r>
        <w:rPr>
          <w:spacing w:val="-8"/>
        </w:rPr>
        <w:t> </w:t>
      </w:r>
      <w:r>
        <w:rPr/>
        <w:t>the</w:t>
      </w:r>
      <w:r>
        <w:rPr>
          <w:spacing w:val="-8"/>
        </w:rPr>
        <w:t> </w:t>
      </w:r>
      <w:r>
        <w:rPr/>
        <w:t>new</w:t>
      </w:r>
      <w:r>
        <w:rPr>
          <w:spacing w:val="-8"/>
        </w:rPr>
        <w:t> </w:t>
      </w:r>
      <w:r>
        <w:rPr/>
        <w:t>NIP-funded</w:t>
      </w:r>
      <w:r>
        <w:rPr>
          <w:spacing w:val="-8"/>
        </w:rPr>
        <w:t> </w:t>
      </w:r>
      <w:r>
        <w:rPr/>
        <w:t>meningococcal</w:t>
      </w:r>
      <w:r>
        <w:rPr>
          <w:spacing w:val="-8"/>
        </w:rPr>
        <w:t> </w:t>
      </w:r>
      <w:r>
        <w:rPr/>
        <w:t>B vaccination</w:t>
      </w:r>
      <w:r>
        <w:rPr>
          <w:spacing w:val="-9"/>
        </w:rPr>
        <w:t> </w:t>
      </w:r>
      <w:r>
        <w:rPr/>
        <w:t>program</w:t>
      </w:r>
      <w:r>
        <w:rPr>
          <w:spacing w:val="-9"/>
        </w:rPr>
        <w:t> </w:t>
      </w:r>
      <w:r>
        <w:rPr/>
        <w:t>for</w:t>
      </w:r>
      <w:r>
        <w:rPr>
          <w:spacing w:val="-9"/>
        </w:rPr>
        <w:t> </w:t>
      </w:r>
      <w:r>
        <w:rPr/>
        <w:t>Aboriginal</w:t>
      </w:r>
      <w:r>
        <w:rPr>
          <w:spacing w:val="-9"/>
        </w:rPr>
        <w:t> </w:t>
      </w:r>
      <w:r>
        <w:rPr/>
        <w:t>and</w:t>
      </w:r>
      <w:r>
        <w:rPr>
          <w:spacing w:val="-9"/>
        </w:rPr>
        <w:t> </w:t>
      </w:r>
      <w:r>
        <w:rPr>
          <w:spacing w:val="-4"/>
        </w:rPr>
        <w:t>Torres</w:t>
      </w:r>
      <w:r>
        <w:rPr>
          <w:spacing w:val="-9"/>
        </w:rPr>
        <w:t> </w:t>
      </w:r>
      <w:r>
        <w:rPr/>
        <w:t>Strait</w:t>
      </w:r>
      <w:r>
        <w:rPr>
          <w:spacing w:val="-9"/>
        </w:rPr>
        <w:t> </w:t>
      </w:r>
      <w:r>
        <w:rPr/>
        <w:t>Islander</w:t>
      </w:r>
      <w:r>
        <w:rPr>
          <w:spacing w:val="-9"/>
        </w:rPr>
        <w:t> </w:t>
      </w:r>
      <w:r>
        <w:rPr/>
        <w:t>children aged</w:t>
      </w:r>
      <w:r>
        <w:rPr>
          <w:spacing w:val="-9"/>
        </w:rPr>
        <w:t> </w:t>
      </w:r>
      <w:r>
        <w:rPr/>
        <w:t>&lt;2</w:t>
      </w:r>
      <w:r>
        <w:rPr>
          <w:spacing w:val="-9"/>
        </w:rPr>
        <w:t> </w:t>
      </w:r>
      <w:r>
        <w:rPr/>
        <w:t>years,</w:t>
      </w:r>
      <w:r>
        <w:rPr>
          <w:spacing w:val="-9"/>
        </w:rPr>
        <w:t> </w:t>
      </w:r>
      <w:r>
        <w:rPr/>
        <w:t>from</w:t>
      </w:r>
      <w:r>
        <w:rPr>
          <w:spacing w:val="-9"/>
        </w:rPr>
        <w:t> </w:t>
      </w:r>
      <w:r>
        <w:rPr/>
        <w:t>1</w:t>
      </w:r>
      <w:r>
        <w:rPr>
          <w:spacing w:val="-9"/>
        </w:rPr>
        <w:t> </w:t>
      </w:r>
      <w:r>
        <w:rPr/>
        <w:t>July</w:t>
      </w:r>
      <w:r>
        <w:rPr>
          <w:spacing w:val="-9"/>
        </w:rPr>
        <w:t> </w:t>
      </w:r>
      <w:r>
        <w:rPr/>
        <w:t>2020</w:t>
      </w:r>
      <w:r>
        <w:rPr>
          <w:spacing w:val="-9"/>
        </w:rPr>
        <w:t> </w:t>
      </w:r>
      <w:r>
        <w:rPr/>
        <w:t>the</w:t>
      </w:r>
      <w:r>
        <w:rPr>
          <w:spacing w:val="-9"/>
        </w:rPr>
        <w:t> </w:t>
      </w:r>
      <w:r>
        <w:rPr/>
        <w:t>hepatitis</w:t>
      </w:r>
      <w:r>
        <w:rPr>
          <w:spacing w:val="-9"/>
        </w:rPr>
        <w:t> </w:t>
      </w:r>
      <w:r>
        <w:rPr/>
        <w:t>A</w:t>
      </w:r>
      <w:r>
        <w:rPr>
          <w:spacing w:val="-9"/>
        </w:rPr>
        <w:t> </w:t>
      </w:r>
      <w:r>
        <w:rPr/>
        <w:t>vaccination</w:t>
      </w:r>
      <w:r>
        <w:rPr>
          <w:spacing w:val="-9"/>
        </w:rPr>
        <w:t> </w:t>
      </w:r>
      <w:r>
        <w:rPr/>
        <w:t>schedule on the NIP for Aboriginal and </w:t>
      </w:r>
      <w:r>
        <w:rPr>
          <w:spacing w:val="-4"/>
        </w:rPr>
        <w:t>Torres </w:t>
      </w:r>
      <w:r>
        <w:rPr/>
        <w:t>Strait Islander children in </w:t>
      </w:r>
      <w:r>
        <w:rPr>
          <w:spacing w:val="-5"/>
        </w:rPr>
        <w:t>NT, </w:t>
      </w:r>
      <w:r>
        <w:rPr/>
        <w:t>Qld, SA and </w:t>
      </w:r>
      <w:r>
        <w:rPr>
          <w:spacing w:val="-4"/>
        </w:rPr>
        <w:t>WA </w:t>
      </w:r>
      <w:r>
        <w:rPr/>
        <w:t>will</w:t>
      </w:r>
      <w:r>
        <w:rPr>
          <w:spacing w:val="-19"/>
        </w:rPr>
        <w:t> </w:t>
      </w:r>
      <w:r>
        <w:rPr/>
        <w:t>change:</w:t>
      </w:r>
    </w:p>
    <w:p>
      <w:pPr>
        <w:pStyle w:val="ListParagraph"/>
        <w:numPr>
          <w:ilvl w:val="0"/>
          <w:numId w:val="4"/>
        </w:numPr>
        <w:tabs>
          <w:tab w:pos="391" w:val="left" w:leader="none"/>
        </w:tabs>
        <w:spacing w:line="261" w:lineRule="auto" w:before="82" w:after="0"/>
        <w:ind w:left="390" w:right="634" w:hanging="240"/>
        <w:jc w:val="left"/>
        <w:rPr>
          <w:sz w:val="16"/>
        </w:rPr>
      </w:pPr>
      <w:r>
        <w:rPr>
          <w:sz w:val="16"/>
        </w:rPr>
        <w:t>The</w:t>
      </w:r>
      <w:r>
        <w:rPr>
          <w:spacing w:val="-15"/>
          <w:sz w:val="16"/>
        </w:rPr>
        <w:t> </w:t>
      </w:r>
      <w:r>
        <w:rPr>
          <w:sz w:val="16"/>
        </w:rPr>
        <w:t>schedule</w:t>
      </w:r>
      <w:r>
        <w:rPr>
          <w:spacing w:val="-15"/>
          <w:sz w:val="16"/>
        </w:rPr>
        <w:t> </w:t>
      </w:r>
      <w:r>
        <w:rPr>
          <w:sz w:val="16"/>
        </w:rPr>
        <w:t>point</w:t>
      </w:r>
      <w:r>
        <w:rPr>
          <w:spacing w:val="-15"/>
          <w:sz w:val="16"/>
        </w:rPr>
        <w:t> </w:t>
      </w:r>
      <w:r>
        <w:rPr>
          <w:sz w:val="16"/>
        </w:rPr>
        <w:t>for</w:t>
      </w:r>
      <w:r>
        <w:rPr>
          <w:spacing w:val="-15"/>
          <w:sz w:val="16"/>
        </w:rPr>
        <w:t> </w:t>
      </w:r>
      <w:r>
        <w:rPr>
          <w:sz w:val="16"/>
        </w:rPr>
        <w:t>the</w:t>
      </w:r>
      <w:r>
        <w:rPr>
          <w:spacing w:val="-15"/>
          <w:sz w:val="16"/>
        </w:rPr>
        <w:t> </w:t>
      </w:r>
      <w:r>
        <w:rPr>
          <w:sz w:val="16"/>
        </w:rPr>
        <w:t>first</w:t>
      </w:r>
      <w:r>
        <w:rPr>
          <w:spacing w:val="-15"/>
          <w:sz w:val="16"/>
        </w:rPr>
        <w:t> </w:t>
      </w:r>
      <w:r>
        <w:rPr>
          <w:sz w:val="16"/>
        </w:rPr>
        <w:t>dose</w:t>
      </w:r>
      <w:r>
        <w:rPr>
          <w:spacing w:val="-15"/>
          <w:sz w:val="16"/>
        </w:rPr>
        <w:t> </w:t>
      </w:r>
      <w:r>
        <w:rPr>
          <w:sz w:val="16"/>
        </w:rPr>
        <w:t>of</w:t>
      </w:r>
      <w:r>
        <w:rPr>
          <w:spacing w:val="-15"/>
          <w:sz w:val="16"/>
        </w:rPr>
        <w:t> </w:t>
      </w:r>
      <w:r>
        <w:rPr>
          <w:sz w:val="16"/>
        </w:rPr>
        <w:t>hepatitis</w:t>
      </w:r>
      <w:r>
        <w:rPr>
          <w:spacing w:val="-15"/>
          <w:sz w:val="16"/>
        </w:rPr>
        <w:t> </w:t>
      </w:r>
      <w:r>
        <w:rPr>
          <w:sz w:val="16"/>
        </w:rPr>
        <w:t>A</w:t>
      </w:r>
      <w:r>
        <w:rPr>
          <w:spacing w:val="-15"/>
          <w:sz w:val="16"/>
        </w:rPr>
        <w:t> </w:t>
      </w:r>
      <w:r>
        <w:rPr>
          <w:sz w:val="16"/>
        </w:rPr>
        <w:t>vaccine will</w:t>
      </w:r>
      <w:r>
        <w:rPr>
          <w:spacing w:val="-13"/>
          <w:sz w:val="16"/>
        </w:rPr>
        <w:t> </w:t>
      </w:r>
      <w:r>
        <w:rPr>
          <w:sz w:val="16"/>
        </w:rPr>
        <w:t>be</w:t>
      </w:r>
      <w:r>
        <w:rPr>
          <w:spacing w:val="-13"/>
          <w:sz w:val="16"/>
        </w:rPr>
        <w:t> </w:t>
      </w:r>
      <w:r>
        <w:rPr>
          <w:sz w:val="16"/>
        </w:rPr>
        <w:t>at</w:t>
      </w:r>
      <w:r>
        <w:rPr>
          <w:spacing w:val="-13"/>
          <w:sz w:val="16"/>
        </w:rPr>
        <w:t> </w:t>
      </w:r>
      <w:r>
        <w:rPr>
          <w:sz w:val="16"/>
        </w:rPr>
        <w:t>age</w:t>
      </w:r>
      <w:r>
        <w:rPr>
          <w:spacing w:val="-13"/>
          <w:sz w:val="16"/>
        </w:rPr>
        <w:t> </w:t>
      </w:r>
      <w:r>
        <w:rPr>
          <w:sz w:val="16"/>
        </w:rPr>
        <w:t>18</w:t>
      </w:r>
      <w:r>
        <w:rPr>
          <w:spacing w:val="-13"/>
          <w:sz w:val="16"/>
        </w:rPr>
        <w:t> </w:t>
      </w:r>
      <w:r>
        <w:rPr>
          <w:sz w:val="16"/>
        </w:rPr>
        <w:t>months</w:t>
      </w:r>
      <w:r>
        <w:rPr>
          <w:spacing w:val="-13"/>
          <w:sz w:val="16"/>
        </w:rPr>
        <w:t> </w:t>
      </w:r>
      <w:r>
        <w:rPr>
          <w:sz w:val="16"/>
        </w:rPr>
        <w:t>(instead</w:t>
      </w:r>
      <w:r>
        <w:rPr>
          <w:spacing w:val="-13"/>
          <w:sz w:val="16"/>
        </w:rPr>
        <w:t> </w:t>
      </w:r>
      <w:r>
        <w:rPr>
          <w:sz w:val="16"/>
        </w:rPr>
        <w:t>of</w:t>
      </w:r>
      <w:r>
        <w:rPr>
          <w:spacing w:val="-13"/>
          <w:sz w:val="16"/>
        </w:rPr>
        <w:t> </w:t>
      </w:r>
      <w:r>
        <w:rPr>
          <w:sz w:val="16"/>
        </w:rPr>
        <w:t>12</w:t>
      </w:r>
      <w:r>
        <w:rPr>
          <w:spacing w:val="-13"/>
          <w:sz w:val="16"/>
        </w:rPr>
        <w:t> </w:t>
      </w:r>
      <w:r>
        <w:rPr>
          <w:sz w:val="16"/>
        </w:rPr>
        <w:t>months).</w:t>
      </w:r>
    </w:p>
    <w:p>
      <w:pPr>
        <w:pStyle w:val="ListParagraph"/>
        <w:numPr>
          <w:ilvl w:val="0"/>
          <w:numId w:val="4"/>
        </w:numPr>
        <w:tabs>
          <w:tab w:pos="391" w:val="left" w:leader="none"/>
        </w:tabs>
        <w:spacing w:line="261" w:lineRule="auto" w:before="84" w:after="0"/>
        <w:ind w:left="390" w:right="940" w:hanging="240"/>
        <w:jc w:val="left"/>
        <w:rPr>
          <w:sz w:val="16"/>
        </w:rPr>
      </w:pPr>
      <w:r>
        <w:rPr>
          <w:sz w:val="16"/>
        </w:rPr>
        <w:t>The</w:t>
      </w:r>
      <w:r>
        <w:rPr>
          <w:spacing w:val="-14"/>
          <w:sz w:val="16"/>
        </w:rPr>
        <w:t> </w:t>
      </w:r>
      <w:r>
        <w:rPr>
          <w:sz w:val="16"/>
        </w:rPr>
        <w:t>schedule</w:t>
      </w:r>
      <w:r>
        <w:rPr>
          <w:spacing w:val="-14"/>
          <w:sz w:val="16"/>
        </w:rPr>
        <w:t> </w:t>
      </w:r>
      <w:r>
        <w:rPr>
          <w:sz w:val="16"/>
        </w:rPr>
        <w:t>point</w:t>
      </w:r>
      <w:r>
        <w:rPr>
          <w:spacing w:val="-14"/>
          <w:sz w:val="16"/>
        </w:rPr>
        <w:t> </w:t>
      </w:r>
      <w:r>
        <w:rPr>
          <w:sz w:val="16"/>
        </w:rPr>
        <w:t>for</w:t>
      </w:r>
      <w:r>
        <w:rPr>
          <w:spacing w:val="-14"/>
          <w:sz w:val="16"/>
        </w:rPr>
        <w:t> </w:t>
      </w:r>
      <w:r>
        <w:rPr>
          <w:sz w:val="16"/>
        </w:rPr>
        <w:t>the</w:t>
      </w:r>
      <w:r>
        <w:rPr>
          <w:spacing w:val="-14"/>
          <w:sz w:val="16"/>
        </w:rPr>
        <w:t> </w:t>
      </w:r>
      <w:r>
        <w:rPr>
          <w:sz w:val="16"/>
        </w:rPr>
        <w:t>second</w:t>
      </w:r>
      <w:r>
        <w:rPr>
          <w:spacing w:val="-14"/>
          <w:sz w:val="16"/>
        </w:rPr>
        <w:t> </w:t>
      </w:r>
      <w:r>
        <w:rPr>
          <w:sz w:val="16"/>
        </w:rPr>
        <w:t>dose</w:t>
      </w:r>
      <w:r>
        <w:rPr>
          <w:spacing w:val="-14"/>
          <w:sz w:val="16"/>
        </w:rPr>
        <w:t> </w:t>
      </w:r>
      <w:r>
        <w:rPr>
          <w:sz w:val="16"/>
        </w:rPr>
        <w:t>of</w:t>
      </w:r>
      <w:r>
        <w:rPr>
          <w:spacing w:val="-14"/>
          <w:sz w:val="16"/>
        </w:rPr>
        <w:t> </w:t>
      </w:r>
      <w:r>
        <w:rPr>
          <w:sz w:val="16"/>
        </w:rPr>
        <w:t>hepatitis</w:t>
      </w:r>
      <w:r>
        <w:rPr>
          <w:spacing w:val="-14"/>
          <w:sz w:val="16"/>
        </w:rPr>
        <w:t> </w:t>
      </w:r>
      <w:r>
        <w:rPr>
          <w:sz w:val="16"/>
        </w:rPr>
        <w:t>A vaccine</w:t>
      </w:r>
      <w:r>
        <w:rPr>
          <w:spacing w:val="-19"/>
          <w:sz w:val="16"/>
        </w:rPr>
        <w:t> </w:t>
      </w:r>
      <w:r>
        <w:rPr>
          <w:sz w:val="16"/>
        </w:rPr>
        <w:t>will</w:t>
      </w:r>
      <w:r>
        <w:rPr>
          <w:spacing w:val="-19"/>
          <w:sz w:val="16"/>
        </w:rPr>
        <w:t> </w:t>
      </w:r>
      <w:r>
        <w:rPr>
          <w:sz w:val="16"/>
        </w:rPr>
        <w:t>be</w:t>
      </w:r>
      <w:r>
        <w:rPr>
          <w:spacing w:val="-19"/>
          <w:sz w:val="16"/>
        </w:rPr>
        <w:t> </w:t>
      </w:r>
      <w:r>
        <w:rPr>
          <w:sz w:val="16"/>
        </w:rPr>
        <w:t>at</w:t>
      </w:r>
      <w:r>
        <w:rPr>
          <w:spacing w:val="-19"/>
          <w:sz w:val="16"/>
        </w:rPr>
        <w:t> </w:t>
      </w:r>
      <w:r>
        <w:rPr>
          <w:sz w:val="16"/>
        </w:rPr>
        <w:t>age</w:t>
      </w:r>
      <w:r>
        <w:rPr>
          <w:spacing w:val="-19"/>
          <w:sz w:val="16"/>
        </w:rPr>
        <w:t> </w:t>
      </w:r>
      <w:r>
        <w:rPr>
          <w:sz w:val="16"/>
        </w:rPr>
        <w:t>4</w:t>
      </w:r>
      <w:r>
        <w:rPr>
          <w:spacing w:val="-19"/>
          <w:sz w:val="16"/>
        </w:rPr>
        <w:t> </w:t>
      </w:r>
      <w:r>
        <w:rPr>
          <w:sz w:val="16"/>
        </w:rPr>
        <w:t>years</w:t>
      </w:r>
      <w:r>
        <w:rPr>
          <w:spacing w:val="-19"/>
          <w:sz w:val="16"/>
        </w:rPr>
        <w:t> </w:t>
      </w:r>
      <w:r>
        <w:rPr>
          <w:sz w:val="16"/>
        </w:rPr>
        <w:t>(instead</w:t>
      </w:r>
      <w:r>
        <w:rPr>
          <w:spacing w:val="-19"/>
          <w:sz w:val="16"/>
        </w:rPr>
        <w:t> </w:t>
      </w:r>
      <w:r>
        <w:rPr>
          <w:sz w:val="16"/>
        </w:rPr>
        <w:t>of</w:t>
      </w:r>
      <w:r>
        <w:rPr>
          <w:spacing w:val="-19"/>
          <w:sz w:val="16"/>
        </w:rPr>
        <w:t> </w:t>
      </w:r>
      <w:r>
        <w:rPr>
          <w:sz w:val="16"/>
        </w:rPr>
        <w:t>18</w:t>
      </w:r>
      <w:r>
        <w:rPr>
          <w:spacing w:val="-19"/>
          <w:sz w:val="16"/>
        </w:rPr>
        <w:t> </w:t>
      </w:r>
      <w:r>
        <w:rPr>
          <w:sz w:val="16"/>
        </w:rPr>
        <w:t>months).</w:t>
      </w:r>
    </w:p>
    <w:p>
      <w:pPr>
        <w:spacing w:line="261" w:lineRule="auto" w:before="84"/>
        <w:ind w:left="150" w:right="724" w:firstLine="0"/>
        <w:jc w:val="left"/>
        <w:rPr>
          <w:i/>
          <w:sz w:val="16"/>
        </w:rPr>
      </w:pPr>
      <w:r>
        <w:rPr>
          <w:sz w:val="16"/>
        </w:rPr>
        <w:t>For</w:t>
      </w:r>
      <w:r>
        <w:rPr>
          <w:spacing w:val="-17"/>
          <w:sz w:val="16"/>
        </w:rPr>
        <w:t> </w:t>
      </w:r>
      <w:r>
        <w:rPr>
          <w:sz w:val="16"/>
        </w:rPr>
        <w:t>further</w:t>
      </w:r>
      <w:r>
        <w:rPr>
          <w:spacing w:val="-17"/>
          <w:sz w:val="16"/>
        </w:rPr>
        <w:t> </w:t>
      </w:r>
      <w:r>
        <w:rPr>
          <w:sz w:val="16"/>
        </w:rPr>
        <w:t>information</w:t>
      </w:r>
      <w:r>
        <w:rPr>
          <w:spacing w:val="-17"/>
          <w:sz w:val="16"/>
        </w:rPr>
        <w:t> </w:t>
      </w:r>
      <w:r>
        <w:rPr>
          <w:sz w:val="16"/>
        </w:rPr>
        <w:t>refer</w:t>
      </w:r>
      <w:r>
        <w:rPr>
          <w:spacing w:val="-17"/>
          <w:sz w:val="16"/>
        </w:rPr>
        <w:t> </w:t>
      </w:r>
      <w:r>
        <w:rPr>
          <w:sz w:val="16"/>
        </w:rPr>
        <w:t>to</w:t>
      </w:r>
      <w:r>
        <w:rPr>
          <w:spacing w:val="-17"/>
          <w:sz w:val="16"/>
        </w:rPr>
        <w:t> </w:t>
      </w:r>
      <w:r>
        <w:rPr>
          <w:sz w:val="16"/>
        </w:rPr>
        <w:t>the</w:t>
      </w:r>
      <w:r>
        <w:rPr>
          <w:spacing w:val="-17"/>
          <w:sz w:val="16"/>
        </w:rPr>
        <w:t> </w:t>
      </w:r>
      <w:r>
        <w:rPr>
          <w:i/>
          <w:spacing w:val="-8"/>
          <w:sz w:val="16"/>
        </w:rPr>
        <w:t>ATAGI</w:t>
      </w:r>
      <w:r>
        <w:rPr>
          <w:i/>
          <w:spacing w:val="-17"/>
          <w:sz w:val="16"/>
        </w:rPr>
        <w:t> </w:t>
      </w:r>
      <w:r>
        <w:rPr>
          <w:i/>
          <w:sz w:val="16"/>
        </w:rPr>
        <w:t>clinical</w:t>
      </w:r>
      <w:r>
        <w:rPr>
          <w:i/>
          <w:spacing w:val="-17"/>
          <w:sz w:val="16"/>
        </w:rPr>
        <w:t> </w:t>
      </w:r>
      <w:r>
        <w:rPr>
          <w:i/>
          <w:sz w:val="16"/>
        </w:rPr>
        <w:t>advice</w:t>
      </w:r>
      <w:r>
        <w:rPr>
          <w:i/>
          <w:spacing w:val="-17"/>
          <w:sz w:val="16"/>
        </w:rPr>
        <w:t> </w:t>
      </w:r>
      <w:r>
        <w:rPr>
          <w:i/>
          <w:sz w:val="16"/>
        </w:rPr>
        <w:t>on </w:t>
      </w:r>
      <w:r>
        <w:rPr>
          <w:i/>
          <w:sz w:val="16"/>
        </w:rPr>
        <w:t>transitioning to the new hepatitis A vaccination schedule on</w:t>
      </w:r>
      <w:r>
        <w:rPr>
          <w:i/>
          <w:spacing w:val="-15"/>
          <w:sz w:val="16"/>
        </w:rPr>
        <w:t> </w:t>
      </w:r>
      <w:r>
        <w:rPr>
          <w:i/>
          <w:sz w:val="16"/>
        </w:rPr>
        <w:t>the</w:t>
      </w:r>
      <w:r>
        <w:rPr>
          <w:i/>
          <w:spacing w:val="-15"/>
          <w:sz w:val="16"/>
        </w:rPr>
        <w:t> </w:t>
      </w:r>
      <w:r>
        <w:rPr>
          <w:i/>
          <w:sz w:val="16"/>
        </w:rPr>
        <w:t>National</w:t>
      </w:r>
      <w:r>
        <w:rPr>
          <w:i/>
          <w:spacing w:val="-15"/>
          <w:sz w:val="16"/>
        </w:rPr>
        <w:t> </w:t>
      </w:r>
      <w:r>
        <w:rPr>
          <w:i/>
          <w:sz w:val="16"/>
        </w:rPr>
        <w:t>Immunisation</w:t>
      </w:r>
      <w:r>
        <w:rPr>
          <w:i/>
          <w:spacing w:val="-15"/>
          <w:sz w:val="16"/>
        </w:rPr>
        <w:t> </w:t>
      </w:r>
      <w:r>
        <w:rPr>
          <w:i/>
          <w:sz w:val="16"/>
        </w:rPr>
        <w:t>Program</w:t>
      </w:r>
      <w:r>
        <w:rPr>
          <w:i/>
          <w:spacing w:val="-15"/>
          <w:sz w:val="16"/>
        </w:rPr>
        <w:t> </w:t>
      </w:r>
      <w:r>
        <w:rPr>
          <w:i/>
          <w:sz w:val="16"/>
        </w:rPr>
        <w:t>from</w:t>
      </w:r>
      <w:r>
        <w:rPr>
          <w:i/>
          <w:spacing w:val="-15"/>
          <w:sz w:val="16"/>
        </w:rPr>
        <w:t> </w:t>
      </w:r>
      <w:r>
        <w:rPr>
          <w:i/>
          <w:sz w:val="16"/>
        </w:rPr>
        <w:t>1</w:t>
      </w:r>
      <w:r>
        <w:rPr>
          <w:i/>
          <w:spacing w:val="-15"/>
          <w:sz w:val="16"/>
        </w:rPr>
        <w:t> </w:t>
      </w:r>
      <w:r>
        <w:rPr>
          <w:i/>
          <w:sz w:val="16"/>
        </w:rPr>
        <w:t>July</w:t>
      </w:r>
      <w:r>
        <w:rPr>
          <w:i/>
          <w:spacing w:val="-15"/>
          <w:sz w:val="16"/>
        </w:rPr>
        <w:t> </w:t>
      </w:r>
      <w:r>
        <w:rPr>
          <w:i/>
          <w:spacing w:val="-3"/>
          <w:sz w:val="16"/>
        </w:rPr>
        <w:t>2020.</w:t>
      </w:r>
    </w:p>
    <w:p>
      <w:pPr>
        <w:pStyle w:val="Heading1"/>
        <w:spacing w:line="232" w:lineRule="auto"/>
        <w:ind w:right="758"/>
        <w:jc w:val="both"/>
      </w:pPr>
      <w:r>
        <w:rPr/>
        <w:br w:type="column"/>
      </w:r>
      <w:r>
        <w:rPr>
          <w:color w:val="00797E"/>
          <w:spacing w:val="-3"/>
        </w:rPr>
        <w:t>Meningococcal </w:t>
      </w:r>
      <w:r>
        <w:rPr>
          <w:color w:val="00797E"/>
        </w:rPr>
        <w:t>B and</w:t>
      </w:r>
      <w:r>
        <w:rPr>
          <w:color w:val="00797E"/>
          <w:spacing w:val="-53"/>
        </w:rPr>
        <w:t> </w:t>
      </w:r>
      <w:r>
        <w:rPr>
          <w:color w:val="00797E"/>
          <w:spacing w:val="-3"/>
        </w:rPr>
        <w:t>meningococcal </w:t>
      </w:r>
      <w:r>
        <w:rPr>
          <w:color w:val="00797E"/>
          <w:spacing w:val="-5"/>
        </w:rPr>
        <w:t>ACWY</w:t>
      </w:r>
      <w:r>
        <w:rPr>
          <w:color w:val="00797E"/>
          <w:spacing w:val="-21"/>
        </w:rPr>
        <w:t> </w:t>
      </w:r>
      <w:r>
        <w:rPr>
          <w:color w:val="00797E"/>
          <w:spacing w:val="-3"/>
        </w:rPr>
        <w:t>vaccines</w:t>
      </w:r>
      <w:r>
        <w:rPr>
          <w:color w:val="00797E"/>
          <w:spacing w:val="-21"/>
        </w:rPr>
        <w:t> </w:t>
      </w:r>
      <w:r>
        <w:rPr>
          <w:color w:val="00797E"/>
        </w:rPr>
        <w:t>for</w:t>
      </w:r>
      <w:r>
        <w:rPr>
          <w:color w:val="00797E"/>
          <w:spacing w:val="-21"/>
        </w:rPr>
        <w:t> </w:t>
      </w:r>
      <w:r>
        <w:rPr>
          <w:color w:val="00797E"/>
          <w:spacing w:val="-3"/>
        </w:rPr>
        <w:t>people</w:t>
      </w:r>
      <w:r>
        <w:rPr>
          <w:color w:val="00797E"/>
          <w:spacing w:val="-21"/>
        </w:rPr>
        <w:t> </w:t>
      </w:r>
      <w:r>
        <w:rPr>
          <w:color w:val="00797E"/>
        </w:rPr>
        <w:t>of</w:t>
      </w:r>
      <w:r>
        <w:rPr>
          <w:color w:val="00797E"/>
          <w:spacing w:val="-21"/>
        </w:rPr>
        <w:t> </w:t>
      </w:r>
      <w:r>
        <w:rPr>
          <w:color w:val="00797E"/>
        </w:rPr>
        <w:t>all</w:t>
      </w:r>
      <w:r>
        <w:rPr>
          <w:color w:val="00797E"/>
          <w:spacing w:val="-21"/>
        </w:rPr>
        <w:t> </w:t>
      </w:r>
      <w:r>
        <w:rPr>
          <w:color w:val="00797E"/>
          <w:spacing w:val="-3"/>
        </w:rPr>
        <w:t>ages with some medical risk</w:t>
      </w:r>
      <w:r>
        <w:rPr>
          <w:color w:val="00797E"/>
          <w:spacing w:val="-35"/>
        </w:rPr>
        <w:t> </w:t>
      </w:r>
      <w:r>
        <w:rPr>
          <w:color w:val="00797E"/>
          <w:spacing w:val="-3"/>
        </w:rPr>
        <w:t>conditions</w:t>
      </w:r>
    </w:p>
    <w:p>
      <w:pPr>
        <w:pStyle w:val="BodyText"/>
        <w:spacing w:line="200" w:lineRule="exact" w:before="43"/>
        <w:ind w:right="132"/>
      </w:pPr>
      <w:r>
        <w:rPr/>
        <w:t>From 1 July 2020, both the meningococcal B vaccine (Bexsero®) and meningococcal ACWY vaccine (Nimenrix®) will be funded under the NIP for people of all ages with some medical conditions that increase their risk of IMD. These specified medical conditions are outlined in Table 2. The number of doses required will depend on age. Refer to the Meningococcal section in the </w:t>
      </w:r>
      <w:hyperlink r:id="rId7">
        <w:r>
          <w:rPr>
            <w:rFonts w:ascii="Arial Black" w:hAnsi="Arial Black"/>
            <w:b/>
          </w:rPr>
          <w:t>Australian</w:t>
        </w:r>
      </w:hyperlink>
      <w:r>
        <w:rPr>
          <w:rFonts w:ascii="Arial Black" w:hAnsi="Arial Black"/>
          <w:b/>
        </w:rPr>
        <w:t> </w:t>
      </w:r>
      <w:hyperlink r:id="rId7">
        <w:r>
          <w:rPr>
            <w:rFonts w:ascii="Arial Black" w:hAnsi="Arial Black"/>
            <w:b/>
          </w:rPr>
          <w:t>Immunisation Handbook</w:t>
        </w:r>
      </w:hyperlink>
      <w:r>
        <w:rPr/>
        <w:t>.</w:t>
      </w:r>
    </w:p>
    <w:p>
      <w:pPr>
        <w:pStyle w:val="BodyText"/>
        <w:spacing w:line="261" w:lineRule="auto" w:before="67"/>
        <w:ind w:right="303"/>
      </w:pPr>
      <w:r>
        <w:rPr/>
        <w:t>The meningococcal ACWY vaccine continues to be funded under the NIP with a single dose for all children at 12 months of age, and adolescents at approximately 14 to 16 years of age, mostly administered through school immunisation programs, with a catch-up program for adolescents 15 to 19 years of age.</w:t>
      </w:r>
    </w:p>
    <w:p>
      <w:pPr>
        <w:pStyle w:val="BodyText"/>
        <w:spacing w:line="261" w:lineRule="auto" w:before="54"/>
        <w:ind w:right="317"/>
      </w:pPr>
      <w:r>
        <w:rPr/>
        <w:t>Meningococcal</w:t>
      </w:r>
      <w:r>
        <w:rPr>
          <w:spacing w:val="-19"/>
        </w:rPr>
        <w:t> </w:t>
      </w:r>
      <w:r>
        <w:rPr/>
        <w:t>vaccines</w:t>
      </w:r>
      <w:r>
        <w:rPr>
          <w:spacing w:val="-19"/>
        </w:rPr>
        <w:t> </w:t>
      </w:r>
      <w:r>
        <w:rPr/>
        <w:t>are</w:t>
      </w:r>
      <w:r>
        <w:rPr>
          <w:spacing w:val="-19"/>
        </w:rPr>
        <w:t> </w:t>
      </w:r>
      <w:r>
        <w:rPr/>
        <w:t>also</w:t>
      </w:r>
      <w:r>
        <w:rPr>
          <w:spacing w:val="-19"/>
        </w:rPr>
        <w:t> </w:t>
      </w:r>
      <w:r>
        <w:rPr/>
        <w:t>available</w:t>
      </w:r>
      <w:r>
        <w:rPr>
          <w:spacing w:val="-19"/>
        </w:rPr>
        <w:t> </w:t>
      </w:r>
      <w:r>
        <w:rPr/>
        <w:t>through</w:t>
      </w:r>
      <w:r>
        <w:rPr>
          <w:spacing w:val="-19"/>
        </w:rPr>
        <w:t> </w:t>
      </w:r>
      <w:r>
        <w:rPr/>
        <w:t>some</w:t>
      </w:r>
      <w:r>
        <w:rPr>
          <w:spacing w:val="-19"/>
        </w:rPr>
        <w:t> </w:t>
      </w:r>
      <w:r>
        <w:rPr>
          <w:spacing w:val="-3"/>
        </w:rPr>
        <w:t>State</w:t>
      </w:r>
      <w:r>
        <w:rPr>
          <w:spacing w:val="-19"/>
        </w:rPr>
        <w:t> </w:t>
      </w:r>
      <w:r>
        <w:rPr/>
        <w:t>or </w:t>
      </w:r>
      <w:r>
        <w:rPr>
          <w:spacing w:val="-4"/>
        </w:rPr>
        <w:t>Territory</w:t>
      </w:r>
      <w:r>
        <w:rPr>
          <w:spacing w:val="-15"/>
        </w:rPr>
        <w:t> </w:t>
      </w:r>
      <w:r>
        <w:rPr/>
        <w:t>funded</w:t>
      </w:r>
      <w:r>
        <w:rPr>
          <w:spacing w:val="-15"/>
        </w:rPr>
        <w:t> </w:t>
      </w:r>
      <w:r>
        <w:rPr/>
        <w:t>immunisation</w:t>
      </w:r>
      <w:r>
        <w:rPr>
          <w:spacing w:val="-15"/>
        </w:rPr>
        <w:t> </w:t>
      </w:r>
      <w:r>
        <w:rPr/>
        <w:t>programs</w:t>
      </w:r>
      <w:r>
        <w:rPr>
          <w:spacing w:val="-15"/>
        </w:rPr>
        <w:t> </w:t>
      </w:r>
      <w:r>
        <w:rPr/>
        <w:t>or</w:t>
      </w:r>
      <w:r>
        <w:rPr>
          <w:spacing w:val="-15"/>
        </w:rPr>
        <w:t> </w:t>
      </w:r>
      <w:r>
        <w:rPr/>
        <w:t>via</w:t>
      </w:r>
      <w:r>
        <w:rPr>
          <w:spacing w:val="-15"/>
        </w:rPr>
        <w:t> </w:t>
      </w:r>
      <w:r>
        <w:rPr/>
        <w:t>private</w:t>
      </w:r>
      <w:r>
        <w:rPr>
          <w:spacing w:val="-15"/>
        </w:rPr>
        <w:t> </w:t>
      </w:r>
      <w:r>
        <w:rPr>
          <w:spacing w:val="-2"/>
        </w:rPr>
        <w:t>prescription </w:t>
      </w:r>
      <w:r>
        <w:rPr/>
        <w:t>to</w:t>
      </w:r>
      <w:r>
        <w:rPr>
          <w:spacing w:val="-9"/>
        </w:rPr>
        <w:t> </w:t>
      </w:r>
      <w:r>
        <w:rPr/>
        <w:t>anyone</w:t>
      </w:r>
      <w:r>
        <w:rPr>
          <w:spacing w:val="-9"/>
        </w:rPr>
        <w:t> </w:t>
      </w:r>
      <w:r>
        <w:rPr/>
        <w:t>aged</w:t>
      </w:r>
      <w:r>
        <w:rPr>
          <w:spacing w:val="-9"/>
        </w:rPr>
        <w:t> </w:t>
      </w:r>
      <w:r>
        <w:rPr/>
        <w:t>≥6</w:t>
      </w:r>
      <w:r>
        <w:rPr>
          <w:spacing w:val="-9"/>
        </w:rPr>
        <w:t> </w:t>
      </w:r>
      <w:r>
        <w:rPr/>
        <w:t>weeks</w:t>
      </w:r>
      <w:r>
        <w:rPr>
          <w:spacing w:val="-9"/>
        </w:rPr>
        <w:t> </w:t>
      </w:r>
      <w:r>
        <w:rPr/>
        <w:t>who</w:t>
      </w:r>
      <w:r>
        <w:rPr>
          <w:spacing w:val="-9"/>
        </w:rPr>
        <w:t> </w:t>
      </w:r>
      <w:r>
        <w:rPr/>
        <w:t>would</w:t>
      </w:r>
      <w:r>
        <w:rPr>
          <w:spacing w:val="-9"/>
        </w:rPr>
        <w:t> </w:t>
      </w:r>
      <w:r>
        <w:rPr>
          <w:spacing w:val="-3"/>
        </w:rPr>
        <w:t>like</w:t>
      </w:r>
      <w:r>
        <w:rPr>
          <w:spacing w:val="-9"/>
        </w:rPr>
        <w:t> </w:t>
      </w:r>
      <w:r>
        <w:rPr/>
        <w:t>to</w:t>
      </w:r>
      <w:r>
        <w:rPr>
          <w:spacing w:val="-9"/>
        </w:rPr>
        <w:t> </w:t>
      </w:r>
      <w:r>
        <w:rPr/>
        <w:t>reduce</w:t>
      </w:r>
      <w:r>
        <w:rPr>
          <w:spacing w:val="-9"/>
        </w:rPr>
        <w:t> </w:t>
      </w:r>
      <w:r>
        <w:rPr/>
        <w:t>their</w:t>
      </w:r>
      <w:r>
        <w:rPr>
          <w:spacing w:val="-9"/>
        </w:rPr>
        <w:t> </w:t>
      </w:r>
      <w:r>
        <w:rPr>
          <w:spacing w:val="-3"/>
        </w:rPr>
        <w:t>likelihood </w:t>
      </w:r>
      <w:r>
        <w:rPr/>
        <w:t>of becoming ill with meningococcal</w:t>
      </w:r>
      <w:r>
        <w:rPr>
          <w:spacing w:val="-20"/>
        </w:rPr>
        <w:t> </w:t>
      </w:r>
      <w:r>
        <w:rPr/>
        <w:t>bacteria.</w:t>
      </w:r>
    </w:p>
    <w:p>
      <w:pPr>
        <w:spacing w:line="220" w:lineRule="auto" w:before="66"/>
        <w:ind w:left="150" w:right="453" w:firstLine="0"/>
        <w:jc w:val="left"/>
        <w:rPr>
          <w:sz w:val="16"/>
        </w:rPr>
      </w:pPr>
      <w:r>
        <w:rPr>
          <w:sz w:val="16"/>
        </w:rPr>
        <w:t>For</w:t>
      </w:r>
      <w:r>
        <w:rPr>
          <w:spacing w:val="-18"/>
          <w:sz w:val="16"/>
        </w:rPr>
        <w:t> </w:t>
      </w:r>
      <w:r>
        <w:rPr>
          <w:sz w:val="16"/>
        </w:rPr>
        <w:t>information</w:t>
      </w:r>
      <w:r>
        <w:rPr>
          <w:spacing w:val="-18"/>
          <w:sz w:val="16"/>
        </w:rPr>
        <w:t> </w:t>
      </w:r>
      <w:r>
        <w:rPr>
          <w:sz w:val="16"/>
        </w:rPr>
        <w:t>on</w:t>
      </w:r>
      <w:r>
        <w:rPr>
          <w:spacing w:val="-18"/>
          <w:sz w:val="16"/>
        </w:rPr>
        <w:t> </w:t>
      </w:r>
      <w:r>
        <w:rPr>
          <w:sz w:val="16"/>
        </w:rPr>
        <w:t>other</w:t>
      </w:r>
      <w:r>
        <w:rPr>
          <w:spacing w:val="-18"/>
          <w:sz w:val="16"/>
        </w:rPr>
        <w:t> </w:t>
      </w:r>
      <w:r>
        <w:rPr>
          <w:sz w:val="16"/>
        </w:rPr>
        <w:t>groups</w:t>
      </w:r>
      <w:r>
        <w:rPr>
          <w:spacing w:val="-18"/>
          <w:sz w:val="16"/>
        </w:rPr>
        <w:t> </w:t>
      </w:r>
      <w:r>
        <w:rPr>
          <w:sz w:val="16"/>
        </w:rPr>
        <w:t>recommended</w:t>
      </w:r>
      <w:r>
        <w:rPr>
          <w:spacing w:val="-18"/>
          <w:sz w:val="16"/>
        </w:rPr>
        <w:t> </w:t>
      </w:r>
      <w:r>
        <w:rPr>
          <w:sz w:val="16"/>
        </w:rPr>
        <w:t>for</w:t>
      </w:r>
      <w:r>
        <w:rPr>
          <w:spacing w:val="-18"/>
          <w:sz w:val="16"/>
        </w:rPr>
        <w:t> </w:t>
      </w:r>
      <w:r>
        <w:rPr>
          <w:spacing w:val="-2"/>
          <w:sz w:val="16"/>
        </w:rPr>
        <w:t>vaccination, </w:t>
      </w:r>
      <w:r>
        <w:rPr>
          <w:sz w:val="16"/>
        </w:rPr>
        <w:t>but not funded through the </w:t>
      </w:r>
      <w:r>
        <w:rPr>
          <w:spacing w:val="-4"/>
          <w:sz w:val="16"/>
        </w:rPr>
        <w:t>NIP, </w:t>
      </w:r>
      <w:r>
        <w:rPr>
          <w:sz w:val="16"/>
        </w:rPr>
        <w:t>refer to the </w:t>
      </w:r>
      <w:hyperlink r:id="rId7">
        <w:r>
          <w:rPr>
            <w:rFonts w:ascii="Arial Black"/>
            <w:b/>
            <w:sz w:val="16"/>
          </w:rPr>
          <w:t>Australian</w:t>
        </w:r>
      </w:hyperlink>
      <w:r>
        <w:rPr>
          <w:rFonts w:ascii="Arial Black"/>
          <w:b/>
          <w:sz w:val="16"/>
        </w:rPr>
        <w:t> </w:t>
      </w:r>
      <w:hyperlink r:id="rId7">
        <w:r>
          <w:rPr>
            <w:rFonts w:ascii="Arial Black"/>
            <w:b/>
            <w:sz w:val="16"/>
          </w:rPr>
          <w:t>Immunisation</w:t>
        </w:r>
        <w:r>
          <w:rPr>
            <w:rFonts w:ascii="Arial Black"/>
            <w:b/>
            <w:spacing w:val="-16"/>
            <w:sz w:val="16"/>
          </w:rPr>
          <w:t> </w:t>
        </w:r>
        <w:r>
          <w:rPr>
            <w:rFonts w:ascii="Arial Black"/>
            <w:b/>
            <w:sz w:val="16"/>
          </w:rPr>
          <w:t>Handbook</w:t>
        </w:r>
      </w:hyperlink>
      <w:r>
        <w:rPr>
          <w:sz w:val="16"/>
        </w:rPr>
        <w:t>.</w:t>
      </w:r>
    </w:p>
    <w:p>
      <w:pPr>
        <w:pStyle w:val="BodyText"/>
        <w:spacing w:line="261" w:lineRule="auto" w:before="60"/>
        <w:ind w:right="304"/>
      </w:pPr>
      <w:r>
        <w:rPr/>
        <w:t>Always</w:t>
      </w:r>
      <w:r>
        <w:rPr>
          <w:spacing w:val="-14"/>
        </w:rPr>
        <w:t> </w:t>
      </w:r>
      <w:r>
        <w:rPr/>
        <w:t>check</w:t>
      </w:r>
      <w:r>
        <w:rPr>
          <w:spacing w:val="-14"/>
        </w:rPr>
        <w:t> </w:t>
      </w:r>
      <w:r>
        <w:rPr/>
        <w:t>the</w:t>
      </w:r>
      <w:r>
        <w:rPr>
          <w:spacing w:val="-14"/>
        </w:rPr>
        <w:t> </w:t>
      </w:r>
      <w:r>
        <w:rPr/>
        <w:t>Australian</w:t>
      </w:r>
      <w:r>
        <w:rPr>
          <w:spacing w:val="-14"/>
        </w:rPr>
        <w:t> </w:t>
      </w:r>
      <w:r>
        <w:rPr/>
        <w:t>Immunisation</w:t>
      </w:r>
      <w:r>
        <w:rPr>
          <w:spacing w:val="-14"/>
        </w:rPr>
        <w:t> </w:t>
      </w:r>
      <w:r>
        <w:rPr/>
        <w:t>Register</w:t>
      </w:r>
      <w:r>
        <w:rPr>
          <w:spacing w:val="-14"/>
        </w:rPr>
        <w:t> </w:t>
      </w:r>
      <w:r>
        <w:rPr/>
        <w:t>and</w:t>
      </w:r>
      <w:r>
        <w:rPr>
          <w:spacing w:val="-14"/>
        </w:rPr>
        <w:t> </w:t>
      </w:r>
      <w:r>
        <w:rPr/>
        <w:t>a</w:t>
      </w:r>
      <w:r>
        <w:rPr>
          <w:spacing w:val="-14"/>
        </w:rPr>
        <w:t> </w:t>
      </w:r>
      <w:r>
        <w:rPr/>
        <w:t>person’s immunisation record prior to</w:t>
      </w:r>
      <w:r>
        <w:rPr>
          <w:spacing w:val="-18"/>
        </w:rPr>
        <w:t> </w:t>
      </w:r>
      <w:r>
        <w:rPr/>
        <w:t>vaccination.</w:t>
      </w:r>
    </w:p>
    <w:p>
      <w:pPr>
        <w:pStyle w:val="BodyText"/>
        <w:spacing w:line="261" w:lineRule="auto" w:before="56"/>
        <w:ind w:right="132"/>
      </w:pPr>
      <w:r>
        <w:rPr/>
        <w:t>Note:</w:t>
      </w:r>
      <w:r>
        <w:rPr>
          <w:spacing w:val="-21"/>
        </w:rPr>
        <w:t> </w:t>
      </w:r>
      <w:r>
        <w:rPr/>
        <w:t>in</w:t>
      </w:r>
      <w:r>
        <w:rPr>
          <w:spacing w:val="-21"/>
        </w:rPr>
        <w:t> </w:t>
      </w:r>
      <w:r>
        <w:rPr/>
        <w:t>South</w:t>
      </w:r>
      <w:r>
        <w:rPr>
          <w:spacing w:val="-21"/>
        </w:rPr>
        <w:t> </w:t>
      </w:r>
      <w:r>
        <w:rPr/>
        <w:t>Australia,</w:t>
      </w:r>
      <w:r>
        <w:rPr>
          <w:spacing w:val="-21"/>
        </w:rPr>
        <w:t> </w:t>
      </w:r>
      <w:r>
        <w:rPr>
          <w:spacing w:val="-3"/>
        </w:rPr>
        <w:t>Bexsero®</w:t>
      </w:r>
      <w:r>
        <w:rPr>
          <w:spacing w:val="-21"/>
        </w:rPr>
        <w:t> </w:t>
      </w:r>
      <w:r>
        <w:rPr/>
        <w:t>has</w:t>
      </w:r>
      <w:r>
        <w:rPr>
          <w:spacing w:val="-21"/>
        </w:rPr>
        <w:t> </w:t>
      </w:r>
      <w:r>
        <w:rPr/>
        <w:t>been</w:t>
      </w:r>
      <w:r>
        <w:rPr>
          <w:spacing w:val="-21"/>
        </w:rPr>
        <w:t> </w:t>
      </w:r>
      <w:r>
        <w:rPr/>
        <w:t>available</w:t>
      </w:r>
      <w:r>
        <w:rPr>
          <w:spacing w:val="-21"/>
        </w:rPr>
        <w:t> </w:t>
      </w:r>
      <w:r>
        <w:rPr/>
        <w:t>for</w:t>
      </w:r>
      <w:r>
        <w:rPr>
          <w:spacing w:val="-21"/>
        </w:rPr>
        <w:t> </w:t>
      </w:r>
      <w:r>
        <w:rPr/>
        <w:t>free</w:t>
      </w:r>
      <w:r>
        <w:rPr>
          <w:spacing w:val="-21"/>
        </w:rPr>
        <w:t> </w:t>
      </w:r>
      <w:r>
        <w:rPr/>
        <w:t>under</w:t>
      </w:r>
      <w:r>
        <w:rPr>
          <w:spacing w:val="-21"/>
        </w:rPr>
        <w:t> </w:t>
      </w:r>
      <w:r>
        <w:rPr/>
        <w:t>a state</w:t>
      </w:r>
      <w:r>
        <w:rPr>
          <w:spacing w:val="-9"/>
        </w:rPr>
        <w:t> </w:t>
      </w:r>
      <w:r>
        <w:rPr/>
        <w:t>funded</w:t>
      </w:r>
      <w:r>
        <w:rPr>
          <w:spacing w:val="-9"/>
        </w:rPr>
        <w:t> </w:t>
      </w:r>
      <w:r>
        <w:rPr/>
        <w:t>program</w:t>
      </w:r>
      <w:r>
        <w:rPr>
          <w:spacing w:val="-9"/>
        </w:rPr>
        <w:t> </w:t>
      </w:r>
      <w:r>
        <w:rPr/>
        <w:t>since</w:t>
      </w:r>
      <w:r>
        <w:rPr>
          <w:spacing w:val="-9"/>
        </w:rPr>
        <w:t> </w:t>
      </w:r>
      <w:r>
        <w:rPr/>
        <w:t>1</w:t>
      </w:r>
      <w:r>
        <w:rPr>
          <w:spacing w:val="-9"/>
        </w:rPr>
        <w:t> </w:t>
      </w:r>
      <w:r>
        <w:rPr/>
        <w:t>October</w:t>
      </w:r>
      <w:r>
        <w:rPr>
          <w:spacing w:val="-9"/>
        </w:rPr>
        <w:t> </w:t>
      </w:r>
      <w:r>
        <w:rPr/>
        <w:t>2018</w:t>
      </w:r>
      <w:r>
        <w:rPr>
          <w:spacing w:val="-9"/>
        </w:rPr>
        <w:t> </w:t>
      </w:r>
      <w:r>
        <w:rPr/>
        <w:t>for</w:t>
      </w:r>
      <w:r>
        <w:rPr>
          <w:spacing w:val="-9"/>
        </w:rPr>
        <w:t> </w:t>
      </w:r>
      <w:r>
        <w:rPr/>
        <w:t>infants</w:t>
      </w:r>
      <w:r>
        <w:rPr>
          <w:spacing w:val="-9"/>
        </w:rPr>
        <w:t> </w:t>
      </w:r>
      <w:r>
        <w:rPr/>
        <w:t>aged</w:t>
      </w:r>
      <w:r>
        <w:rPr>
          <w:spacing w:val="-9"/>
        </w:rPr>
        <w:t> </w:t>
      </w:r>
      <w:r>
        <w:rPr/>
        <w:t>6</w:t>
      </w:r>
      <w:r>
        <w:rPr>
          <w:spacing w:val="-9"/>
        </w:rPr>
        <w:t> </w:t>
      </w:r>
      <w:r>
        <w:rPr/>
        <w:t>weeks to 12 months (with catch-up for those aged 12 months to &lt;4 years until December</w:t>
      </w:r>
      <w:r>
        <w:rPr>
          <w:spacing w:val="-9"/>
        </w:rPr>
        <w:t> </w:t>
      </w:r>
      <w:r>
        <w:rPr/>
        <w:t>2019).</w:t>
      </w:r>
    </w:p>
    <w:p>
      <w:pPr>
        <w:pStyle w:val="BodyText"/>
        <w:spacing w:before="9"/>
        <w:ind w:left="0"/>
        <w:rPr>
          <w:sz w:val="12"/>
        </w:rPr>
      </w:pPr>
      <w:r>
        <w:rPr/>
        <w:pict>
          <v:shapetype id="_x0000_t202" o:spt="202" coordsize="21600,21600" path="m,l,21600r21600,l21600,xe">
            <v:stroke joinstyle="miter"/>
            <v:path gradientshapeok="t" o:connecttype="rect"/>
          </v:shapetype>
          <v:shape style="position:absolute;margin-left:311.811005pt;margin-top:8.566979pt;width:240.95pt;height:166.05pt;mso-position-horizontal-relative:page;mso-position-vertical-relative:paragraph;z-index:1096;mso-wrap-distance-left:0;mso-wrap-distance-right:0" type="#_x0000_t202" filled="true" fillcolor="#e7f6f5" stroked="false">
            <v:textbox inset="0,0,0,0">
              <w:txbxContent>
                <w:p>
                  <w:pPr>
                    <w:spacing w:line="213" w:lineRule="auto" w:before="196"/>
                    <w:ind w:left="226" w:right="246" w:firstLine="0"/>
                    <w:jc w:val="left"/>
                    <w:rPr>
                      <w:rFonts w:ascii="Arial Black" w:hAnsi="Arial Black"/>
                      <w:b/>
                      <w:sz w:val="16"/>
                    </w:rPr>
                  </w:pPr>
                  <w:r>
                    <w:rPr>
                      <w:rFonts w:ascii="Arial Black" w:hAnsi="Arial Black"/>
                      <w:b/>
                      <w:color w:val="00797E"/>
                      <w:spacing w:val="-3"/>
                      <w:w w:val="90"/>
                      <w:sz w:val="16"/>
                    </w:rPr>
                    <w:t>Table </w:t>
                  </w:r>
                  <w:r>
                    <w:rPr>
                      <w:rFonts w:ascii="Arial Black" w:hAnsi="Arial Black"/>
                      <w:b/>
                      <w:color w:val="00797E"/>
                      <w:w w:val="90"/>
                      <w:sz w:val="16"/>
                    </w:rPr>
                    <w:t>2—Risk conditions for invasive meningococcal </w:t>
                  </w:r>
                  <w:r>
                    <w:rPr>
                      <w:rFonts w:ascii="Arial Black" w:hAnsi="Arial Black"/>
                      <w:b/>
                      <w:color w:val="00797E"/>
                      <w:w w:val="85"/>
                      <w:sz w:val="16"/>
                    </w:rPr>
                    <w:t>disease</w:t>
                  </w:r>
                  <w:r>
                    <w:rPr>
                      <w:rFonts w:ascii="Arial Black" w:hAnsi="Arial Black"/>
                      <w:b/>
                      <w:color w:val="00797E"/>
                      <w:spacing w:val="-20"/>
                      <w:w w:val="85"/>
                      <w:sz w:val="16"/>
                    </w:rPr>
                    <w:t> </w:t>
                  </w:r>
                  <w:r>
                    <w:rPr>
                      <w:rFonts w:ascii="Arial Black" w:hAnsi="Arial Black"/>
                      <w:b/>
                      <w:color w:val="00797E"/>
                      <w:w w:val="85"/>
                      <w:sz w:val="16"/>
                    </w:rPr>
                    <w:t>that</w:t>
                  </w:r>
                  <w:r>
                    <w:rPr>
                      <w:rFonts w:ascii="Arial Black" w:hAnsi="Arial Black"/>
                      <w:b/>
                      <w:color w:val="00797E"/>
                      <w:spacing w:val="-20"/>
                      <w:w w:val="85"/>
                      <w:sz w:val="16"/>
                    </w:rPr>
                    <w:t> </w:t>
                  </w:r>
                  <w:r>
                    <w:rPr>
                      <w:rFonts w:ascii="Arial Black" w:hAnsi="Arial Black"/>
                      <w:b/>
                      <w:color w:val="00797E"/>
                      <w:w w:val="85"/>
                      <w:sz w:val="16"/>
                    </w:rPr>
                    <w:t>are</w:t>
                  </w:r>
                  <w:r>
                    <w:rPr>
                      <w:rFonts w:ascii="Arial Black" w:hAnsi="Arial Black"/>
                      <w:b/>
                      <w:color w:val="00797E"/>
                      <w:spacing w:val="-20"/>
                      <w:w w:val="85"/>
                      <w:sz w:val="16"/>
                    </w:rPr>
                    <w:t> </w:t>
                  </w:r>
                  <w:r>
                    <w:rPr>
                      <w:rFonts w:ascii="Arial Black" w:hAnsi="Arial Black"/>
                      <w:b/>
                      <w:color w:val="00797E"/>
                      <w:w w:val="85"/>
                      <w:sz w:val="16"/>
                    </w:rPr>
                    <w:t>eligible</w:t>
                  </w:r>
                  <w:r>
                    <w:rPr>
                      <w:rFonts w:ascii="Arial Black" w:hAnsi="Arial Black"/>
                      <w:b/>
                      <w:color w:val="00797E"/>
                      <w:spacing w:val="-20"/>
                      <w:w w:val="85"/>
                      <w:sz w:val="16"/>
                    </w:rPr>
                    <w:t> </w:t>
                  </w:r>
                  <w:r>
                    <w:rPr>
                      <w:rFonts w:ascii="Arial Black" w:hAnsi="Arial Black"/>
                      <w:b/>
                      <w:color w:val="00797E"/>
                      <w:w w:val="85"/>
                      <w:sz w:val="16"/>
                    </w:rPr>
                    <w:t>for</w:t>
                  </w:r>
                  <w:r>
                    <w:rPr>
                      <w:rFonts w:ascii="Arial Black" w:hAnsi="Arial Black"/>
                      <w:b/>
                      <w:color w:val="00797E"/>
                      <w:spacing w:val="-20"/>
                      <w:w w:val="85"/>
                      <w:sz w:val="16"/>
                    </w:rPr>
                    <w:t> </w:t>
                  </w:r>
                  <w:r>
                    <w:rPr>
                      <w:rFonts w:ascii="Arial Black" w:hAnsi="Arial Black"/>
                      <w:b/>
                      <w:color w:val="00797E"/>
                      <w:w w:val="85"/>
                      <w:sz w:val="16"/>
                    </w:rPr>
                    <w:t>both</w:t>
                  </w:r>
                  <w:r>
                    <w:rPr>
                      <w:rFonts w:ascii="Arial Black" w:hAnsi="Arial Black"/>
                      <w:b/>
                      <w:color w:val="00797E"/>
                      <w:spacing w:val="-20"/>
                      <w:w w:val="85"/>
                      <w:sz w:val="16"/>
                    </w:rPr>
                    <w:t> </w:t>
                  </w:r>
                  <w:r>
                    <w:rPr>
                      <w:rFonts w:ascii="Arial Black" w:hAnsi="Arial Black"/>
                      <w:b/>
                      <w:color w:val="00797E"/>
                      <w:w w:val="85"/>
                      <w:sz w:val="16"/>
                    </w:rPr>
                    <w:t>NIP-funded</w:t>
                  </w:r>
                  <w:r>
                    <w:rPr>
                      <w:rFonts w:ascii="Arial Black" w:hAnsi="Arial Black"/>
                      <w:b/>
                      <w:color w:val="00797E"/>
                      <w:spacing w:val="-20"/>
                      <w:w w:val="85"/>
                      <w:sz w:val="16"/>
                    </w:rPr>
                    <w:t> </w:t>
                  </w:r>
                  <w:r>
                    <w:rPr>
                      <w:rFonts w:ascii="Arial Black" w:hAnsi="Arial Black"/>
                      <w:b/>
                      <w:color w:val="00797E"/>
                      <w:w w:val="85"/>
                      <w:sz w:val="16"/>
                    </w:rPr>
                    <w:t>meningococcal </w:t>
                  </w:r>
                  <w:r>
                    <w:rPr>
                      <w:rFonts w:ascii="Arial Black" w:hAnsi="Arial Black"/>
                      <w:b/>
                      <w:color w:val="00797E"/>
                      <w:w w:val="95"/>
                      <w:sz w:val="16"/>
                    </w:rPr>
                    <w:t>ACWY</w:t>
                  </w:r>
                  <w:r>
                    <w:rPr>
                      <w:rFonts w:ascii="Arial Black" w:hAnsi="Arial Black"/>
                      <w:b/>
                      <w:color w:val="00797E"/>
                      <w:spacing w:val="-19"/>
                      <w:w w:val="95"/>
                      <w:sz w:val="16"/>
                    </w:rPr>
                    <w:t> </w:t>
                  </w:r>
                  <w:r>
                    <w:rPr>
                      <w:rFonts w:ascii="Arial Black" w:hAnsi="Arial Black"/>
                      <w:b/>
                      <w:color w:val="00797E"/>
                      <w:w w:val="95"/>
                      <w:sz w:val="16"/>
                    </w:rPr>
                    <w:t>and</w:t>
                  </w:r>
                  <w:r>
                    <w:rPr>
                      <w:rFonts w:ascii="Arial Black" w:hAnsi="Arial Black"/>
                      <w:b/>
                      <w:color w:val="00797E"/>
                      <w:spacing w:val="-19"/>
                      <w:w w:val="95"/>
                      <w:sz w:val="16"/>
                    </w:rPr>
                    <w:t> </w:t>
                  </w:r>
                  <w:r>
                    <w:rPr>
                      <w:rFonts w:ascii="Arial Black" w:hAnsi="Arial Black"/>
                      <w:b/>
                      <w:color w:val="00797E"/>
                      <w:w w:val="95"/>
                      <w:sz w:val="16"/>
                    </w:rPr>
                    <w:t>meningococcal</w:t>
                  </w:r>
                  <w:r>
                    <w:rPr>
                      <w:rFonts w:ascii="Arial Black" w:hAnsi="Arial Black"/>
                      <w:b/>
                      <w:color w:val="00797E"/>
                      <w:spacing w:val="-19"/>
                      <w:w w:val="95"/>
                      <w:sz w:val="16"/>
                    </w:rPr>
                    <w:t> </w:t>
                  </w:r>
                  <w:r>
                    <w:rPr>
                      <w:rFonts w:ascii="Arial Black" w:hAnsi="Arial Black"/>
                      <w:b/>
                      <w:color w:val="00797E"/>
                      <w:w w:val="95"/>
                      <w:sz w:val="16"/>
                    </w:rPr>
                    <w:t>B</w:t>
                  </w:r>
                  <w:r>
                    <w:rPr>
                      <w:rFonts w:ascii="Arial Black" w:hAnsi="Arial Black"/>
                      <w:b/>
                      <w:color w:val="00797E"/>
                      <w:spacing w:val="-19"/>
                      <w:w w:val="95"/>
                      <w:sz w:val="16"/>
                    </w:rPr>
                    <w:t> </w:t>
                  </w:r>
                  <w:r>
                    <w:rPr>
                      <w:rFonts w:ascii="Arial Black" w:hAnsi="Arial Black"/>
                      <w:b/>
                      <w:color w:val="00797E"/>
                      <w:w w:val="95"/>
                      <w:sz w:val="16"/>
                    </w:rPr>
                    <w:t>vaccines</w:t>
                  </w:r>
                </w:p>
                <w:p>
                  <w:pPr>
                    <w:pStyle w:val="BodyText"/>
                    <w:numPr>
                      <w:ilvl w:val="0"/>
                      <w:numId w:val="5"/>
                    </w:numPr>
                    <w:tabs>
                      <w:tab w:pos="447" w:val="left" w:leader="none"/>
                    </w:tabs>
                    <w:spacing w:line="261" w:lineRule="auto" w:before="118" w:after="0"/>
                    <w:ind w:left="446" w:right="719" w:hanging="200"/>
                    <w:jc w:val="left"/>
                  </w:pPr>
                  <w:r>
                    <w:rPr/>
                    <w:t>defects</w:t>
                  </w:r>
                  <w:r>
                    <w:rPr>
                      <w:spacing w:val="-21"/>
                    </w:rPr>
                    <w:t> </w:t>
                  </w:r>
                  <w:r>
                    <w:rPr/>
                    <w:t>in,</w:t>
                  </w:r>
                  <w:r>
                    <w:rPr>
                      <w:spacing w:val="-21"/>
                    </w:rPr>
                    <w:t> </w:t>
                  </w:r>
                  <w:r>
                    <w:rPr/>
                    <w:t>or</w:t>
                  </w:r>
                  <w:r>
                    <w:rPr>
                      <w:spacing w:val="-21"/>
                    </w:rPr>
                    <w:t> </w:t>
                  </w:r>
                  <w:r>
                    <w:rPr/>
                    <w:t>deficiency</w:t>
                  </w:r>
                  <w:r>
                    <w:rPr>
                      <w:spacing w:val="-21"/>
                    </w:rPr>
                    <w:t> </w:t>
                  </w:r>
                  <w:r>
                    <w:rPr>
                      <w:spacing w:val="-4"/>
                    </w:rPr>
                    <w:t>of,</w:t>
                  </w:r>
                  <w:r>
                    <w:rPr>
                      <w:spacing w:val="-21"/>
                    </w:rPr>
                    <w:t> </w:t>
                  </w:r>
                  <w:r>
                    <w:rPr/>
                    <w:t>complement</w:t>
                  </w:r>
                  <w:r>
                    <w:rPr>
                      <w:spacing w:val="-21"/>
                    </w:rPr>
                    <w:t> </w:t>
                  </w:r>
                  <w:r>
                    <w:rPr/>
                    <w:t>components, including</w:t>
                  </w:r>
                  <w:r>
                    <w:rPr>
                      <w:spacing w:val="-13"/>
                    </w:rPr>
                    <w:t> </w:t>
                  </w:r>
                  <w:r>
                    <w:rPr/>
                    <w:t>factor</w:t>
                  </w:r>
                  <w:r>
                    <w:rPr>
                      <w:spacing w:val="-13"/>
                    </w:rPr>
                    <w:t> </w:t>
                  </w:r>
                  <w:r>
                    <w:rPr/>
                    <w:t>H,</w:t>
                  </w:r>
                  <w:r>
                    <w:rPr>
                      <w:spacing w:val="-13"/>
                    </w:rPr>
                    <w:t> </w:t>
                  </w:r>
                  <w:r>
                    <w:rPr/>
                    <w:t>factor</w:t>
                  </w:r>
                  <w:r>
                    <w:rPr>
                      <w:spacing w:val="-13"/>
                    </w:rPr>
                    <w:t> </w:t>
                  </w:r>
                  <w:r>
                    <w:rPr/>
                    <w:t>D</w:t>
                  </w:r>
                  <w:r>
                    <w:rPr>
                      <w:spacing w:val="-13"/>
                    </w:rPr>
                    <w:t> </w:t>
                  </w:r>
                  <w:r>
                    <w:rPr/>
                    <w:t>or</w:t>
                  </w:r>
                  <w:r>
                    <w:rPr>
                      <w:spacing w:val="-13"/>
                    </w:rPr>
                    <w:t> </w:t>
                  </w:r>
                  <w:r>
                    <w:rPr/>
                    <w:t>properdin</w:t>
                  </w:r>
                  <w:r>
                    <w:rPr>
                      <w:spacing w:val="-13"/>
                    </w:rPr>
                    <w:t> </w:t>
                  </w:r>
                  <w:r>
                    <w:rPr/>
                    <w:t>deficiency</w:t>
                  </w:r>
                </w:p>
                <w:p>
                  <w:pPr>
                    <w:pStyle w:val="BodyText"/>
                    <w:numPr>
                      <w:ilvl w:val="0"/>
                      <w:numId w:val="5"/>
                    </w:numPr>
                    <w:tabs>
                      <w:tab w:pos="447" w:val="left" w:leader="none"/>
                    </w:tabs>
                    <w:spacing w:line="261" w:lineRule="auto" w:before="112" w:after="0"/>
                    <w:ind w:left="446" w:right="415" w:hanging="200"/>
                    <w:jc w:val="left"/>
                  </w:pPr>
                  <w:r>
                    <w:rPr/>
                    <w:t>current</w:t>
                  </w:r>
                  <w:r>
                    <w:rPr>
                      <w:spacing w:val="-22"/>
                    </w:rPr>
                    <w:t> </w:t>
                  </w:r>
                  <w:r>
                    <w:rPr/>
                    <w:t>or</w:t>
                  </w:r>
                  <w:r>
                    <w:rPr>
                      <w:spacing w:val="-22"/>
                    </w:rPr>
                    <w:t> </w:t>
                  </w:r>
                  <w:r>
                    <w:rPr/>
                    <w:t>future</w:t>
                  </w:r>
                  <w:r>
                    <w:rPr>
                      <w:spacing w:val="-22"/>
                    </w:rPr>
                    <w:t> </w:t>
                  </w:r>
                  <w:r>
                    <w:rPr/>
                    <w:t>treatment</w:t>
                  </w:r>
                  <w:r>
                    <w:rPr>
                      <w:spacing w:val="-22"/>
                    </w:rPr>
                    <w:t> </w:t>
                  </w:r>
                  <w:r>
                    <w:rPr/>
                    <w:t>with</w:t>
                  </w:r>
                  <w:r>
                    <w:rPr>
                      <w:spacing w:val="-22"/>
                    </w:rPr>
                    <w:t> </w:t>
                  </w:r>
                  <w:r>
                    <w:rPr/>
                    <w:t>eculizumab</w:t>
                  </w:r>
                  <w:r>
                    <w:rPr>
                      <w:spacing w:val="-22"/>
                    </w:rPr>
                    <w:t> </w:t>
                  </w:r>
                  <w:r>
                    <w:rPr/>
                    <w:t>(a</w:t>
                  </w:r>
                  <w:r>
                    <w:rPr>
                      <w:spacing w:val="-22"/>
                    </w:rPr>
                    <w:t> </w:t>
                  </w:r>
                  <w:r>
                    <w:rPr/>
                    <w:t>monoclonal antibody</w:t>
                  </w:r>
                  <w:r>
                    <w:rPr>
                      <w:spacing w:val="-14"/>
                    </w:rPr>
                    <w:t> </w:t>
                  </w:r>
                  <w:r>
                    <w:rPr/>
                    <w:t>directed</w:t>
                  </w:r>
                  <w:r>
                    <w:rPr>
                      <w:spacing w:val="-14"/>
                    </w:rPr>
                    <w:t> </w:t>
                  </w:r>
                  <w:r>
                    <w:rPr/>
                    <w:t>against</w:t>
                  </w:r>
                  <w:r>
                    <w:rPr>
                      <w:spacing w:val="-14"/>
                    </w:rPr>
                    <w:t> </w:t>
                  </w:r>
                  <w:r>
                    <w:rPr/>
                    <w:t>complement</w:t>
                  </w:r>
                  <w:r>
                    <w:rPr>
                      <w:spacing w:val="-14"/>
                    </w:rPr>
                    <w:t> </w:t>
                  </w:r>
                  <w:r>
                    <w:rPr/>
                    <w:t>component</w:t>
                  </w:r>
                  <w:r>
                    <w:rPr>
                      <w:spacing w:val="-14"/>
                    </w:rPr>
                    <w:t> </w:t>
                  </w:r>
                  <w:r>
                    <w:rPr>
                      <w:spacing w:val="-2"/>
                    </w:rPr>
                    <w:t>C5)</w:t>
                  </w:r>
                </w:p>
                <w:p>
                  <w:pPr>
                    <w:pStyle w:val="BodyText"/>
                    <w:numPr>
                      <w:ilvl w:val="0"/>
                      <w:numId w:val="5"/>
                    </w:numPr>
                    <w:tabs>
                      <w:tab w:pos="447" w:val="left" w:leader="none"/>
                    </w:tabs>
                    <w:spacing w:line="261" w:lineRule="auto" w:before="113" w:after="0"/>
                    <w:ind w:left="446" w:right="575" w:hanging="200"/>
                    <w:jc w:val="left"/>
                  </w:pPr>
                  <w:r>
                    <w:rPr/>
                    <w:t>functional or anatomical asplenia, including sickle cell disease</w:t>
                  </w:r>
                  <w:r>
                    <w:rPr>
                      <w:spacing w:val="-20"/>
                    </w:rPr>
                    <w:t> </w:t>
                  </w:r>
                  <w:r>
                    <w:rPr/>
                    <w:t>or</w:t>
                  </w:r>
                  <w:r>
                    <w:rPr>
                      <w:spacing w:val="-20"/>
                    </w:rPr>
                    <w:t> </w:t>
                  </w:r>
                  <w:r>
                    <w:rPr/>
                    <w:t>other</w:t>
                  </w:r>
                  <w:r>
                    <w:rPr>
                      <w:spacing w:val="-20"/>
                    </w:rPr>
                    <w:t> </w:t>
                  </w:r>
                  <w:r>
                    <w:rPr/>
                    <w:t>haemoglobinopathies,</w:t>
                  </w:r>
                  <w:r>
                    <w:rPr>
                      <w:spacing w:val="-20"/>
                    </w:rPr>
                    <w:t> </w:t>
                  </w:r>
                  <w:r>
                    <w:rPr/>
                    <w:t>and</w:t>
                  </w:r>
                  <w:r>
                    <w:rPr>
                      <w:spacing w:val="-20"/>
                    </w:rPr>
                    <w:t> </w:t>
                  </w:r>
                  <w:r>
                    <w:rPr/>
                    <w:t>congenital or acquired asplenia. Note individuals with these risk conditions are also eligible for pneumococcal </w:t>
                  </w:r>
                  <w:r>
                    <w:rPr>
                      <w:spacing w:val="-2"/>
                    </w:rPr>
                    <w:t>and </w:t>
                  </w:r>
                  <w:r>
                    <w:rPr>
                      <w:i/>
                    </w:rPr>
                    <w:t>Haemophilus</w:t>
                  </w:r>
                  <w:r>
                    <w:rPr>
                      <w:i/>
                      <w:spacing w:val="-21"/>
                    </w:rPr>
                    <w:t> </w:t>
                  </w:r>
                  <w:r>
                    <w:rPr>
                      <w:i/>
                    </w:rPr>
                    <w:t>influenzae</w:t>
                  </w:r>
                  <w:r>
                    <w:rPr>
                      <w:i/>
                      <w:spacing w:val="-21"/>
                    </w:rPr>
                    <w:t> </w:t>
                  </w:r>
                  <w:r>
                    <w:rPr/>
                    <w:t>type</w:t>
                  </w:r>
                  <w:r>
                    <w:rPr>
                      <w:spacing w:val="-21"/>
                    </w:rPr>
                    <w:t> </w:t>
                  </w:r>
                  <w:r>
                    <w:rPr/>
                    <w:t>b</w:t>
                  </w:r>
                  <w:r>
                    <w:rPr>
                      <w:spacing w:val="-21"/>
                    </w:rPr>
                    <w:t> </w:t>
                  </w:r>
                  <w:r>
                    <w:rPr/>
                    <w:t>(Hib)</w:t>
                  </w:r>
                  <w:r>
                    <w:rPr>
                      <w:spacing w:val="-21"/>
                    </w:rPr>
                    <w:t> </w:t>
                  </w:r>
                  <w:r>
                    <w:rPr/>
                    <w:t>vaccine</w:t>
                  </w:r>
                  <w:r>
                    <w:rPr>
                      <w:spacing w:val="-21"/>
                    </w:rPr>
                    <w:t> </w:t>
                  </w:r>
                  <w:r>
                    <w:rPr/>
                    <w:t>if</w:t>
                  </w:r>
                  <w:r>
                    <w:rPr>
                      <w:spacing w:val="-21"/>
                    </w:rPr>
                    <w:t> </w:t>
                  </w:r>
                  <w:r>
                    <w:rPr/>
                    <w:t>required under the</w:t>
                  </w:r>
                  <w:r>
                    <w:rPr>
                      <w:spacing w:val="-15"/>
                    </w:rPr>
                    <w:t> </w:t>
                  </w:r>
                  <w:r>
                    <w:rPr>
                      <w:spacing w:val="-6"/>
                    </w:rPr>
                    <w:t>NIP.</w:t>
                  </w:r>
                </w:p>
              </w:txbxContent>
            </v:textbox>
            <v:fill type="solid"/>
            <w10:wrap type="topAndBottom"/>
          </v:shape>
        </w:pict>
      </w:r>
    </w:p>
    <w:p>
      <w:pPr>
        <w:pStyle w:val="Heading1"/>
        <w:spacing w:before="116"/>
      </w:pPr>
      <w:r>
        <w:rPr>
          <w:color w:val="00797E"/>
        </w:rPr>
        <w:t>Meningococcal disease</w:t>
      </w:r>
    </w:p>
    <w:p>
      <w:pPr>
        <w:pStyle w:val="BodyText"/>
        <w:spacing w:line="261" w:lineRule="auto" w:before="51"/>
        <w:ind w:right="359"/>
      </w:pPr>
      <w:r>
        <w:rPr/>
        <w:t>Meningococcal disease is a rare but serious infection caused by the bacterium </w:t>
      </w:r>
      <w:r>
        <w:rPr>
          <w:i/>
        </w:rPr>
        <w:t>Neisseria meningitidis </w:t>
      </w:r>
      <w:r>
        <w:rPr/>
        <w:t>(N. meningitidis). There are 13</w:t>
      </w:r>
      <w:r>
        <w:rPr>
          <w:spacing w:val="-15"/>
        </w:rPr>
        <w:t> </w:t>
      </w:r>
      <w:r>
        <w:rPr/>
        <w:t>serogroups.</w:t>
      </w:r>
      <w:r>
        <w:rPr>
          <w:spacing w:val="-15"/>
        </w:rPr>
        <w:t> </w:t>
      </w:r>
      <w:r>
        <w:rPr/>
        <w:t>Meningococcal</w:t>
      </w:r>
      <w:r>
        <w:rPr>
          <w:spacing w:val="-15"/>
        </w:rPr>
        <w:t> </w:t>
      </w:r>
      <w:r>
        <w:rPr/>
        <w:t>disease</w:t>
      </w:r>
      <w:r>
        <w:rPr>
          <w:spacing w:val="-15"/>
        </w:rPr>
        <w:t> </w:t>
      </w:r>
      <w:r>
        <w:rPr/>
        <w:t>is</w:t>
      </w:r>
      <w:r>
        <w:rPr>
          <w:spacing w:val="-15"/>
        </w:rPr>
        <w:t> </w:t>
      </w:r>
      <w:r>
        <w:rPr/>
        <w:t>most</w:t>
      </w:r>
      <w:r>
        <w:rPr>
          <w:spacing w:val="-15"/>
        </w:rPr>
        <w:t> </w:t>
      </w:r>
      <w:r>
        <w:rPr/>
        <w:t>commonly</w:t>
      </w:r>
      <w:r>
        <w:rPr>
          <w:spacing w:val="-15"/>
        </w:rPr>
        <w:t> </w:t>
      </w:r>
      <w:r>
        <w:rPr/>
        <w:t>caused by</w:t>
      </w:r>
      <w:r>
        <w:rPr>
          <w:spacing w:val="-5"/>
        </w:rPr>
        <w:t> </w:t>
      </w:r>
      <w:r>
        <w:rPr/>
        <w:t>serogroups</w:t>
      </w:r>
      <w:r>
        <w:rPr>
          <w:spacing w:val="-5"/>
        </w:rPr>
        <w:t> </w:t>
      </w:r>
      <w:r>
        <w:rPr/>
        <w:t>A,</w:t>
      </w:r>
      <w:r>
        <w:rPr>
          <w:spacing w:val="-5"/>
        </w:rPr>
        <w:t> </w:t>
      </w:r>
      <w:r>
        <w:rPr/>
        <w:t>B,</w:t>
      </w:r>
      <w:r>
        <w:rPr>
          <w:spacing w:val="-5"/>
        </w:rPr>
        <w:t> </w:t>
      </w:r>
      <w:r>
        <w:rPr/>
        <w:t>C,</w:t>
      </w:r>
      <w:r>
        <w:rPr>
          <w:spacing w:val="-5"/>
        </w:rPr>
        <w:t> </w:t>
      </w:r>
      <w:r>
        <w:rPr/>
        <w:t>W</w:t>
      </w:r>
      <w:r>
        <w:rPr>
          <w:spacing w:val="-5"/>
        </w:rPr>
        <w:t> </w:t>
      </w:r>
      <w:r>
        <w:rPr/>
        <w:t>and</w:t>
      </w:r>
      <w:r>
        <w:rPr>
          <w:spacing w:val="-5"/>
        </w:rPr>
        <w:t> </w:t>
      </w:r>
      <w:r>
        <w:rPr>
          <w:spacing w:val="-8"/>
        </w:rPr>
        <w:t>Y.</w:t>
      </w:r>
    </w:p>
    <w:p>
      <w:pPr>
        <w:spacing w:after="0" w:line="261" w:lineRule="auto"/>
        <w:sectPr>
          <w:type w:val="continuous"/>
          <w:pgSz w:w="11910" w:h="16840"/>
          <w:pgMar w:top="840" w:bottom="280" w:left="700" w:right="740"/>
          <w:cols w:num="2" w:equalWidth="0">
            <w:col w:w="4999" w:space="386"/>
            <w:col w:w="5085"/>
          </w:cols>
        </w:sectPr>
      </w:pPr>
    </w:p>
    <w:p>
      <w:pPr>
        <w:pStyle w:val="BodyText"/>
        <w:spacing w:line="261" w:lineRule="auto" w:before="109"/>
        <w:ind w:right="350"/>
        <w:jc w:val="both"/>
      </w:pPr>
      <w:r>
        <w:rPr/>
        <w:t>Meningococcal</w:t>
      </w:r>
      <w:r>
        <w:rPr>
          <w:spacing w:val="-10"/>
        </w:rPr>
        <w:t> </w:t>
      </w:r>
      <w:r>
        <w:rPr/>
        <w:t>B</w:t>
      </w:r>
      <w:r>
        <w:rPr>
          <w:spacing w:val="-10"/>
        </w:rPr>
        <w:t> </w:t>
      </w:r>
      <w:r>
        <w:rPr/>
        <w:t>disease</w:t>
      </w:r>
      <w:r>
        <w:rPr>
          <w:spacing w:val="-10"/>
        </w:rPr>
        <w:t> </w:t>
      </w:r>
      <w:r>
        <w:rPr/>
        <w:t>(caused</w:t>
      </w:r>
      <w:r>
        <w:rPr>
          <w:spacing w:val="-10"/>
        </w:rPr>
        <w:t> </w:t>
      </w:r>
      <w:r>
        <w:rPr/>
        <w:t>by</w:t>
      </w:r>
      <w:r>
        <w:rPr>
          <w:spacing w:val="-10"/>
        </w:rPr>
        <w:t> </w:t>
      </w:r>
      <w:r>
        <w:rPr/>
        <w:t>the</w:t>
      </w:r>
      <w:r>
        <w:rPr>
          <w:spacing w:val="-10"/>
        </w:rPr>
        <w:t> </w:t>
      </w:r>
      <w:r>
        <w:rPr/>
        <w:t>‘serogroup</w:t>
      </w:r>
      <w:r>
        <w:rPr>
          <w:spacing w:val="-10"/>
        </w:rPr>
        <w:t> </w:t>
      </w:r>
      <w:r>
        <w:rPr/>
        <w:t>B’</w:t>
      </w:r>
      <w:r>
        <w:rPr>
          <w:spacing w:val="-10"/>
        </w:rPr>
        <w:t> </w:t>
      </w:r>
      <w:r>
        <w:rPr/>
        <w:t>subtype) remains</w:t>
      </w:r>
      <w:r>
        <w:rPr>
          <w:spacing w:val="-10"/>
        </w:rPr>
        <w:t> </w:t>
      </w:r>
      <w:r>
        <w:rPr/>
        <w:t>the</w:t>
      </w:r>
      <w:r>
        <w:rPr>
          <w:spacing w:val="-10"/>
        </w:rPr>
        <w:t> </w:t>
      </w:r>
      <w:r>
        <w:rPr/>
        <w:t>most</w:t>
      </w:r>
      <w:r>
        <w:rPr>
          <w:spacing w:val="-10"/>
        </w:rPr>
        <w:t> </w:t>
      </w:r>
      <w:r>
        <w:rPr/>
        <w:t>common</w:t>
      </w:r>
      <w:r>
        <w:rPr>
          <w:spacing w:val="-10"/>
        </w:rPr>
        <w:t> </w:t>
      </w:r>
      <w:r>
        <w:rPr/>
        <w:t>cause</w:t>
      </w:r>
      <w:r>
        <w:rPr>
          <w:spacing w:val="-10"/>
        </w:rPr>
        <w:t> </w:t>
      </w:r>
      <w:r>
        <w:rPr/>
        <w:t>of</w:t>
      </w:r>
      <w:r>
        <w:rPr>
          <w:spacing w:val="-10"/>
        </w:rPr>
        <w:t> </w:t>
      </w:r>
      <w:r>
        <w:rPr/>
        <w:t>IMD</w:t>
      </w:r>
      <w:r>
        <w:rPr>
          <w:spacing w:val="-10"/>
        </w:rPr>
        <w:t> </w:t>
      </w:r>
      <w:r>
        <w:rPr/>
        <w:t>in</w:t>
      </w:r>
      <w:r>
        <w:rPr>
          <w:spacing w:val="-10"/>
        </w:rPr>
        <w:t> </w:t>
      </w:r>
      <w:r>
        <w:rPr/>
        <w:t>children,</w:t>
      </w:r>
      <w:r>
        <w:rPr>
          <w:spacing w:val="-10"/>
        </w:rPr>
        <w:t> </w:t>
      </w:r>
      <w:r>
        <w:rPr/>
        <w:t>adolescents and young</w:t>
      </w:r>
      <w:r>
        <w:rPr>
          <w:spacing w:val="-9"/>
        </w:rPr>
        <w:t> </w:t>
      </w:r>
      <w:r>
        <w:rPr/>
        <w:t>adults.</w:t>
      </w:r>
    </w:p>
    <w:p>
      <w:pPr>
        <w:pStyle w:val="BodyText"/>
        <w:spacing w:line="261" w:lineRule="auto" w:before="55"/>
        <w:ind w:right="357"/>
      </w:pPr>
      <w:r>
        <w:rPr/>
        <w:t>Septicaemia and/or meningitis are the most common clinical manifestations of IMD. The highest incidence of meningococcal disease is in children aged &lt;2 years and adolescents aged 15–19 years.</w:t>
      </w:r>
    </w:p>
    <w:p>
      <w:pPr>
        <w:pStyle w:val="BodyText"/>
        <w:spacing w:line="261" w:lineRule="auto" w:before="54"/>
        <w:ind w:right="162"/>
      </w:pPr>
      <w:r>
        <w:rPr/>
        <w:t>People who are immunocompromised due to certain disorders of the immune system (particularly complement deficiencies), certain medical treatments, or functional or anatomical asplenia have an increased risk of acquiring the disease.</w:t>
      </w:r>
    </w:p>
    <w:p>
      <w:pPr>
        <w:pStyle w:val="BodyText"/>
        <w:spacing w:line="261" w:lineRule="auto" w:before="55"/>
        <w:ind w:right="41"/>
      </w:pPr>
      <w:r>
        <w:rPr/>
        <w:t>The</w:t>
      </w:r>
      <w:r>
        <w:rPr>
          <w:spacing w:val="-17"/>
        </w:rPr>
        <w:t> </w:t>
      </w:r>
      <w:r>
        <w:rPr/>
        <w:t>meningococcal</w:t>
      </w:r>
      <w:r>
        <w:rPr>
          <w:spacing w:val="-17"/>
        </w:rPr>
        <w:t> </w:t>
      </w:r>
      <w:r>
        <w:rPr/>
        <w:t>B</w:t>
      </w:r>
      <w:r>
        <w:rPr>
          <w:spacing w:val="-17"/>
        </w:rPr>
        <w:t> </w:t>
      </w:r>
      <w:r>
        <w:rPr/>
        <w:t>vaccine</w:t>
      </w:r>
      <w:r>
        <w:rPr>
          <w:spacing w:val="-17"/>
        </w:rPr>
        <w:t> </w:t>
      </w:r>
      <w:r>
        <w:rPr/>
        <w:t>is</w:t>
      </w:r>
      <w:r>
        <w:rPr>
          <w:spacing w:val="-17"/>
        </w:rPr>
        <w:t> </w:t>
      </w:r>
      <w:r>
        <w:rPr/>
        <w:t>available</w:t>
      </w:r>
      <w:r>
        <w:rPr>
          <w:spacing w:val="-17"/>
        </w:rPr>
        <w:t> </w:t>
      </w:r>
      <w:r>
        <w:rPr/>
        <w:t>to</w:t>
      </w:r>
      <w:r>
        <w:rPr>
          <w:spacing w:val="-17"/>
        </w:rPr>
        <w:t> </w:t>
      </w:r>
      <w:r>
        <w:rPr/>
        <w:t>protect</w:t>
      </w:r>
      <w:r>
        <w:rPr>
          <w:spacing w:val="-17"/>
        </w:rPr>
        <w:t> </w:t>
      </w:r>
      <w:r>
        <w:rPr/>
        <w:t>against</w:t>
      </w:r>
      <w:r>
        <w:rPr>
          <w:spacing w:val="-17"/>
        </w:rPr>
        <w:t> </w:t>
      </w:r>
      <w:r>
        <w:rPr/>
        <w:t>disease caused</w:t>
      </w:r>
      <w:r>
        <w:rPr>
          <w:spacing w:val="-18"/>
        </w:rPr>
        <w:t> </w:t>
      </w:r>
      <w:r>
        <w:rPr/>
        <w:t>by</w:t>
      </w:r>
      <w:r>
        <w:rPr>
          <w:spacing w:val="-18"/>
        </w:rPr>
        <w:t> </w:t>
      </w:r>
      <w:r>
        <w:rPr/>
        <w:t>serogroup</w:t>
      </w:r>
      <w:r>
        <w:rPr>
          <w:spacing w:val="-18"/>
        </w:rPr>
        <w:t> </w:t>
      </w:r>
      <w:r>
        <w:rPr/>
        <w:t>B</w:t>
      </w:r>
      <w:r>
        <w:rPr>
          <w:spacing w:val="-18"/>
        </w:rPr>
        <w:t> </w:t>
      </w:r>
      <w:r>
        <w:rPr/>
        <w:t>subtypes</w:t>
      </w:r>
      <w:r>
        <w:rPr>
          <w:spacing w:val="-18"/>
        </w:rPr>
        <w:t> </w:t>
      </w:r>
      <w:r>
        <w:rPr/>
        <w:t>and</w:t>
      </w:r>
      <w:r>
        <w:rPr>
          <w:spacing w:val="-18"/>
        </w:rPr>
        <w:t> </w:t>
      </w:r>
      <w:r>
        <w:rPr/>
        <w:t>meningococcal</w:t>
      </w:r>
      <w:r>
        <w:rPr>
          <w:spacing w:val="-18"/>
        </w:rPr>
        <w:t> </w:t>
      </w:r>
      <w:r>
        <w:rPr>
          <w:spacing w:val="-4"/>
        </w:rPr>
        <w:t>ACWY</w:t>
      </w:r>
      <w:r>
        <w:rPr>
          <w:spacing w:val="-18"/>
        </w:rPr>
        <w:t> </w:t>
      </w:r>
      <w:r>
        <w:rPr/>
        <w:t>vaccine is</w:t>
      </w:r>
      <w:r>
        <w:rPr>
          <w:spacing w:val="-14"/>
        </w:rPr>
        <w:t> </w:t>
      </w:r>
      <w:r>
        <w:rPr>
          <w:spacing w:val="-3"/>
        </w:rPr>
        <w:t>available</w:t>
      </w:r>
      <w:r>
        <w:rPr>
          <w:spacing w:val="-14"/>
        </w:rPr>
        <w:t> </w:t>
      </w:r>
      <w:r>
        <w:rPr/>
        <w:t>to</w:t>
      </w:r>
      <w:r>
        <w:rPr>
          <w:spacing w:val="-14"/>
        </w:rPr>
        <w:t> </w:t>
      </w:r>
      <w:r>
        <w:rPr>
          <w:spacing w:val="-3"/>
        </w:rPr>
        <w:t>protect</w:t>
      </w:r>
      <w:r>
        <w:rPr>
          <w:spacing w:val="-14"/>
        </w:rPr>
        <w:t> </w:t>
      </w:r>
      <w:r>
        <w:rPr>
          <w:spacing w:val="-3"/>
        </w:rPr>
        <w:t>against</w:t>
      </w:r>
      <w:r>
        <w:rPr>
          <w:spacing w:val="-14"/>
        </w:rPr>
        <w:t> </w:t>
      </w:r>
      <w:r>
        <w:rPr>
          <w:spacing w:val="-3"/>
        </w:rPr>
        <w:t>disease</w:t>
      </w:r>
      <w:r>
        <w:rPr>
          <w:spacing w:val="-14"/>
        </w:rPr>
        <w:t> </w:t>
      </w:r>
      <w:r>
        <w:rPr>
          <w:spacing w:val="-3"/>
        </w:rPr>
        <w:t>caused</w:t>
      </w:r>
      <w:r>
        <w:rPr>
          <w:spacing w:val="-14"/>
        </w:rPr>
        <w:t> </w:t>
      </w:r>
      <w:r>
        <w:rPr/>
        <w:t>by</w:t>
      </w:r>
      <w:r>
        <w:rPr>
          <w:spacing w:val="-14"/>
        </w:rPr>
        <w:t> </w:t>
      </w:r>
      <w:r>
        <w:rPr>
          <w:spacing w:val="-3"/>
        </w:rPr>
        <w:t>serogroups</w:t>
      </w:r>
      <w:r>
        <w:rPr>
          <w:spacing w:val="-14"/>
        </w:rPr>
        <w:t> </w:t>
      </w:r>
      <w:r>
        <w:rPr/>
        <w:t>A,</w:t>
      </w:r>
      <w:r>
        <w:rPr>
          <w:spacing w:val="-14"/>
        </w:rPr>
        <w:t> </w:t>
      </w:r>
      <w:r>
        <w:rPr/>
        <w:t>C,</w:t>
      </w:r>
      <w:r>
        <w:rPr>
          <w:spacing w:val="-14"/>
        </w:rPr>
        <w:t> </w:t>
      </w:r>
      <w:r>
        <w:rPr>
          <w:spacing w:val="-7"/>
        </w:rPr>
        <w:t>W,</w:t>
      </w:r>
      <w:r>
        <w:rPr>
          <w:spacing w:val="-14"/>
        </w:rPr>
        <w:t> </w:t>
      </w:r>
      <w:r>
        <w:rPr>
          <w:spacing w:val="-9"/>
        </w:rPr>
        <w:t>Y.</w:t>
      </w:r>
    </w:p>
    <w:p>
      <w:pPr>
        <w:pStyle w:val="Heading1"/>
        <w:spacing w:before="136"/>
      </w:pPr>
      <w:r>
        <w:rPr>
          <w:color w:val="00797E"/>
        </w:rPr>
        <w:t>Frequently asked questions</w:t>
      </w:r>
    </w:p>
    <w:p>
      <w:pPr>
        <w:pStyle w:val="Heading2"/>
        <w:spacing w:line="213" w:lineRule="auto" w:before="102"/>
        <w:ind w:right="807"/>
        <w:rPr>
          <w:b/>
        </w:rPr>
      </w:pPr>
      <w:r>
        <w:rPr>
          <w:b/>
          <w:color w:val="00797E"/>
          <w:w w:val="90"/>
        </w:rPr>
        <w:t>Is</w:t>
      </w:r>
      <w:r>
        <w:rPr>
          <w:b/>
          <w:color w:val="00797E"/>
          <w:spacing w:val="-28"/>
          <w:w w:val="90"/>
        </w:rPr>
        <w:t> </w:t>
      </w:r>
      <w:r>
        <w:rPr>
          <w:b/>
          <w:color w:val="00797E"/>
          <w:w w:val="90"/>
        </w:rPr>
        <w:t>the</w:t>
      </w:r>
      <w:r>
        <w:rPr>
          <w:b/>
          <w:color w:val="00797E"/>
          <w:spacing w:val="-28"/>
          <w:w w:val="90"/>
        </w:rPr>
        <w:t> </w:t>
      </w:r>
      <w:r>
        <w:rPr>
          <w:b/>
          <w:color w:val="00797E"/>
          <w:w w:val="90"/>
        </w:rPr>
        <w:t>meningococcal</w:t>
      </w:r>
      <w:r>
        <w:rPr>
          <w:b/>
          <w:color w:val="00797E"/>
          <w:spacing w:val="-28"/>
          <w:w w:val="90"/>
        </w:rPr>
        <w:t> </w:t>
      </w:r>
      <w:r>
        <w:rPr>
          <w:b/>
          <w:color w:val="00797E"/>
          <w:w w:val="90"/>
        </w:rPr>
        <w:t>B</w:t>
      </w:r>
      <w:r>
        <w:rPr>
          <w:b/>
          <w:color w:val="00797E"/>
          <w:spacing w:val="-28"/>
          <w:w w:val="90"/>
        </w:rPr>
        <w:t> </w:t>
      </w:r>
      <w:r>
        <w:rPr>
          <w:b/>
          <w:color w:val="00797E"/>
          <w:w w:val="90"/>
        </w:rPr>
        <w:t>vaccine</w:t>
      </w:r>
      <w:r>
        <w:rPr>
          <w:b/>
          <w:color w:val="00797E"/>
          <w:spacing w:val="-28"/>
          <w:w w:val="90"/>
        </w:rPr>
        <w:t> </w:t>
      </w:r>
      <w:r>
        <w:rPr>
          <w:b/>
          <w:color w:val="00797E"/>
          <w:w w:val="90"/>
        </w:rPr>
        <w:t>included</w:t>
      </w:r>
      <w:r>
        <w:rPr>
          <w:b/>
          <w:color w:val="00797E"/>
          <w:spacing w:val="-28"/>
          <w:w w:val="90"/>
        </w:rPr>
        <w:t> </w:t>
      </w:r>
      <w:r>
        <w:rPr>
          <w:b/>
          <w:color w:val="00797E"/>
          <w:w w:val="90"/>
        </w:rPr>
        <w:t>under</w:t>
      </w:r>
      <w:r>
        <w:rPr>
          <w:b/>
          <w:color w:val="00797E"/>
          <w:spacing w:val="-28"/>
          <w:w w:val="90"/>
        </w:rPr>
        <w:t> </w:t>
      </w:r>
      <w:r>
        <w:rPr>
          <w:b/>
          <w:color w:val="00797E"/>
          <w:w w:val="90"/>
        </w:rPr>
        <w:t>the </w:t>
      </w:r>
      <w:r>
        <w:rPr>
          <w:b/>
          <w:color w:val="00797E"/>
          <w:w w:val="85"/>
        </w:rPr>
        <w:t>Australian</w:t>
      </w:r>
      <w:r>
        <w:rPr>
          <w:b/>
          <w:color w:val="00797E"/>
          <w:spacing w:val="-18"/>
          <w:w w:val="85"/>
        </w:rPr>
        <w:t> </w:t>
      </w:r>
      <w:r>
        <w:rPr>
          <w:b/>
          <w:color w:val="00797E"/>
          <w:w w:val="85"/>
        </w:rPr>
        <w:t>Government’s</w:t>
      </w:r>
      <w:r>
        <w:rPr>
          <w:b/>
          <w:color w:val="00797E"/>
          <w:spacing w:val="-18"/>
          <w:w w:val="85"/>
        </w:rPr>
        <w:t> </w:t>
      </w:r>
      <w:r>
        <w:rPr>
          <w:b/>
          <w:color w:val="00797E"/>
          <w:w w:val="85"/>
        </w:rPr>
        <w:t>‘No</w:t>
      </w:r>
      <w:r>
        <w:rPr>
          <w:b/>
          <w:color w:val="00797E"/>
          <w:spacing w:val="-18"/>
          <w:w w:val="85"/>
        </w:rPr>
        <w:t> </w:t>
      </w:r>
      <w:r>
        <w:rPr>
          <w:b/>
          <w:color w:val="00797E"/>
          <w:w w:val="85"/>
        </w:rPr>
        <w:t>Jab,</w:t>
      </w:r>
      <w:r>
        <w:rPr>
          <w:b/>
          <w:color w:val="00797E"/>
          <w:spacing w:val="-18"/>
          <w:w w:val="85"/>
        </w:rPr>
        <w:t> </w:t>
      </w:r>
      <w:r>
        <w:rPr>
          <w:b/>
          <w:color w:val="00797E"/>
          <w:w w:val="85"/>
        </w:rPr>
        <w:t>No</w:t>
      </w:r>
      <w:r>
        <w:rPr>
          <w:b/>
          <w:color w:val="00797E"/>
          <w:spacing w:val="-18"/>
          <w:w w:val="85"/>
        </w:rPr>
        <w:t> </w:t>
      </w:r>
      <w:r>
        <w:rPr>
          <w:b/>
          <w:color w:val="00797E"/>
          <w:w w:val="85"/>
        </w:rPr>
        <w:t>Pay’</w:t>
      </w:r>
      <w:r>
        <w:rPr>
          <w:b/>
          <w:color w:val="00797E"/>
          <w:spacing w:val="-18"/>
          <w:w w:val="85"/>
        </w:rPr>
        <w:t> </w:t>
      </w:r>
      <w:r>
        <w:rPr>
          <w:b/>
          <w:color w:val="00797E"/>
          <w:w w:val="85"/>
        </w:rPr>
        <w:t>immunisation </w:t>
      </w:r>
      <w:r>
        <w:rPr>
          <w:b/>
          <w:color w:val="00797E"/>
          <w:w w:val="90"/>
        </w:rPr>
        <w:t>requirements</w:t>
      </w:r>
      <w:r>
        <w:rPr>
          <w:b/>
          <w:color w:val="00797E"/>
          <w:spacing w:val="-10"/>
          <w:w w:val="90"/>
        </w:rPr>
        <w:t> </w:t>
      </w:r>
      <w:r>
        <w:rPr>
          <w:b/>
          <w:color w:val="00797E"/>
          <w:w w:val="90"/>
        </w:rPr>
        <w:t>policy?</w:t>
      </w:r>
    </w:p>
    <w:p>
      <w:pPr>
        <w:pStyle w:val="BodyText"/>
        <w:spacing w:line="261" w:lineRule="auto" w:before="89"/>
        <w:ind w:right="304"/>
      </w:pPr>
      <w:r>
        <w:rPr/>
        <w:t>No, the meningococcal B vaccine is not assessed as part of the eligibility requirements for family assistance payments under the Australian Government’s No Jab, No Pay policy.</w:t>
      </w:r>
    </w:p>
    <w:p>
      <w:pPr>
        <w:pStyle w:val="Heading2"/>
        <w:spacing w:line="213" w:lineRule="auto" w:before="48"/>
        <w:ind w:right="225"/>
        <w:rPr>
          <w:b/>
        </w:rPr>
      </w:pPr>
      <w:r>
        <w:rPr>
          <w:b/>
          <w:color w:val="00797E"/>
          <w:w w:val="85"/>
        </w:rPr>
        <w:t>Is</w:t>
      </w:r>
      <w:r>
        <w:rPr>
          <w:b/>
          <w:color w:val="00797E"/>
          <w:spacing w:val="-30"/>
          <w:w w:val="85"/>
        </w:rPr>
        <w:t> </w:t>
      </w:r>
      <w:r>
        <w:rPr>
          <w:b/>
          <w:color w:val="00797E"/>
          <w:w w:val="85"/>
        </w:rPr>
        <w:t>it</w:t>
      </w:r>
      <w:r>
        <w:rPr>
          <w:b/>
          <w:color w:val="00797E"/>
          <w:spacing w:val="-30"/>
          <w:w w:val="85"/>
        </w:rPr>
        <w:t> </w:t>
      </w:r>
      <w:r>
        <w:rPr>
          <w:b/>
          <w:color w:val="00797E"/>
          <w:w w:val="85"/>
        </w:rPr>
        <w:t>safe</w:t>
      </w:r>
      <w:r>
        <w:rPr>
          <w:b/>
          <w:color w:val="00797E"/>
          <w:spacing w:val="-30"/>
          <w:w w:val="85"/>
        </w:rPr>
        <w:t> </w:t>
      </w:r>
      <w:r>
        <w:rPr>
          <w:b/>
          <w:color w:val="00797E"/>
          <w:w w:val="85"/>
        </w:rPr>
        <w:t>to</w:t>
      </w:r>
      <w:r>
        <w:rPr>
          <w:b/>
          <w:color w:val="00797E"/>
          <w:spacing w:val="-30"/>
          <w:w w:val="85"/>
        </w:rPr>
        <w:t> </w:t>
      </w:r>
      <w:r>
        <w:rPr>
          <w:b/>
          <w:color w:val="00797E"/>
          <w:w w:val="85"/>
        </w:rPr>
        <w:t>administer</w:t>
      </w:r>
      <w:r>
        <w:rPr>
          <w:b/>
          <w:color w:val="00797E"/>
          <w:spacing w:val="-30"/>
          <w:w w:val="85"/>
        </w:rPr>
        <w:t> </w:t>
      </w:r>
      <w:r>
        <w:rPr>
          <w:b/>
          <w:color w:val="00797E"/>
          <w:w w:val="85"/>
        </w:rPr>
        <w:t>meningococcal</w:t>
      </w:r>
      <w:r>
        <w:rPr>
          <w:b/>
          <w:color w:val="00797E"/>
          <w:spacing w:val="-30"/>
          <w:w w:val="85"/>
        </w:rPr>
        <w:t> </w:t>
      </w:r>
      <w:r>
        <w:rPr>
          <w:b/>
          <w:color w:val="00797E"/>
          <w:w w:val="85"/>
        </w:rPr>
        <w:t>B</w:t>
      </w:r>
      <w:r>
        <w:rPr>
          <w:b/>
          <w:color w:val="00797E"/>
          <w:spacing w:val="-30"/>
          <w:w w:val="85"/>
        </w:rPr>
        <w:t> </w:t>
      </w:r>
      <w:r>
        <w:rPr>
          <w:b/>
          <w:color w:val="00797E"/>
          <w:w w:val="85"/>
        </w:rPr>
        <w:t>vaccine</w:t>
      </w:r>
      <w:r>
        <w:rPr>
          <w:b/>
          <w:color w:val="00797E"/>
          <w:spacing w:val="-30"/>
          <w:w w:val="85"/>
        </w:rPr>
        <w:t> </w:t>
      </w:r>
      <w:r>
        <w:rPr>
          <w:b/>
          <w:color w:val="00797E"/>
          <w:w w:val="85"/>
        </w:rPr>
        <w:t>(Bexsero®)</w:t>
      </w:r>
      <w:r>
        <w:rPr>
          <w:b/>
          <w:color w:val="00797E"/>
          <w:spacing w:val="-30"/>
          <w:w w:val="85"/>
        </w:rPr>
        <w:t> </w:t>
      </w:r>
      <w:r>
        <w:rPr>
          <w:b/>
          <w:color w:val="00797E"/>
          <w:w w:val="85"/>
        </w:rPr>
        <w:t>with </w:t>
      </w:r>
      <w:r>
        <w:rPr>
          <w:b/>
          <w:color w:val="00797E"/>
          <w:w w:val="90"/>
        </w:rPr>
        <w:t>other NIP</w:t>
      </w:r>
      <w:r>
        <w:rPr>
          <w:b/>
          <w:color w:val="00797E"/>
          <w:spacing w:val="-19"/>
          <w:w w:val="90"/>
        </w:rPr>
        <w:t> </w:t>
      </w:r>
      <w:r>
        <w:rPr>
          <w:b/>
          <w:color w:val="00797E"/>
          <w:w w:val="90"/>
        </w:rPr>
        <w:t>vaccines?</w:t>
      </w:r>
    </w:p>
    <w:p>
      <w:pPr>
        <w:pStyle w:val="BodyText"/>
        <w:spacing w:line="261" w:lineRule="auto" w:before="90"/>
        <w:ind w:right="62"/>
      </w:pPr>
      <w:r>
        <w:rPr/>
        <w:t>The</w:t>
      </w:r>
      <w:r>
        <w:rPr>
          <w:spacing w:val="-19"/>
        </w:rPr>
        <w:t> </w:t>
      </w:r>
      <w:r>
        <w:rPr/>
        <w:t>meningococcal</w:t>
      </w:r>
      <w:r>
        <w:rPr>
          <w:spacing w:val="-19"/>
        </w:rPr>
        <w:t> </w:t>
      </w:r>
      <w:r>
        <w:rPr/>
        <w:t>B</w:t>
      </w:r>
      <w:r>
        <w:rPr>
          <w:spacing w:val="-19"/>
        </w:rPr>
        <w:t> </w:t>
      </w:r>
      <w:r>
        <w:rPr/>
        <w:t>vaccine</w:t>
      </w:r>
      <w:r>
        <w:rPr>
          <w:spacing w:val="-19"/>
        </w:rPr>
        <w:t> </w:t>
      </w:r>
      <w:r>
        <w:rPr/>
        <w:t>(Bexsero®)</w:t>
      </w:r>
      <w:r>
        <w:rPr>
          <w:spacing w:val="-19"/>
        </w:rPr>
        <w:t> </w:t>
      </w:r>
      <w:r>
        <w:rPr/>
        <w:t>can</w:t>
      </w:r>
      <w:r>
        <w:rPr>
          <w:spacing w:val="-19"/>
        </w:rPr>
        <w:t> </w:t>
      </w:r>
      <w:r>
        <w:rPr/>
        <w:t>be</w:t>
      </w:r>
      <w:r>
        <w:rPr>
          <w:spacing w:val="-19"/>
        </w:rPr>
        <w:t> </w:t>
      </w:r>
      <w:r>
        <w:rPr/>
        <w:t>safely</w:t>
      </w:r>
      <w:r>
        <w:rPr>
          <w:spacing w:val="-19"/>
        </w:rPr>
        <w:t> </w:t>
      </w:r>
      <w:r>
        <w:rPr/>
        <w:t>administered with other NIP</w:t>
      </w:r>
      <w:r>
        <w:rPr>
          <w:spacing w:val="-14"/>
        </w:rPr>
        <w:t> </w:t>
      </w:r>
      <w:r>
        <w:rPr/>
        <w:t>vaccines.</w:t>
      </w:r>
    </w:p>
    <w:p>
      <w:pPr>
        <w:pStyle w:val="Heading2"/>
        <w:spacing w:line="213" w:lineRule="auto" w:before="49"/>
        <w:ind w:right="510"/>
        <w:rPr>
          <w:b/>
        </w:rPr>
      </w:pPr>
      <w:r>
        <w:rPr>
          <w:b/>
          <w:color w:val="00797E"/>
          <w:w w:val="90"/>
        </w:rPr>
        <w:t>What</w:t>
      </w:r>
      <w:r>
        <w:rPr>
          <w:b/>
          <w:color w:val="00797E"/>
          <w:spacing w:val="-32"/>
          <w:w w:val="90"/>
        </w:rPr>
        <w:t> </w:t>
      </w:r>
      <w:r>
        <w:rPr>
          <w:b/>
          <w:color w:val="00797E"/>
          <w:w w:val="90"/>
        </w:rPr>
        <w:t>should</w:t>
      </w:r>
      <w:r>
        <w:rPr>
          <w:b/>
          <w:color w:val="00797E"/>
          <w:spacing w:val="-32"/>
          <w:w w:val="90"/>
        </w:rPr>
        <w:t> </w:t>
      </w:r>
      <w:r>
        <w:rPr>
          <w:b/>
          <w:color w:val="00797E"/>
          <w:w w:val="90"/>
        </w:rPr>
        <w:t>I</w:t>
      </w:r>
      <w:r>
        <w:rPr>
          <w:b/>
          <w:color w:val="00797E"/>
          <w:spacing w:val="-32"/>
          <w:w w:val="90"/>
        </w:rPr>
        <w:t> </w:t>
      </w:r>
      <w:r>
        <w:rPr>
          <w:b/>
          <w:color w:val="00797E"/>
          <w:w w:val="90"/>
        </w:rPr>
        <w:t>do</w:t>
      </w:r>
      <w:r>
        <w:rPr>
          <w:b/>
          <w:color w:val="00797E"/>
          <w:spacing w:val="-32"/>
          <w:w w:val="90"/>
        </w:rPr>
        <w:t> </w:t>
      </w:r>
      <w:r>
        <w:rPr>
          <w:b/>
          <w:color w:val="00797E"/>
          <w:w w:val="90"/>
        </w:rPr>
        <w:t>if</w:t>
      </w:r>
      <w:r>
        <w:rPr>
          <w:b/>
          <w:color w:val="00797E"/>
          <w:spacing w:val="-32"/>
          <w:w w:val="90"/>
        </w:rPr>
        <w:t> </w:t>
      </w:r>
      <w:r>
        <w:rPr>
          <w:b/>
          <w:color w:val="00797E"/>
          <w:w w:val="90"/>
        </w:rPr>
        <w:t>a</w:t>
      </w:r>
      <w:r>
        <w:rPr>
          <w:b/>
          <w:color w:val="00797E"/>
          <w:spacing w:val="-32"/>
          <w:w w:val="90"/>
        </w:rPr>
        <w:t> </w:t>
      </w:r>
      <w:r>
        <w:rPr>
          <w:b/>
          <w:color w:val="00797E"/>
          <w:w w:val="90"/>
        </w:rPr>
        <w:t>parent</w:t>
      </w:r>
      <w:r>
        <w:rPr>
          <w:b/>
          <w:color w:val="00797E"/>
          <w:spacing w:val="-32"/>
          <w:w w:val="90"/>
        </w:rPr>
        <w:t> </w:t>
      </w:r>
      <w:r>
        <w:rPr>
          <w:b/>
          <w:color w:val="00797E"/>
          <w:w w:val="90"/>
        </w:rPr>
        <w:t>is</w:t>
      </w:r>
      <w:r>
        <w:rPr>
          <w:b/>
          <w:color w:val="00797E"/>
          <w:spacing w:val="-32"/>
          <w:w w:val="90"/>
        </w:rPr>
        <w:t> </w:t>
      </w:r>
      <w:r>
        <w:rPr>
          <w:b/>
          <w:color w:val="00797E"/>
          <w:w w:val="90"/>
        </w:rPr>
        <w:t>concerned</w:t>
      </w:r>
      <w:r>
        <w:rPr>
          <w:b/>
          <w:color w:val="00797E"/>
          <w:spacing w:val="-32"/>
          <w:w w:val="90"/>
        </w:rPr>
        <w:t> </w:t>
      </w:r>
      <w:r>
        <w:rPr>
          <w:b/>
          <w:color w:val="00797E"/>
          <w:w w:val="90"/>
        </w:rPr>
        <w:t>about</w:t>
      </w:r>
      <w:r>
        <w:rPr>
          <w:b/>
          <w:color w:val="00797E"/>
          <w:spacing w:val="-32"/>
          <w:w w:val="90"/>
        </w:rPr>
        <w:t> </w:t>
      </w:r>
      <w:r>
        <w:rPr>
          <w:b/>
          <w:color w:val="00797E"/>
          <w:w w:val="90"/>
        </w:rPr>
        <w:t>the</w:t>
      </w:r>
      <w:r>
        <w:rPr>
          <w:b/>
          <w:color w:val="00797E"/>
          <w:spacing w:val="-32"/>
          <w:w w:val="90"/>
        </w:rPr>
        <w:t> </w:t>
      </w:r>
      <w:r>
        <w:rPr>
          <w:b/>
          <w:color w:val="00797E"/>
          <w:w w:val="90"/>
        </w:rPr>
        <w:t>number </w:t>
      </w:r>
      <w:r>
        <w:rPr>
          <w:b/>
          <w:color w:val="00797E"/>
          <w:w w:val="85"/>
        </w:rPr>
        <w:t>of</w:t>
      </w:r>
      <w:r>
        <w:rPr>
          <w:b/>
          <w:color w:val="00797E"/>
          <w:spacing w:val="-21"/>
          <w:w w:val="85"/>
        </w:rPr>
        <w:t> </w:t>
      </w:r>
      <w:r>
        <w:rPr>
          <w:b/>
          <w:color w:val="00797E"/>
          <w:w w:val="85"/>
        </w:rPr>
        <w:t>vaccines</w:t>
      </w:r>
      <w:r>
        <w:rPr>
          <w:b/>
          <w:color w:val="00797E"/>
          <w:spacing w:val="-21"/>
          <w:w w:val="85"/>
        </w:rPr>
        <w:t> </w:t>
      </w:r>
      <w:r>
        <w:rPr>
          <w:b/>
          <w:color w:val="00797E"/>
          <w:w w:val="85"/>
        </w:rPr>
        <w:t>being</w:t>
      </w:r>
      <w:r>
        <w:rPr>
          <w:b/>
          <w:color w:val="00797E"/>
          <w:spacing w:val="-21"/>
          <w:w w:val="85"/>
        </w:rPr>
        <w:t> </w:t>
      </w:r>
      <w:r>
        <w:rPr>
          <w:b/>
          <w:color w:val="00797E"/>
          <w:w w:val="85"/>
        </w:rPr>
        <w:t>administered</w:t>
      </w:r>
      <w:r>
        <w:rPr>
          <w:b/>
          <w:color w:val="00797E"/>
          <w:spacing w:val="-21"/>
          <w:w w:val="85"/>
        </w:rPr>
        <w:t> </w:t>
      </w:r>
      <w:r>
        <w:rPr>
          <w:b/>
          <w:color w:val="00797E"/>
          <w:w w:val="85"/>
        </w:rPr>
        <w:t>to</w:t>
      </w:r>
      <w:r>
        <w:rPr>
          <w:b/>
          <w:color w:val="00797E"/>
          <w:spacing w:val="-21"/>
          <w:w w:val="85"/>
        </w:rPr>
        <w:t> </w:t>
      </w:r>
      <w:r>
        <w:rPr>
          <w:b/>
          <w:color w:val="00797E"/>
          <w:w w:val="85"/>
        </w:rPr>
        <w:t>their</w:t>
      </w:r>
      <w:r>
        <w:rPr>
          <w:b/>
          <w:color w:val="00797E"/>
          <w:spacing w:val="-21"/>
          <w:w w:val="85"/>
        </w:rPr>
        <w:t> </w:t>
      </w:r>
      <w:r>
        <w:rPr>
          <w:b/>
          <w:color w:val="00797E"/>
          <w:w w:val="85"/>
        </w:rPr>
        <w:t>child</w:t>
      </w:r>
      <w:r>
        <w:rPr>
          <w:b/>
          <w:color w:val="00797E"/>
          <w:spacing w:val="-21"/>
          <w:w w:val="85"/>
        </w:rPr>
        <w:t> </w:t>
      </w:r>
      <w:r>
        <w:rPr>
          <w:b/>
          <w:color w:val="00797E"/>
          <w:w w:val="85"/>
        </w:rPr>
        <w:t>in</w:t>
      </w:r>
      <w:r>
        <w:rPr>
          <w:b/>
          <w:color w:val="00797E"/>
          <w:spacing w:val="-21"/>
          <w:w w:val="85"/>
        </w:rPr>
        <w:t> </w:t>
      </w:r>
      <w:r>
        <w:rPr>
          <w:b/>
          <w:color w:val="00797E"/>
          <w:w w:val="85"/>
        </w:rPr>
        <w:t>one</w:t>
      </w:r>
      <w:r>
        <w:rPr>
          <w:b/>
          <w:color w:val="00797E"/>
          <w:spacing w:val="-21"/>
          <w:w w:val="85"/>
        </w:rPr>
        <w:t> </w:t>
      </w:r>
      <w:r>
        <w:rPr>
          <w:b/>
          <w:color w:val="00797E"/>
          <w:w w:val="85"/>
        </w:rPr>
        <w:t>session?</w:t>
      </w:r>
    </w:p>
    <w:p>
      <w:pPr>
        <w:pStyle w:val="BodyText"/>
        <w:spacing w:line="261" w:lineRule="auto" w:before="90"/>
        <w:ind w:right="143"/>
      </w:pPr>
      <w:r>
        <w:rPr/>
        <w:t>It is understandable that some parents may become concerned about the number of vaccines being administered in one session. In recognition of this and to facilitate implementation of the meningococcal B vaccination program for Aboriginal and Torres Strait Islander children, the hepatitis A vaccination schedule points will change from 1 July 2020.</w:t>
      </w:r>
    </w:p>
    <w:p>
      <w:pPr>
        <w:pStyle w:val="BodyText"/>
        <w:spacing w:line="261" w:lineRule="auto" w:before="54"/>
        <w:ind w:right="215"/>
      </w:pPr>
      <w:r>
        <w:rPr/>
        <w:t>Parents should be reassured that the aim of immunisation is to provide protection against harmful diseases at the very earliest opportunity. Studies have demonstrated that there are no harmful effects from administering multiple vaccines in one session and there is no evidence to support arguments that vaccines may ‘overwhelm’ the child’s immune system.</w:t>
      </w:r>
    </w:p>
    <w:p>
      <w:pPr>
        <w:pStyle w:val="BodyText"/>
        <w:spacing w:line="261" w:lineRule="auto" w:before="53"/>
        <w:ind w:right="37"/>
      </w:pPr>
      <w:r>
        <w:rPr/>
        <w:t>Vaccines</w:t>
      </w:r>
      <w:r>
        <w:rPr>
          <w:spacing w:val="-8"/>
        </w:rPr>
        <w:t> </w:t>
      </w:r>
      <w:r>
        <w:rPr/>
        <w:t>only</w:t>
      </w:r>
      <w:r>
        <w:rPr>
          <w:spacing w:val="-8"/>
        </w:rPr>
        <w:t> </w:t>
      </w:r>
      <w:r>
        <w:rPr/>
        <w:t>contain</w:t>
      </w:r>
      <w:r>
        <w:rPr>
          <w:spacing w:val="-8"/>
        </w:rPr>
        <w:t> </w:t>
      </w:r>
      <w:r>
        <w:rPr/>
        <w:t>a</w:t>
      </w:r>
      <w:r>
        <w:rPr>
          <w:spacing w:val="-8"/>
        </w:rPr>
        <w:t> </w:t>
      </w:r>
      <w:r>
        <w:rPr/>
        <w:t>small</w:t>
      </w:r>
      <w:r>
        <w:rPr>
          <w:spacing w:val="-8"/>
        </w:rPr>
        <w:t> </w:t>
      </w:r>
      <w:r>
        <w:rPr/>
        <w:t>number</w:t>
      </w:r>
      <w:r>
        <w:rPr>
          <w:spacing w:val="-8"/>
        </w:rPr>
        <w:t> </w:t>
      </w:r>
      <w:r>
        <w:rPr/>
        <w:t>of</w:t>
      </w:r>
      <w:r>
        <w:rPr>
          <w:spacing w:val="-8"/>
        </w:rPr>
        <w:t> </w:t>
      </w:r>
      <w:r>
        <w:rPr/>
        <w:t>antigens</w:t>
      </w:r>
      <w:r>
        <w:rPr>
          <w:spacing w:val="-8"/>
        </w:rPr>
        <w:t> </w:t>
      </w:r>
      <w:r>
        <w:rPr/>
        <w:t>compared</w:t>
      </w:r>
      <w:r>
        <w:rPr>
          <w:spacing w:val="-8"/>
        </w:rPr>
        <w:t> </w:t>
      </w:r>
      <w:r>
        <w:rPr/>
        <w:t>with</w:t>
      </w:r>
      <w:r>
        <w:rPr>
          <w:spacing w:val="-8"/>
        </w:rPr>
        <w:t> </w:t>
      </w:r>
      <w:r>
        <w:rPr/>
        <w:t>the large</w:t>
      </w:r>
      <w:r>
        <w:rPr>
          <w:spacing w:val="-5"/>
        </w:rPr>
        <w:t> </w:t>
      </w:r>
      <w:r>
        <w:rPr/>
        <w:t>number</w:t>
      </w:r>
      <w:r>
        <w:rPr>
          <w:spacing w:val="-5"/>
        </w:rPr>
        <w:t> </w:t>
      </w:r>
      <w:r>
        <w:rPr/>
        <w:t>that</w:t>
      </w:r>
      <w:r>
        <w:rPr>
          <w:spacing w:val="-5"/>
        </w:rPr>
        <w:t> </w:t>
      </w:r>
      <w:r>
        <w:rPr/>
        <w:t>children</w:t>
      </w:r>
      <w:r>
        <w:rPr>
          <w:spacing w:val="-5"/>
        </w:rPr>
        <w:t> </w:t>
      </w:r>
      <w:r>
        <w:rPr/>
        <w:t>encounter</w:t>
      </w:r>
      <w:r>
        <w:rPr>
          <w:spacing w:val="-5"/>
        </w:rPr>
        <w:t> </w:t>
      </w:r>
      <w:r>
        <w:rPr/>
        <w:t>every</w:t>
      </w:r>
      <w:r>
        <w:rPr>
          <w:spacing w:val="-5"/>
        </w:rPr>
        <w:t> </w:t>
      </w:r>
      <w:r>
        <w:rPr/>
        <w:t>day</w:t>
      </w:r>
      <w:r>
        <w:rPr>
          <w:spacing w:val="-5"/>
        </w:rPr>
        <w:t> </w:t>
      </w:r>
      <w:r>
        <w:rPr/>
        <w:t>in</w:t>
      </w:r>
      <w:r>
        <w:rPr>
          <w:spacing w:val="-5"/>
        </w:rPr>
        <w:t> </w:t>
      </w:r>
      <w:r>
        <w:rPr/>
        <w:t>their</w:t>
      </w:r>
      <w:r>
        <w:rPr>
          <w:spacing w:val="-5"/>
        </w:rPr>
        <w:t> </w:t>
      </w:r>
      <w:r>
        <w:rPr/>
        <w:t>environment.</w:t>
      </w:r>
    </w:p>
    <w:p>
      <w:pPr>
        <w:pStyle w:val="BodyText"/>
        <w:spacing w:line="261" w:lineRule="auto" w:before="56"/>
        <w:ind w:right="219"/>
      </w:pPr>
      <w:r>
        <w:rPr/>
        <w:t>Parents should be discouraged from delaying immunisation as this inevitably delays protection. The immunisation schedule has been designed to ensure optimal protection against diseases that are most common in the very young such as whooping cough,</w:t>
      </w:r>
    </w:p>
    <w:p>
      <w:pPr>
        <w:pStyle w:val="BodyText"/>
        <w:spacing w:line="261" w:lineRule="auto"/>
        <w:ind w:right="177"/>
        <w:jc w:val="both"/>
      </w:pPr>
      <w:r>
        <w:rPr/>
        <w:t>pneumococcal,</w:t>
      </w:r>
      <w:r>
        <w:rPr>
          <w:spacing w:val="-11"/>
        </w:rPr>
        <w:t> </w:t>
      </w:r>
      <w:r>
        <w:rPr/>
        <w:t>Hib</w:t>
      </w:r>
      <w:r>
        <w:rPr>
          <w:spacing w:val="-11"/>
        </w:rPr>
        <w:t> </w:t>
      </w:r>
      <w:r>
        <w:rPr/>
        <w:t>and</w:t>
      </w:r>
      <w:r>
        <w:rPr>
          <w:spacing w:val="-11"/>
        </w:rPr>
        <w:t> </w:t>
      </w:r>
      <w:r>
        <w:rPr/>
        <w:t>meningococcal</w:t>
      </w:r>
      <w:r>
        <w:rPr>
          <w:spacing w:val="-11"/>
        </w:rPr>
        <w:t> </w:t>
      </w:r>
      <w:r>
        <w:rPr/>
        <w:t>disease.</w:t>
      </w:r>
      <w:r>
        <w:rPr>
          <w:spacing w:val="-11"/>
        </w:rPr>
        <w:t> </w:t>
      </w:r>
      <w:r>
        <w:rPr/>
        <w:t>If</w:t>
      </w:r>
      <w:r>
        <w:rPr>
          <w:spacing w:val="-11"/>
        </w:rPr>
        <w:t> </w:t>
      </w:r>
      <w:r>
        <w:rPr/>
        <w:t>a</w:t>
      </w:r>
      <w:r>
        <w:rPr>
          <w:spacing w:val="-11"/>
        </w:rPr>
        <w:t> </w:t>
      </w:r>
      <w:r>
        <w:rPr/>
        <w:t>parent</w:t>
      </w:r>
      <w:r>
        <w:rPr>
          <w:spacing w:val="-11"/>
        </w:rPr>
        <w:t> </w:t>
      </w:r>
      <w:r>
        <w:rPr/>
        <w:t>insists, a</w:t>
      </w:r>
      <w:r>
        <w:rPr>
          <w:spacing w:val="-10"/>
        </w:rPr>
        <w:t> </w:t>
      </w:r>
      <w:r>
        <w:rPr/>
        <w:t>minimum</w:t>
      </w:r>
      <w:r>
        <w:rPr>
          <w:spacing w:val="-10"/>
        </w:rPr>
        <w:t> </w:t>
      </w:r>
      <w:r>
        <w:rPr/>
        <w:t>3</w:t>
      </w:r>
      <w:r>
        <w:rPr>
          <w:spacing w:val="-10"/>
        </w:rPr>
        <w:t> </w:t>
      </w:r>
      <w:r>
        <w:rPr/>
        <w:t>day</w:t>
      </w:r>
      <w:r>
        <w:rPr>
          <w:spacing w:val="-10"/>
        </w:rPr>
        <w:t> </w:t>
      </w:r>
      <w:r>
        <w:rPr/>
        <w:t>interval</w:t>
      </w:r>
      <w:r>
        <w:rPr>
          <w:spacing w:val="-10"/>
        </w:rPr>
        <w:t> </w:t>
      </w:r>
      <w:r>
        <w:rPr/>
        <w:t>is</w:t>
      </w:r>
      <w:r>
        <w:rPr>
          <w:spacing w:val="-10"/>
        </w:rPr>
        <w:t> </w:t>
      </w:r>
      <w:r>
        <w:rPr/>
        <w:t>recommended.</w:t>
      </w:r>
      <w:r>
        <w:rPr>
          <w:spacing w:val="-10"/>
        </w:rPr>
        <w:t> </w:t>
      </w:r>
      <w:r>
        <w:rPr/>
        <w:t>These</w:t>
      </w:r>
      <w:r>
        <w:rPr>
          <w:spacing w:val="-10"/>
        </w:rPr>
        <w:t> </w:t>
      </w:r>
      <w:r>
        <w:rPr/>
        <w:t>diseases</w:t>
      </w:r>
      <w:r>
        <w:rPr>
          <w:spacing w:val="-10"/>
        </w:rPr>
        <w:t> </w:t>
      </w:r>
      <w:r>
        <w:rPr/>
        <w:t>can</w:t>
      </w:r>
      <w:r>
        <w:rPr>
          <w:spacing w:val="-10"/>
        </w:rPr>
        <w:t> </w:t>
      </w:r>
      <w:r>
        <w:rPr/>
        <w:t>be life-threatening and it is important for children to receive</w:t>
      </w:r>
      <w:r>
        <w:rPr>
          <w:spacing w:val="-16"/>
        </w:rPr>
        <w:t> </w:t>
      </w:r>
      <w:r>
        <w:rPr/>
        <w:t>protection at the earliest possible</w:t>
      </w:r>
      <w:r>
        <w:rPr>
          <w:spacing w:val="-17"/>
        </w:rPr>
        <w:t> </w:t>
      </w:r>
      <w:r>
        <w:rPr/>
        <w:t>opportunity.</w:t>
      </w:r>
    </w:p>
    <w:p>
      <w:pPr>
        <w:pStyle w:val="Heading2"/>
        <w:spacing w:line="213" w:lineRule="auto" w:before="45"/>
        <w:ind w:right="793"/>
        <w:rPr>
          <w:b/>
        </w:rPr>
      </w:pPr>
      <w:r>
        <w:rPr>
          <w:b/>
          <w:color w:val="00797E"/>
          <w:w w:val="85"/>
        </w:rPr>
        <w:t>What</w:t>
      </w:r>
      <w:r>
        <w:rPr>
          <w:b/>
          <w:color w:val="00797E"/>
          <w:spacing w:val="-21"/>
          <w:w w:val="85"/>
        </w:rPr>
        <w:t> </w:t>
      </w:r>
      <w:r>
        <w:rPr>
          <w:b/>
          <w:color w:val="00797E"/>
          <w:w w:val="85"/>
        </w:rPr>
        <w:t>are</w:t>
      </w:r>
      <w:r>
        <w:rPr>
          <w:b/>
          <w:color w:val="00797E"/>
          <w:spacing w:val="-21"/>
          <w:w w:val="85"/>
        </w:rPr>
        <w:t> </w:t>
      </w:r>
      <w:r>
        <w:rPr>
          <w:b/>
          <w:color w:val="00797E"/>
          <w:w w:val="85"/>
        </w:rPr>
        <w:t>the</w:t>
      </w:r>
      <w:r>
        <w:rPr>
          <w:b/>
          <w:color w:val="00797E"/>
          <w:spacing w:val="-21"/>
          <w:w w:val="85"/>
        </w:rPr>
        <w:t> </w:t>
      </w:r>
      <w:r>
        <w:rPr>
          <w:b/>
          <w:color w:val="00797E"/>
          <w:w w:val="85"/>
        </w:rPr>
        <w:t>common</w:t>
      </w:r>
      <w:r>
        <w:rPr>
          <w:b/>
          <w:color w:val="00797E"/>
          <w:spacing w:val="-21"/>
          <w:w w:val="85"/>
        </w:rPr>
        <w:t> </w:t>
      </w:r>
      <w:r>
        <w:rPr>
          <w:b/>
          <w:color w:val="00797E"/>
          <w:w w:val="85"/>
        </w:rPr>
        <w:t>side</w:t>
      </w:r>
      <w:r>
        <w:rPr>
          <w:b/>
          <w:color w:val="00797E"/>
          <w:spacing w:val="-21"/>
          <w:w w:val="85"/>
        </w:rPr>
        <w:t> </w:t>
      </w:r>
      <w:r>
        <w:rPr>
          <w:b/>
          <w:color w:val="00797E"/>
          <w:w w:val="85"/>
        </w:rPr>
        <w:t>effects</w:t>
      </w:r>
      <w:r>
        <w:rPr>
          <w:b/>
          <w:color w:val="00797E"/>
          <w:spacing w:val="-21"/>
          <w:w w:val="85"/>
        </w:rPr>
        <w:t> </w:t>
      </w:r>
      <w:r>
        <w:rPr>
          <w:b/>
          <w:color w:val="00797E"/>
          <w:w w:val="85"/>
        </w:rPr>
        <w:t>following</w:t>
      </w:r>
      <w:r>
        <w:rPr>
          <w:b/>
          <w:color w:val="00797E"/>
          <w:spacing w:val="-21"/>
          <w:w w:val="85"/>
        </w:rPr>
        <w:t> </w:t>
      </w:r>
      <w:r>
        <w:rPr>
          <w:b/>
          <w:color w:val="00797E"/>
          <w:w w:val="85"/>
        </w:rPr>
        <w:t>vaccination </w:t>
      </w:r>
      <w:r>
        <w:rPr>
          <w:b/>
          <w:color w:val="00797E"/>
          <w:w w:val="90"/>
        </w:rPr>
        <w:t>with</w:t>
      </w:r>
      <w:r>
        <w:rPr>
          <w:b/>
          <w:color w:val="00797E"/>
          <w:spacing w:val="-13"/>
          <w:w w:val="90"/>
        </w:rPr>
        <w:t> </w:t>
      </w:r>
      <w:r>
        <w:rPr>
          <w:b/>
          <w:color w:val="00797E"/>
          <w:w w:val="90"/>
        </w:rPr>
        <w:t>meningococcal</w:t>
      </w:r>
      <w:r>
        <w:rPr>
          <w:b/>
          <w:color w:val="00797E"/>
          <w:spacing w:val="-13"/>
          <w:w w:val="90"/>
        </w:rPr>
        <w:t> </w:t>
      </w:r>
      <w:r>
        <w:rPr>
          <w:b/>
          <w:color w:val="00797E"/>
          <w:w w:val="90"/>
        </w:rPr>
        <w:t>B</w:t>
      </w:r>
      <w:r>
        <w:rPr>
          <w:b/>
          <w:color w:val="00797E"/>
          <w:spacing w:val="-13"/>
          <w:w w:val="90"/>
        </w:rPr>
        <w:t> </w:t>
      </w:r>
      <w:r>
        <w:rPr>
          <w:b/>
          <w:color w:val="00797E"/>
          <w:w w:val="90"/>
        </w:rPr>
        <w:t>vaccine?</w:t>
      </w:r>
    </w:p>
    <w:p>
      <w:pPr>
        <w:pStyle w:val="BodyText"/>
        <w:spacing w:line="261" w:lineRule="auto" w:before="90"/>
        <w:ind w:right="312"/>
      </w:pPr>
      <w:r>
        <w:rPr/>
        <w:t>Bexsero®</w:t>
      </w:r>
      <w:r>
        <w:rPr>
          <w:spacing w:val="-15"/>
        </w:rPr>
        <w:t> </w:t>
      </w:r>
      <w:r>
        <w:rPr/>
        <w:t>is</w:t>
      </w:r>
      <w:r>
        <w:rPr>
          <w:spacing w:val="-15"/>
        </w:rPr>
        <w:t> </w:t>
      </w:r>
      <w:r>
        <w:rPr/>
        <w:t>effective</w:t>
      </w:r>
      <w:r>
        <w:rPr>
          <w:spacing w:val="-15"/>
        </w:rPr>
        <w:t> </w:t>
      </w:r>
      <w:r>
        <w:rPr/>
        <w:t>and</w:t>
      </w:r>
      <w:r>
        <w:rPr>
          <w:spacing w:val="-15"/>
        </w:rPr>
        <w:t> </w:t>
      </w:r>
      <w:r>
        <w:rPr/>
        <w:t>safe,</w:t>
      </w:r>
      <w:r>
        <w:rPr>
          <w:spacing w:val="-15"/>
        </w:rPr>
        <w:t> </w:t>
      </w:r>
      <w:r>
        <w:rPr/>
        <w:t>although</w:t>
      </w:r>
      <w:r>
        <w:rPr>
          <w:spacing w:val="-15"/>
        </w:rPr>
        <w:t> </w:t>
      </w:r>
      <w:r>
        <w:rPr/>
        <w:t>all</w:t>
      </w:r>
      <w:r>
        <w:rPr>
          <w:spacing w:val="-15"/>
        </w:rPr>
        <w:t> </w:t>
      </w:r>
      <w:r>
        <w:rPr/>
        <w:t>medications</w:t>
      </w:r>
      <w:r>
        <w:rPr>
          <w:spacing w:val="-15"/>
        </w:rPr>
        <w:t> </w:t>
      </w:r>
      <w:r>
        <w:rPr/>
        <w:t>can</w:t>
      </w:r>
      <w:r>
        <w:rPr>
          <w:spacing w:val="-15"/>
        </w:rPr>
        <w:t> </w:t>
      </w:r>
      <w:r>
        <w:rPr/>
        <w:t>have unwanted side</w:t>
      </w:r>
      <w:r>
        <w:rPr>
          <w:spacing w:val="-9"/>
        </w:rPr>
        <w:t> </w:t>
      </w:r>
      <w:r>
        <w:rPr/>
        <w:t>effects.</w:t>
      </w:r>
    </w:p>
    <w:p>
      <w:pPr>
        <w:pStyle w:val="BodyText"/>
        <w:spacing w:line="261" w:lineRule="auto" w:before="56"/>
        <w:ind w:right="428"/>
      </w:pPr>
      <w:r>
        <w:rPr/>
        <w:t>Fever (&gt;38.5°C) is a common reaction following any vaccine, but</w:t>
      </w:r>
      <w:r>
        <w:rPr>
          <w:spacing w:val="-10"/>
        </w:rPr>
        <w:t> </w:t>
      </w:r>
      <w:r>
        <w:rPr/>
        <w:t>is</w:t>
      </w:r>
      <w:r>
        <w:rPr>
          <w:spacing w:val="-10"/>
        </w:rPr>
        <w:t> </w:t>
      </w:r>
      <w:r>
        <w:rPr/>
        <w:t>more</w:t>
      </w:r>
      <w:r>
        <w:rPr>
          <w:spacing w:val="-10"/>
        </w:rPr>
        <w:t> </w:t>
      </w:r>
      <w:r>
        <w:rPr/>
        <w:t>common</w:t>
      </w:r>
      <w:r>
        <w:rPr>
          <w:spacing w:val="-10"/>
        </w:rPr>
        <w:t> </w:t>
      </w:r>
      <w:r>
        <w:rPr/>
        <w:t>with</w:t>
      </w:r>
      <w:r>
        <w:rPr>
          <w:spacing w:val="-10"/>
        </w:rPr>
        <w:t> </w:t>
      </w:r>
      <w:r>
        <w:rPr/>
        <w:t>Bexsero®</w:t>
      </w:r>
      <w:r>
        <w:rPr>
          <w:spacing w:val="-10"/>
        </w:rPr>
        <w:t> </w:t>
      </w:r>
      <w:r>
        <w:rPr/>
        <w:t>in</w:t>
      </w:r>
      <w:r>
        <w:rPr>
          <w:spacing w:val="-10"/>
        </w:rPr>
        <w:t> </w:t>
      </w:r>
      <w:r>
        <w:rPr/>
        <w:t>young</w:t>
      </w:r>
      <w:r>
        <w:rPr>
          <w:spacing w:val="-10"/>
        </w:rPr>
        <w:t> </w:t>
      </w:r>
      <w:r>
        <w:rPr/>
        <w:t>children</w:t>
      </w:r>
      <w:r>
        <w:rPr>
          <w:spacing w:val="-10"/>
        </w:rPr>
        <w:t> </w:t>
      </w:r>
      <w:r>
        <w:rPr/>
        <w:t>aged</w:t>
      </w:r>
      <w:r>
        <w:rPr>
          <w:spacing w:val="-10"/>
        </w:rPr>
        <w:t> </w:t>
      </w:r>
      <w:r>
        <w:rPr/>
        <w:t>less</w:t>
      </w:r>
    </w:p>
    <w:p>
      <w:pPr>
        <w:pStyle w:val="BodyText"/>
        <w:spacing w:line="261" w:lineRule="auto"/>
        <w:ind w:right="41"/>
      </w:pPr>
      <w:r>
        <w:rPr/>
        <w:t>than 2 years. Children &lt;2 years of age are recommended to receive prophylactic paracetamol with every dose of Bexsero®.</w:t>
      </w:r>
    </w:p>
    <w:p>
      <w:pPr>
        <w:pStyle w:val="BodyText"/>
        <w:spacing w:line="261" w:lineRule="auto" w:before="54"/>
        <w:ind w:right="739"/>
      </w:pPr>
      <w:r>
        <w:rPr/>
        <w:t>Other</w:t>
      </w:r>
      <w:r>
        <w:rPr>
          <w:spacing w:val="-15"/>
        </w:rPr>
        <w:t> </w:t>
      </w:r>
      <w:r>
        <w:rPr/>
        <w:t>common</w:t>
      </w:r>
      <w:r>
        <w:rPr>
          <w:spacing w:val="-15"/>
        </w:rPr>
        <w:t> </w:t>
      </w:r>
      <w:r>
        <w:rPr/>
        <w:t>adverse</w:t>
      </w:r>
      <w:r>
        <w:rPr>
          <w:spacing w:val="-15"/>
        </w:rPr>
        <w:t> </w:t>
      </w:r>
      <w:r>
        <w:rPr/>
        <w:t>events</w:t>
      </w:r>
      <w:r>
        <w:rPr>
          <w:spacing w:val="-15"/>
        </w:rPr>
        <w:t> </w:t>
      </w:r>
      <w:r>
        <w:rPr/>
        <w:t>following</w:t>
      </w:r>
      <w:r>
        <w:rPr>
          <w:spacing w:val="-15"/>
        </w:rPr>
        <w:t> </w:t>
      </w:r>
      <w:r>
        <w:rPr/>
        <w:t>Bexsero®</w:t>
      </w:r>
      <w:r>
        <w:rPr>
          <w:spacing w:val="-15"/>
        </w:rPr>
        <w:t> </w:t>
      </w:r>
      <w:r>
        <w:rPr/>
        <w:t>vaccine administration</w:t>
      </w:r>
      <w:r>
        <w:rPr>
          <w:spacing w:val="-5"/>
        </w:rPr>
        <w:t> </w:t>
      </w:r>
      <w:r>
        <w:rPr/>
        <w:t>include:</w:t>
      </w:r>
    </w:p>
    <w:p>
      <w:pPr>
        <w:pStyle w:val="ListParagraph"/>
        <w:numPr>
          <w:ilvl w:val="0"/>
          <w:numId w:val="6"/>
        </w:numPr>
        <w:tabs>
          <w:tab w:pos="321" w:val="left" w:leader="none"/>
        </w:tabs>
        <w:spacing w:line="261" w:lineRule="auto" w:before="56" w:after="0"/>
        <w:ind w:left="320" w:right="1706" w:hanging="170"/>
        <w:jc w:val="left"/>
        <w:rPr>
          <w:sz w:val="16"/>
        </w:rPr>
      </w:pPr>
      <w:r>
        <w:rPr>
          <w:sz w:val="16"/>
        </w:rPr>
        <w:t>pain</w:t>
      </w:r>
      <w:r>
        <w:rPr>
          <w:spacing w:val="-22"/>
          <w:sz w:val="16"/>
        </w:rPr>
        <w:t> </w:t>
      </w:r>
      <w:r>
        <w:rPr>
          <w:sz w:val="16"/>
        </w:rPr>
        <w:t>or</w:t>
      </w:r>
      <w:r>
        <w:rPr>
          <w:spacing w:val="-22"/>
          <w:sz w:val="16"/>
        </w:rPr>
        <w:t> </w:t>
      </w:r>
      <w:r>
        <w:rPr>
          <w:sz w:val="16"/>
        </w:rPr>
        <w:t>tenderness,</w:t>
      </w:r>
      <w:r>
        <w:rPr>
          <w:spacing w:val="-22"/>
          <w:sz w:val="16"/>
        </w:rPr>
        <w:t> </w:t>
      </w:r>
      <w:r>
        <w:rPr>
          <w:sz w:val="16"/>
        </w:rPr>
        <w:t>swelling,</w:t>
      </w:r>
      <w:r>
        <w:rPr>
          <w:spacing w:val="-22"/>
          <w:sz w:val="16"/>
        </w:rPr>
        <w:t> </w:t>
      </w:r>
      <w:r>
        <w:rPr>
          <w:sz w:val="16"/>
        </w:rPr>
        <w:t>induration</w:t>
      </w:r>
      <w:r>
        <w:rPr>
          <w:spacing w:val="-22"/>
          <w:sz w:val="16"/>
        </w:rPr>
        <w:t> </w:t>
      </w:r>
      <w:r>
        <w:rPr>
          <w:spacing w:val="-2"/>
          <w:sz w:val="16"/>
        </w:rPr>
        <w:t>and </w:t>
      </w:r>
      <w:r>
        <w:rPr>
          <w:sz w:val="16"/>
        </w:rPr>
        <w:t>erythema</w:t>
      </w:r>
      <w:r>
        <w:rPr>
          <w:spacing w:val="-9"/>
          <w:sz w:val="16"/>
        </w:rPr>
        <w:t> </w:t>
      </w:r>
      <w:r>
        <w:rPr>
          <w:sz w:val="16"/>
        </w:rPr>
        <w:t>at</w:t>
      </w:r>
      <w:r>
        <w:rPr>
          <w:spacing w:val="-9"/>
          <w:sz w:val="16"/>
        </w:rPr>
        <w:t> </w:t>
      </w:r>
      <w:r>
        <w:rPr>
          <w:sz w:val="16"/>
        </w:rPr>
        <w:t>the</w:t>
      </w:r>
      <w:r>
        <w:rPr>
          <w:spacing w:val="-9"/>
          <w:sz w:val="16"/>
        </w:rPr>
        <w:t> </w:t>
      </w:r>
      <w:r>
        <w:rPr>
          <w:sz w:val="16"/>
        </w:rPr>
        <w:t>injection</w:t>
      </w:r>
      <w:r>
        <w:rPr>
          <w:spacing w:val="-9"/>
          <w:sz w:val="16"/>
        </w:rPr>
        <w:t> </w:t>
      </w:r>
      <w:r>
        <w:rPr>
          <w:sz w:val="16"/>
        </w:rPr>
        <w:t>site</w:t>
      </w:r>
    </w:p>
    <w:p>
      <w:pPr>
        <w:pStyle w:val="ListParagraph"/>
        <w:numPr>
          <w:ilvl w:val="0"/>
          <w:numId w:val="6"/>
        </w:numPr>
        <w:tabs>
          <w:tab w:pos="321" w:val="left" w:leader="none"/>
        </w:tabs>
        <w:spacing w:line="240" w:lineRule="auto" w:before="108" w:after="0"/>
        <w:ind w:left="320" w:right="0" w:hanging="170"/>
        <w:jc w:val="left"/>
        <w:rPr>
          <w:sz w:val="16"/>
        </w:rPr>
      </w:pPr>
      <w:r>
        <w:rPr>
          <w:spacing w:val="-2"/>
          <w:w w:val="100"/>
          <w:sz w:val="16"/>
        </w:rPr>
        <w:br w:type="column"/>
      </w:r>
      <w:r>
        <w:rPr>
          <w:spacing w:val="-2"/>
          <w:sz w:val="16"/>
        </w:rPr>
        <w:t>irritability</w:t>
      </w:r>
    </w:p>
    <w:p>
      <w:pPr>
        <w:pStyle w:val="ListParagraph"/>
        <w:numPr>
          <w:ilvl w:val="0"/>
          <w:numId w:val="6"/>
        </w:numPr>
        <w:tabs>
          <w:tab w:pos="321" w:val="left" w:leader="none"/>
        </w:tabs>
        <w:spacing w:line="240" w:lineRule="auto" w:before="101" w:after="0"/>
        <w:ind w:left="320" w:right="0" w:hanging="170"/>
        <w:jc w:val="left"/>
        <w:rPr>
          <w:sz w:val="16"/>
        </w:rPr>
      </w:pPr>
      <w:r>
        <w:rPr>
          <w:sz w:val="16"/>
        </w:rPr>
        <w:t>sleepiness</w:t>
      </w:r>
    </w:p>
    <w:p>
      <w:pPr>
        <w:pStyle w:val="ListParagraph"/>
        <w:numPr>
          <w:ilvl w:val="0"/>
          <w:numId w:val="6"/>
        </w:numPr>
        <w:tabs>
          <w:tab w:pos="321" w:val="left" w:leader="none"/>
        </w:tabs>
        <w:spacing w:line="240" w:lineRule="auto" w:before="101" w:after="0"/>
        <w:ind w:left="320" w:right="0" w:hanging="170"/>
        <w:jc w:val="left"/>
        <w:rPr>
          <w:sz w:val="16"/>
        </w:rPr>
      </w:pPr>
      <w:r>
        <w:rPr>
          <w:sz w:val="16"/>
        </w:rPr>
        <w:t>unusual</w:t>
      </w:r>
      <w:r>
        <w:rPr>
          <w:spacing w:val="-9"/>
          <w:sz w:val="16"/>
        </w:rPr>
        <w:t> </w:t>
      </w:r>
      <w:r>
        <w:rPr>
          <w:sz w:val="16"/>
        </w:rPr>
        <w:t>crying</w:t>
      </w:r>
      <w:r>
        <w:rPr>
          <w:spacing w:val="-9"/>
          <w:sz w:val="16"/>
        </w:rPr>
        <w:t> </w:t>
      </w:r>
      <w:r>
        <w:rPr>
          <w:sz w:val="16"/>
        </w:rPr>
        <w:t>and</w:t>
      </w:r>
      <w:r>
        <w:rPr>
          <w:spacing w:val="-9"/>
          <w:sz w:val="16"/>
        </w:rPr>
        <w:t> </w:t>
      </w:r>
      <w:r>
        <w:rPr>
          <w:sz w:val="16"/>
        </w:rPr>
        <w:t>change</w:t>
      </w:r>
      <w:r>
        <w:rPr>
          <w:spacing w:val="-9"/>
          <w:sz w:val="16"/>
        </w:rPr>
        <w:t> </w:t>
      </w:r>
      <w:r>
        <w:rPr>
          <w:sz w:val="16"/>
        </w:rPr>
        <w:t>in</w:t>
      </w:r>
      <w:r>
        <w:rPr>
          <w:spacing w:val="-9"/>
          <w:sz w:val="16"/>
        </w:rPr>
        <w:t> </w:t>
      </w:r>
      <w:r>
        <w:rPr>
          <w:sz w:val="16"/>
        </w:rPr>
        <w:t>appetite</w:t>
      </w:r>
    </w:p>
    <w:p>
      <w:pPr>
        <w:pStyle w:val="ListParagraph"/>
        <w:numPr>
          <w:ilvl w:val="0"/>
          <w:numId w:val="6"/>
        </w:numPr>
        <w:tabs>
          <w:tab w:pos="321" w:val="left" w:leader="none"/>
        </w:tabs>
        <w:spacing w:line="261" w:lineRule="auto" w:before="102" w:after="0"/>
        <w:ind w:left="320" w:right="1390" w:hanging="170"/>
        <w:jc w:val="left"/>
        <w:rPr>
          <w:sz w:val="16"/>
        </w:rPr>
      </w:pPr>
      <w:r>
        <w:rPr>
          <w:sz w:val="16"/>
        </w:rPr>
        <w:t>headache</w:t>
      </w:r>
      <w:r>
        <w:rPr>
          <w:spacing w:val="-25"/>
          <w:sz w:val="16"/>
        </w:rPr>
        <w:t> </w:t>
      </w:r>
      <w:r>
        <w:rPr>
          <w:sz w:val="16"/>
        </w:rPr>
        <w:t>and</w:t>
      </w:r>
      <w:r>
        <w:rPr>
          <w:spacing w:val="-25"/>
          <w:sz w:val="16"/>
        </w:rPr>
        <w:t> </w:t>
      </w:r>
      <w:r>
        <w:rPr>
          <w:sz w:val="16"/>
        </w:rPr>
        <w:t>malaise</w:t>
      </w:r>
      <w:r>
        <w:rPr>
          <w:spacing w:val="-25"/>
          <w:sz w:val="16"/>
        </w:rPr>
        <w:t> </w:t>
      </w:r>
      <w:r>
        <w:rPr>
          <w:sz w:val="16"/>
        </w:rPr>
        <w:t>(more</w:t>
      </w:r>
      <w:r>
        <w:rPr>
          <w:spacing w:val="-25"/>
          <w:sz w:val="16"/>
        </w:rPr>
        <w:t> </w:t>
      </w:r>
      <w:r>
        <w:rPr>
          <w:sz w:val="16"/>
        </w:rPr>
        <w:t>commonly</w:t>
      </w:r>
      <w:r>
        <w:rPr>
          <w:spacing w:val="-25"/>
          <w:sz w:val="16"/>
        </w:rPr>
        <w:t> </w:t>
      </w:r>
      <w:r>
        <w:rPr>
          <w:sz w:val="16"/>
        </w:rPr>
        <w:t>reported among</w:t>
      </w:r>
      <w:r>
        <w:rPr>
          <w:spacing w:val="-11"/>
          <w:sz w:val="16"/>
        </w:rPr>
        <w:t> </w:t>
      </w:r>
      <w:r>
        <w:rPr>
          <w:sz w:val="16"/>
        </w:rPr>
        <w:t>adolescents</w:t>
      </w:r>
      <w:r>
        <w:rPr>
          <w:spacing w:val="-11"/>
          <w:sz w:val="16"/>
        </w:rPr>
        <w:t> </w:t>
      </w:r>
      <w:r>
        <w:rPr>
          <w:sz w:val="16"/>
        </w:rPr>
        <w:t>and</w:t>
      </w:r>
      <w:r>
        <w:rPr>
          <w:spacing w:val="-11"/>
          <w:sz w:val="16"/>
        </w:rPr>
        <w:t> </w:t>
      </w:r>
      <w:r>
        <w:rPr>
          <w:sz w:val="16"/>
        </w:rPr>
        <w:t>young</w:t>
      </w:r>
      <w:r>
        <w:rPr>
          <w:spacing w:val="-11"/>
          <w:sz w:val="16"/>
        </w:rPr>
        <w:t> </w:t>
      </w:r>
      <w:r>
        <w:rPr>
          <w:sz w:val="16"/>
        </w:rPr>
        <w:t>adults)</w:t>
      </w:r>
    </w:p>
    <w:p>
      <w:pPr>
        <w:pStyle w:val="BodyText"/>
        <w:spacing w:line="261" w:lineRule="auto" w:before="84"/>
        <w:ind w:right="342"/>
      </w:pPr>
      <w:r>
        <w:rPr/>
        <w:t>Notification of all adverse events following immunisation at any age should be made through the usual reporting mechanisms in your state or territory. Parents/carers should also be encouraged to notify their immunisation provider of any adverse event that follows immunisation.</w:t>
      </w:r>
    </w:p>
    <w:p>
      <w:pPr>
        <w:pStyle w:val="BodyText"/>
        <w:spacing w:before="2"/>
        <w:ind w:left="0"/>
        <w:rPr>
          <w:sz w:val="9"/>
        </w:rPr>
      </w:pPr>
    </w:p>
    <w:p>
      <w:pPr>
        <w:pStyle w:val="BodyText"/>
        <w:rPr>
          <w:sz w:val="20"/>
        </w:rPr>
      </w:pPr>
      <w:r>
        <w:rPr>
          <w:sz w:val="20"/>
        </w:rPr>
        <w:pict>
          <v:shape style="width:240.95pt;height:154.9pt;mso-position-horizontal-relative:char;mso-position-vertical-relative:line" type="#_x0000_t202" filled="true" fillcolor="#e7f6f5" stroked="false">
            <w10:anchorlock/>
            <v:textbox inset="0,0,0,0">
              <w:txbxContent>
                <w:p>
                  <w:pPr>
                    <w:spacing w:before="177"/>
                    <w:ind w:left="226" w:right="0" w:firstLine="0"/>
                    <w:jc w:val="left"/>
                    <w:rPr>
                      <w:rFonts w:ascii="Arial Black"/>
                      <w:b/>
                      <w:sz w:val="16"/>
                    </w:rPr>
                  </w:pPr>
                  <w:r>
                    <w:rPr>
                      <w:rFonts w:ascii="Arial Black"/>
                      <w:b/>
                      <w:color w:val="00797E"/>
                      <w:sz w:val="16"/>
                    </w:rPr>
                    <w:t>Important note on prophylactic paracetamol</w:t>
                  </w:r>
                </w:p>
                <w:p>
                  <w:pPr>
                    <w:pStyle w:val="BodyText"/>
                    <w:spacing w:line="179" w:lineRule="exact" w:before="114"/>
                    <w:ind w:left="226"/>
                  </w:pPr>
                  <w:r>
                    <w:rPr/>
                    <w:t>Children &lt;2 years of age are recommended to receive</w:t>
                  </w:r>
                </w:p>
                <w:p>
                  <w:pPr>
                    <w:spacing w:line="221" w:lineRule="exact" w:before="0"/>
                    <w:ind w:left="226" w:right="0" w:firstLine="0"/>
                    <w:jc w:val="left"/>
                    <w:rPr>
                      <w:sz w:val="16"/>
                    </w:rPr>
                  </w:pPr>
                  <w:r>
                    <w:rPr>
                      <w:rFonts w:ascii="Arial Black" w:hAnsi="Arial Black"/>
                      <w:b/>
                      <w:sz w:val="16"/>
                    </w:rPr>
                    <w:t>prophylactic paracetamol </w:t>
                  </w:r>
                  <w:r>
                    <w:rPr>
                      <w:sz w:val="16"/>
                    </w:rPr>
                    <w:t>with every dose of Bexsero®.</w:t>
                  </w:r>
                </w:p>
                <w:p>
                  <w:pPr>
                    <w:pStyle w:val="BodyText"/>
                    <w:spacing w:line="261" w:lineRule="auto"/>
                    <w:ind w:left="226" w:right="268"/>
                  </w:pPr>
                  <w:r>
                    <w:rPr/>
                    <w:t>This is because of the increased risk of fever associated with receiving Bexsero®.</w:t>
                  </w:r>
                </w:p>
                <w:p>
                  <w:pPr>
                    <w:pStyle w:val="BodyText"/>
                    <w:numPr>
                      <w:ilvl w:val="0"/>
                      <w:numId w:val="7"/>
                    </w:numPr>
                    <w:tabs>
                      <w:tab w:pos="467" w:val="left" w:leader="none"/>
                    </w:tabs>
                    <w:spacing w:line="261" w:lineRule="auto" w:before="36" w:after="0"/>
                    <w:ind w:left="466" w:right="294" w:hanging="240"/>
                    <w:jc w:val="left"/>
                  </w:pPr>
                  <w:r>
                    <w:rPr/>
                    <w:t>Give the first dose (15 </w:t>
                  </w:r>
                  <w:r>
                    <w:rPr>
                      <w:spacing w:val="-3"/>
                    </w:rPr>
                    <w:t>mg/kg/dose) </w:t>
                  </w:r>
                  <w:r>
                    <w:rPr/>
                    <w:t>of paracetamol </w:t>
                  </w:r>
                  <w:r>
                    <w:rPr>
                      <w:spacing w:val="-2"/>
                    </w:rPr>
                    <w:t>within </w:t>
                  </w:r>
                  <w:r>
                    <w:rPr/>
                    <w:t>30</w:t>
                  </w:r>
                  <w:r>
                    <w:rPr>
                      <w:spacing w:val="-18"/>
                    </w:rPr>
                    <w:t> </w:t>
                  </w:r>
                  <w:r>
                    <w:rPr/>
                    <w:t>minutes</w:t>
                  </w:r>
                  <w:r>
                    <w:rPr>
                      <w:spacing w:val="-18"/>
                    </w:rPr>
                    <w:t> </w:t>
                  </w:r>
                  <w:r>
                    <w:rPr/>
                    <w:t>before,</w:t>
                  </w:r>
                  <w:r>
                    <w:rPr>
                      <w:spacing w:val="-18"/>
                    </w:rPr>
                    <w:t> </w:t>
                  </w:r>
                  <w:r>
                    <w:rPr/>
                    <w:t>or</w:t>
                  </w:r>
                  <w:r>
                    <w:rPr>
                      <w:spacing w:val="-18"/>
                    </w:rPr>
                    <w:t> </w:t>
                  </w:r>
                  <w:r>
                    <w:rPr/>
                    <w:t>as</w:t>
                  </w:r>
                  <w:r>
                    <w:rPr>
                      <w:spacing w:val="-18"/>
                    </w:rPr>
                    <w:t> </w:t>
                  </w:r>
                  <w:r>
                    <w:rPr/>
                    <w:t>soon</w:t>
                  </w:r>
                  <w:r>
                    <w:rPr>
                      <w:spacing w:val="-18"/>
                    </w:rPr>
                    <w:t> </w:t>
                  </w:r>
                  <w:r>
                    <w:rPr/>
                    <w:t>as</w:t>
                  </w:r>
                  <w:r>
                    <w:rPr>
                      <w:spacing w:val="-18"/>
                    </w:rPr>
                    <w:t> </w:t>
                  </w:r>
                  <w:r>
                    <w:rPr/>
                    <w:t>practicable</w:t>
                  </w:r>
                  <w:r>
                    <w:rPr>
                      <w:spacing w:val="-18"/>
                    </w:rPr>
                    <w:t> </w:t>
                  </w:r>
                  <w:r>
                    <w:rPr/>
                    <w:t>after</w:t>
                  </w:r>
                  <w:r>
                    <w:rPr>
                      <w:spacing w:val="-18"/>
                    </w:rPr>
                    <w:t> </w:t>
                  </w:r>
                  <w:r>
                    <w:rPr/>
                    <w:t>receiving the</w:t>
                  </w:r>
                  <w:r>
                    <w:rPr>
                      <w:spacing w:val="-8"/>
                    </w:rPr>
                    <w:t> </w:t>
                  </w:r>
                  <w:r>
                    <w:rPr/>
                    <w:t>vaccine.</w:t>
                  </w:r>
                </w:p>
                <w:p>
                  <w:pPr>
                    <w:pStyle w:val="BodyText"/>
                    <w:numPr>
                      <w:ilvl w:val="0"/>
                      <w:numId w:val="7"/>
                    </w:numPr>
                    <w:tabs>
                      <w:tab w:pos="467" w:val="left" w:leader="none"/>
                    </w:tabs>
                    <w:spacing w:line="261" w:lineRule="auto" w:before="72" w:after="0"/>
                    <w:ind w:left="466" w:right="262" w:hanging="240"/>
                    <w:jc w:val="left"/>
                  </w:pPr>
                  <w:r>
                    <w:rPr/>
                    <w:t>This</w:t>
                  </w:r>
                  <w:r>
                    <w:rPr>
                      <w:spacing w:val="-15"/>
                    </w:rPr>
                    <w:t> </w:t>
                  </w:r>
                  <w:r>
                    <w:rPr/>
                    <w:t>can</w:t>
                  </w:r>
                  <w:r>
                    <w:rPr>
                      <w:spacing w:val="-15"/>
                    </w:rPr>
                    <w:t> </w:t>
                  </w:r>
                  <w:r>
                    <w:rPr/>
                    <w:t>be</w:t>
                  </w:r>
                  <w:r>
                    <w:rPr>
                      <w:spacing w:val="-15"/>
                    </w:rPr>
                    <w:t> </w:t>
                  </w:r>
                  <w:r>
                    <w:rPr/>
                    <w:t>followed</w:t>
                  </w:r>
                  <w:r>
                    <w:rPr>
                      <w:spacing w:val="-15"/>
                    </w:rPr>
                    <w:t> </w:t>
                  </w:r>
                  <w:r>
                    <w:rPr/>
                    <w:t>by</w:t>
                  </w:r>
                  <w:r>
                    <w:rPr>
                      <w:spacing w:val="-15"/>
                    </w:rPr>
                    <w:t> </w:t>
                  </w:r>
                  <w:r>
                    <w:rPr/>
                    <w:t>2</w:t>
                  </w:r>
                  <w:r>
                    <w:rPr>
                      <w:spacing w:val="-15"/>
                    </w:rPr>
                    <w:t> </w:t>
                  </w:r>
                  <w:r>
                    <w:rPr/>
                    <w:t>more</w:t>
                  </w:r>
                  <w:r>
                    <w:rPr>
                      <w:spacing w:val="-15"/>
                    </w:rPr>
                    <w:t> </w:t>
                  </w:r>
                  <w:r>
                    <w:rPr/>
                    <w:t>doses</w:t>
                  </w:r>
                  <w:r>
                    <w:rPr>
                      <w:spacing w:val="-15"/>
                    </w:rPr>
                    <w:t> </w:t>
                  </w:r>
                  <w:r>
                    <w:rPr/>
                    <w:t>of</w:t>
                  </w:r>
                  <w:r>
                    <w:rPr>
                      <w:spacing w:val="-15"/>
                    </w:rPr>
                    <w:t> </w:t>
                  </w:r>
                  <w:r>
                    <w:rPr/>
                    <w:t>paracetamol</w:t>
                  </w:r>
                  <w:r>
                    <w:rPr>
                      <w:spacing w:val="-15"/>
                    </w:rPr>
                    <w:t> </w:t>
                  </w:r>
                  <w:r>
                    <w:rPr/>
                    <w:t>given 6</w:t>
                  </w:r>
                  <w:r>
                    <w:rPr>
                      <w:spacing w:val="-13"/>
                    </w:rPr>
                    <w:t> </w:t>
                  </w:r>
                  <w:r>
                    <w:rPr/>
                    <w:t>hours</w:t>
                  </w:r>
                  <w:r>
                    <w:rPr>
                      <w:spacing w:val="-13"/>
                    </w:rPr>
                    <w:t> </w:t>
                  </w:r>
                  <w:r>
                    <w:rPr/>
                    <w:t>apart</w:t>
                  </w:r>
                  <w:r>
                    <w:rPr>
                      <w:spacing w:val="-13"/>
                    </w:rPr>
                    <w:t> </w:t>
                  </w:r>
                  <w:r>
                    <w:rPr/>
                    <w:t>regardless</w:t>
                  </w:r>
                  <w:r>
                    <w:rPr>
                      <w:spacing w:val="-13"/>
                    </w:rPr>
                    <w:t> </w:t>
                  </w:r>
                  <w:r>
                    <w:rPr/>
                    <w:t>of</w:t>
                  </w:r>
                  <w:r>
                    <w:rPr>
                      <w:spacing w:val="-13"/>
                    </w:rPr>
                    <w:t> </w:t>
                  </w:r>
                  <w:r>
                    <w:rPr/>
                    <w:t>whether</w:t>
                  </w:r>
                  <w:r>
                    <w:rPr>
                      <w:spacing w:val="-13"/>
                    </w:rPr>
                    <w:t> </w:t>
                  </w:r>
                  <w:r>
                    <w:rPr/>
                    <w:t>the</w:t>
                  </w:r>
                  <w:r>
                    <w:rPr>
                      <w:spacing w:val="-13"/>
                    </w:rPr>
                    <w:t> </w:t>
                  </w:r>
                  <w:r>
                    <w:rPr/>
                    <w:t>child</w:t>
                  </w:r>
                  <w:r>
                    <w:rPr>
                      <w:spacing w:val="-13"/>
                    </w:rPr>
                    <w:t> </w:t>
                  </w:r>
                  <w:r>
                    <w:rPr/>
                    <w:t>has</w:t>
                  </w:r>
                  <w:r>
                    <w:rPr>
                      <w:spacing w:val="-13"/>
                    </w:rPr>
                    <w:t> </w:t>
                  </w:r>
                  <w:r>
                    <w:rPr/>
                    <w:t>a</w:t>
                  </w:r>
                  <w:r>
                    <w:rPr>
                      <w:spacing w:val="-13"/>
                    </w:rPr>
                    <w:t> </w:t>
                  </w:r>
                  <w:r>
                    <w:rPr>
                      <w:spacing w:val="-4"/>
                    </w:rPr>
                    <w:t>fever.</w:t>
                  </w:r>
                </w:p>
                <w:p>
                  <w:pPr>
                    <w:spacing w:line="261" w:lineRule="auto" w:before="92"/>
                    <w:ind w:left="226" w:right="1002" w:firstLine="0"/>
                    <w:jc w:val="left"/>
                    <w:rPr>
                      <w:b/>
                      <w:sz w:val="16"/>
                    </w:rPr>
                  </w:pPr>
                  <w:r>
                    <w:rPr>
                      <w:b/>
                      <w:sz w:val="16"/>
                    </w:rPr>
                    <w:t>It</w:t>
                  </w:r>
                  <w:r>
                    <w:rPr>
                      <w:b/>
                      <w:spacing w:val="-11"/>
                      <w:sz w:val="16"/>
                    </w:rPr>
                    <w:t> </w:t>
                  </w:r>
                  <w:r>
                    <w:rPr>
                      <w:b/>
                      <w:sz w:val="16"/>
                    </w:rPr>
                    <w:t>is</w:t>
                  </w:r>
                  <w:r>
                    <w:rPr>
                      <w:b/>
                      <w:spacing w:val="-11"/>
                      <w:sz w:val="16"/>
                    </w:rPr>
                    <w:t> </w:t>
                  </w:r>
                  <w:r>
                    <w:rPr>
                      <w:b/>
                      <w:sz w:val="16"/>
                    </w:rPr>
                    <w:t>important</w:t>
                  </w:r>
                  <w:r>
                    <w:rPr>
                      <w:b/>
                      <w:spacing w:val="-11"/>
                      <w:sz w:val="16"/>
                    </w:rPr>
                    <w:t> </w:t>
                  </w:r>
                  <w:r>
                    <w:rPr>
                      <w:b/>
                      <w:sz w:val="16"/>
                    </w:rPr>
                    <w:t>to</w:t>
                  </w:r>
                  <w:r>
                    <w:rPr>
                      <w:b/>
                      <w:spacing w:val="-11"/>
                      <w:sz w:val="16"/>
                    </w:rPr>
                    <w:t> </w:t>
                  </w:r>
                  <w:r>
                    <w:rPr>
                      <w:b/>
                      <w:sz w:val="16"/>
                    </w:rPr>
                    <w:t>alert</w:t>
                  </w:r>
                  <w:r>
                    <w:rPr>
                      <w:b/>
                      <w:spacing w:val="-11"/>
                      <w:sz w:val="16"/>
                    </w:rPr>
                    <w:t> </w:t>
                  </w:r>
                  <w:r>
                    <w:rPr>
                      <w:b/>
                      <w:sz w:val="16"/>
                    </w:rPr>
                    <w:t>parents</w:t>
                  </w:r>
                  <w:r>
                    <w:rPr>
                      <w:b/>
                      <w:spacing w:val="-11"/>
                      <w:sz w:val="16"/>
                    </w:rPr>
                    <w:t> </w:t>
                  </w:r>
                  <w:r>
                    <w:rPr>
                      <w:b/>
                      <w:sz w:val="16"/>
                    </w:rPr>
                    <w:t>of</w:t>
                  </w:r>
                  <w:r>
                    <w:rPr>
                      <w:b/>
                      <w:spacing w:val="-11"/>
                      <w:sz w:val="16"/>
                    </w:rPr>
                    <w:t> </w:t>
                  </w:r>
                  <w:r>
                    <w:rPr>
                      <w:b/>
                      <w:sz w:val="16"/>
                    </w:rPr>
                    <w:t>the</w:t>
                  </w:r>
                  <w:r>
                    <w:rPr>
                      <w:b/>
                      <w:spacing w:val="-11"/>
                      <w:sz w:val="16"/>
                    </w:rPr>
                    <w:t> </w:t>
                  </w:r>
                  <w:r>
                    <w:rPr>
                      <w:b/>
                      <w:sz w:val="16"/>
                    </w:rPr>
                    <w:t>need</w:t>
                  </w:r>
                  <w:r>
                    <w:rPr>
                      <w:b/>
                      <w:spacing w:val="-11"/>
                      <w:sz w:val="16"/>
                    </w:rPr>
                    <w:t> </w:t>
                  </w:r>
                  <w:r>
                    <w:rPr>
                      <w:b/>
                      <w:sz w:val="16"/>
                    </w:rPr>
                    <w:t>to</w:t>
                  </w:r>
                  <w:r>
                    <w:rPr>
                      <w:b/>
                      <w:spacing w:val="-11"/>
                      <w:sz w:val="16"/>
                    </w:rPr>
                    <w:t> </w:t>
                  </w:r>
                  <w:r>
                    <w:rPr>
                      <w:b/>
                      <w:sz w:val="16"/>
                    </w:rPr>
                    <w:t>buy paracetamol prior to</w:t>
                  </w:r>
                  <w:r>
                    <w:rPr>
                      <w:b/>
                      <w:spacing w:val="-20"/>
                      <w:sz w:val="16"/>
                    </w:rPr>
                    <w:t> </w:t>
                  </w:r>
                  <w:r>
                    <w:rPr>
                      <w:b/>
                      <w:sz w:val="16"/>
                    </w:rPr>
                    <w:t>vaccination.</w:t>
                  </w:r>
                </w:p>
              </w:txbxContent>
            </v:textbox>
            <v:fill type="solid"/>
          </v:shape>
        </w:pict>
      </w:r>
      <w:r>
        <w:rPr>
          <w:sz w:val="20"/>
        </w:rPr>
      </w:r>
    </w:p>
    <w:p>
      <w:pPr>
        <w:pStyle w:val="Heading2"/>
        <w:spacing w:before="59"/>
        <w:rPr>
          <w:b/>
        </w:rPr>
      </w:pPr>
      <w:r>
        <w:rPr>
          <w:b/>
          <w:color w:val="00797E"/>
          <w:w w:val="95"/>
        </w:rPr>
        <w:t>Contraindications/precautions</w:t>
      </w:r>
    </w:p>
    <w:p>
      <w:pPr>
        <w:pStyle w:val="BodyText"/>
        <w:spacing w:line="261" w:lineRule="auto" w:before="86"/>
        <w:ind w:right="279"/>
      </w:pPr>
      <w:r>
        <w:rPr/>
        <w:t>For</w:t>
      </w:r>
      <w:r>
        <w:rPr>
          <w:spacing w:val="-10"/>
        </w:rPr>
        <w:t> </w:t>
      </w:r>
      <w:r>
        <w:rPr/>
        <w:t>all</w:t>
      </w:r>
      <w:r>
        <w:rPr>
          <w:spacing w:val="-10"/>
        </w:rPr>
        <w:t> </w:t>
      </w:r>
      <w:r>
        <w:rPr/>
        <w:t>meningococcal</w:t>
      </w:r>
      <w:r>
        <w:rPr>
          <w:spacing w:val="-10"/>
        </w:rPr>
        <w:t> </w:t>
      </w:r>
      <w:r>
        <w:rPr/>
        <w:t>vaccines,</w:t>
      </w:r>
      <w:r>
        <w:rPr>
          <w:spacing w:val="-10"/>
        </w:rPr>
        <w:t> </w:t>
      </w:r>
      <w:r>
        <w:rPr/>
        <w:t>the</w:t>
      </w:r>
      <w:r>
        <w:rPr>
          <w:spacing w:val="-10"/>
        </w:rPr>
        <w:t> </w:t>
      </w:r>
      <w:r>
        <w:rPr/>
        <w:t>absolute</w:t>
      </w:r>
      <w:r>
        <w:rPr>
          <w:spacing w:val="-10"/>
        </w:rPr>
        <w:t> </w:t>
      </w:r>
      <w:r>
        <w:rPr/>
        <w:t>contraindications</w:t>
      </w:r>
      <w:r>
        <w:rPr>
          <w:spacing w:val="-10"/>
        </w:rPr>
        <w:t> </w:t>
      </w:r>
      <w:r>
        <w:rPr/>
        <w:t>are anaphylaxis following a previous dose of the respective vaccine, or anaphylaxis following any component of the vaccine. Previous meningococcal disease, regardless of the serogroup, is not a contraindication for</w:t>
      </w:r>
      <w:r>
        <w:rPr>
          <w:spacing w:val="-9"/>
        </w:rPr>
        <w:t> </w:t>
      </w:r>
      <w:r>
        <w:rPr/>
        <w:t>vaccination.</w:t>
      </w:r>
    </w:p>
    <w:p>
      <w:pPr>
        <w:pStyle w:val="Heading2"/>
        <w:spacing w:before="28"/>
        <w:rPr>
          <w:b/>
        </w:rPr>
      </w:pPr>
      <w:r>
        <w:rPr>
          <w:b/>
          <w:color w:val="00797E"/>
          <w:w w:val="90"/>
        </w:rPr>
        <w:t>Vaccine delivery</w:t>
      </w:r>
    </w:p>
    <w:p>
      <w:pPr>
        <w:pStyle w:val="BodyText"/>
        <w:spacing w:line="261" w:lineRule="auto" w:before="85"/>
        <w:ind w:right="121"/>
      </w:pPr>
      <w:r>
        <w:rPr/>
        <w:t>Vaccines on the NIP will be distributed by state or territory health departments.</w:t>
      </w:r>
      <w:r>
        <w:rPr>
          <w:spacing w:val="-11"/>
        </w:rPr>
        <w:t> </w:t>
      </w:r>
      <w:r>
        <w:rPr/>
        <w:t>If</w:t>
      </w:r>
      <w:r>
        <w:rPr>
          <w:spacing w:val="-11"/>
        </w:rPr>
        <w:t> </w:t>
      </w:r>
      <w:r>
        <w:rPr/>
        <w:t>you</w:t>
      </w:r>
      <w:r>
        <w:rPr>
          <w:spacing w:val="-11"/>
        </w:rPr>
        <w:t> </w:t>
      </w:r>
      <w:r>
        <w:rPr/>
        <w:t>have</w:t>
      </w:r>
      <w:r>
        <w:rPr>
          <w:spacing w:val="-11"/>
        </w:rPr>
        <w:t> </w:t>
      </w:r>
      <w:r>
        <w:rPr/>
        <w:t>any</w:t>
      </w:r>
      <w:r>
        <w:rPr>
          <w:spacing w:val="-11"/>
        </w:rPr>
        <w:t> </w:t>
      </w:r>
      <w:r>
        <w:rPr/>
        <w:t>questions</w:t>
      </w:r>
      <w:r>
        <w:rPr>
          <w:spacing w:val="-11"/>
        </w:rPr>
        <w:t> </w:t>
      </w:r>
      <w:r>
        <w:rPr/>
        <w:t>about</w:t>
      </w:r>
      <w:r>
        <w:rPr>
          <w:spacing w:val="-11"/>
        </w:rPr>
        <w:t> </w:t>
      </w:r>
      <w:r>
        <w:rPr/>
        <w:t>ordering</w:t>
      </w:r>
      <w:r>
        <w:rPr>
          <w:spacing w:val="-11"/>
        </w:rPr>
        <w:t> </w:t>
      </w:r>
      <w:r>
        <w:rPr/>
        <w:t>NIP</w:t>
      </w:r>
      <w:r>
        <w:rPr>
          <w:spacing w:val="-11"/>
        </w:rPr>
        <w:t> </w:t>
      </w:r>
      <w:r>
        <w:rPr/>
        <w:t>vaccines, contact</w:t>
      </w:r>
      <w:r>
        <w:rPr>
          <w:spacing w:val="-7"/>
        </w:rPr>
        <w:t> </w:t>
      </w:r>
      <w:r>
        <w:rPr/>
        <w:t>your</w:t>
      </w:r>
      <w:r>
        <w:rPr>
          <w:spacing w:val="-7"/>
        </w:rPr>
        <w:t> </w:t>
      </w:r>
      <w:r>
        <w:rPr/>
        <w:t>state</w:t>
      </w:r>
      <w:r>
        <w:rPr>
          <w:spacing w:val="-7"/>
        </w:rPr>
        <w:t> </w:t>
      </w:r>
      <w:r>
        <w:rPr/>
        <w:t>or</w:t>
      </w:r>
      <w:r>
        <w:rPr>
          <w:spacing w:val="-7"/>
        </w:rPr>
        <w:t> </w:t>
      </w:r>
      <w:r>
        <w:rPr/>
        <w:t>territory</w:t>
      </w:r>
      <w:r>
        <w:rPr>
          <w:spacing w:val="-7"/>
        </w:rPr>
        <w:t> </w:t>
      </w:r>
      <w:r>
        <w:rPr/>
        <w:t>health</w:t>
      </w:r>
      <w:r>
        <w:rPr>
          <w:spacing w:val="-7"/>
        </w:rPr>
        <w:t> </w:t>
      </w:r>
      <w:r>
        <w:rPr/>
        <w:t>department</w:t>
      </w:r>
      <w:r>
        <w:rPr>
          <w:spacing w:val="-7"/>
        </w:rPr>
        <w:t> </w:t>
      </w:r>
      <w:r>
        <w:rPr/>
        <w:t>(see</w:t>
      </w:r>
      <w:r>
        <w:rPr>
          <w:spacing w:val="-7"/>
        </w:rPr>
        <w:t> </w:t>
      </w:r>
      <w:r>
        <w:rPr/>
        <w:t>details</w:t>
      </w:r>
      <w:r>
        <w:rPr>
          <w:spacing w:val="-7"/>
        </w:rPr>
        <w:t> </w:t>
      </w:r>
      <w:r>
        <w:rPr/>
        <w:t>below).</w:t>
      </w:r>
    </w:p>
    <w:p>
      <w:pPr>
        <w:pStyle w:val="Heading2"/>
        <w:spacing w:before="29"/>
        <w:rPr>
          <w:b/>
        </w:rPr>
      </w:pPr>
      <w:r>
        <w:rPr>
          <w:b/>
          <w:color w:val="00797E"/>
          <w:w w:val="90"/>
        </w:rPr>
        <w:t>Australian Immunisation Register</w:t>
      </w:r>
    </w:p>
    <w:p>
      <w:pPr>
        <w:pStyle w:val="BodyText"/>
        <w:spacing w:line="261" w:lineRule="auto" w:before="85"/>
        <w:ind w:right="155"/>
      </w:pPr>
      <w:r>
        <w:rPr/>
        <w:t>The</w:t>
      </w:r>
      <w:r>
        <w:rPr>
          <w:spacing w:val="-21"/>
        </w:rPr>
        <w:t> </w:t>
      </w:r>
      <w:r>
        <w:rPr/>
        <w:t>Australian</w:t>
      </w:r>
      <w:r>
        <w:rPr>
          <w:spacing w:val="-21"/>
        </w:rPr>
        <w:t> </w:t>
      </w:r>
      <w:r>
        <w:rPr/>
        <w:t>Immunisation</w:t>
      </w:r>
      <w:r>
        <w:rPr>
          <w:spacing w:val="-21"/>
        </w:rPr>
        <w:t> </w:t>
      </w:r>
      <w:r>
        <w:rPr/>
        <w:t>Register</w:t>
      </w:r>
      <w:r>
        <w:rPr>
          <w:spacing w:val="-21"/>
        </w:rPr>
        <w:t> </w:t>
      </w:r>
      <w:r>
        <w:rPr/>
        <w:t>(AIR)</w:t>
      </w:r>
      <w:r>
        <w:rPr>
          <w:spacing w:val="-21"/>
        </w:rPr>
        <w:t> </w:t>
      </w:r>
      <w:r>
        <w:rPr/>
        <w:t>accepts</w:t>
      </w:r>
      <w:r>
        <w:rPr>
          <w:spacing w:val="-21"/>
        </w:rPr>
        <w:t> </w:t>
      </w:r>
      <w:r>
        <w:rPr/>
        <w:t>data</w:t>
      </w:r>
      <w:r>
        <w:rPr>
          <w:spacing w:val="-21"/>
        </w:rPr>
        <w:t> </w:t>
      </w:r>
      <w:r>
        <w:rPr/>
        <w:t>on</w:t>
      </w:r>
      <w:r>
        <w:rPr>
          <w:spacing w:val="-21"/>
        </w:rPr>
        <w:t> </w:t>
      </w:r>
      <w:r>
        <w:rPr/>
        <w:t>vaccines administered to people of all ages. Providers are required to submit data</w:t>
      </w:r>
      <w:r>
        <w:rPr>
          <w:spacing w:val="-5"/>
        </w:rPr>
        <w:t> </w:t>
      </w:r>
      <w:r>
        <w:rPr/>
        <w:t>to</w:t>
      </w:r>
      <w:r>
        <w:rPr>
          <w:spacing w:val="-5"/>
        </w:rPr>
        <w:t> </w:t>
      </w:r>
      <w:r>
        <w:rPr/>
        <w:t>the</w:t>
      </w:r>
      <w:r>
        <w:rPr>
          <w:spacing w:val="-5"/>
        </w:rPr>
        <w:t> </w:t>
      </w:r>
      <w:r>
        <w:rPr/>
        <w:t>AIR</w:t>
      </w:r>
      <w:r>
        <w:rPr>
          <w:spacing w:val="-5"/>
        </w:rPr>
        <w:t> </w:t>
      </w:r>
      <w:r>
        <w:rPr/>
        <w:t>on</w:t>
      </w:r>
      <w:r>
        <w:rPr>
          <w:spacing w:val="-5"/>
        </w:rPr>
        <w:t> </w:t>
      </w:r>
      <w:r>
        <w:rPr/>
        <w:t>all</w:t>
      </w:r>
      <w:r>
        <w:rPr>
          <w:spacing w:val="-5"/>
        </w:rPr>
        <w:t> </w:t>
      </w:r>
      <w:r>
        <w:rPr/>
        <w:t>vaccines</w:t>
      </w:r>
      <w:r>
        <w:rPr>
          <w:spacing w:val="-5"/>
        </w:rPr>
        <w:t> </w:t>
      </w:r>
      <w:r>
        <w:rPr/>
        <w:t>administered.</w:t>
      </w:r>
    </w:p>
    <w:p>
      <w:pPr>
        <w:pStyle w:val="Heading1"/>
        <w:spacing w:before="137"/>
      </w:pPr>
      <w:r>
        <w:rPr>
          <w:color w:val="00797E"/>
        </w:rPr>
        <w:t>Further information</w:t>
      </w:r>
    </w:p>
    <w:p>
      <w:pPr>
        <w:pStyle w:val="BodyText"/>
        <w:spacing w:before="51"/>
      </w:pPr>
      <w:r>
        <w:rPr/>
        <w:t>Advice on the 1 July 2020 NIP schedule changes can be found in:</w:t>
      </w:r>
    </w:p>
    <w:p>
      <w:pPr>
        <w:pStyle w:val="ListParagraph"/>
        <w:numPr>
          <w:ilvl w:val="0"/>
          <w:numId w:val="8"/>
        </w:numPr>
        <w:tabs>
          <w:tab w:pos="321" w:val="left" w:leader="none"/>
        </w:tabs>
        <w:spacing w:line="261" w:lineRule="auto" w:before="73" w:after="0"/>
        <w:ind w:left="320" w:right="719" w:hanging="170"/>
        <w:jc w:val="left"/>
        <w:rPr>
          <w:i/>
          <w:sz w:val="16"/>
        </w:rPr>
      </w:pPr>
      <w:r>
        <w:rPr>
          <w:i/>
          <w:sz w:val="16"/>
        </w:rPr>
        <w:t>The</w:t>
      </w:r>
      <w:r>
        <w:rPr>
          <w:i/>
          <w:spacing w:val="-19"/>
          <w:sz w:val="16"/>
        </w:rPr>
        <w:t> </w:t>
      </w:r>
      <w:r>
        <w:rPr>
          <w:i/>
          <w:spacing w:val="-8"/>
          <w:sz w:val="16"/>
        </w:rPr>
        <w:t>ATAGI</w:t>
      </w:r>
      <w:r>
        <w:rPr>
          <w:i/>
          <w:spacing w:val="-19"/>
          <w:sz w:val="16"/>
        </w:rPr>
        <w:t> </w:t>
      </w:r>
      <w:r>
        <w:rPr>
          <w:i/>
          <w:sz w:val="16"/>
        </w:rPr>
        <w:t>clinical</w:t>
      </w:r>
      <w:r>
        <w:rPr>
          <w:i/>
          <w:spacing w:val="-19"/>
          <w:sz w:val="16"/>
        </w:rPr>
        <w:t> </w:t>
      </w:r>
      <w:r>
        <w:rPr>
          <w:i/>
          <w:sz w:val="16"/>
        </w:rPr>
        <w:t>advice</w:t>
      </w:r>
      <w:r>
        <w:rPr>
          <w:i/>
          <w:spacing w:val="-19"/>
          <w:sz w:val="16"/>
        </w:rPr>
        <w:t> </w:t>
      </w:r>
      <w:r>
        <w:rPr>
          <w:i/>
          <w:sz w:val="16"/>
        </w:rPr>
        <w:t>on</w:t>
      </w:r>
      <w:r>
        <w:rPr>
          <w:i/>
          <w:spacing w:val="-19"/>
          <w:sz w:val="16"/>
        </w:rPr>
        <w:t> </w:t>
      </w:r>
      <w:r>
        <w:rPr>
          <w:i/>
          <w:sz w:val="16"/>
        </w:rPr>
        <w:t>changes</w:t>
      </w:r>
      <w:r>
        <w:rPr>
          <w:i/>
          <w:spacing w:val="-19"/>
          <w:sz w:val="16"/>
        </w:rPr>
        <w:t> </w:t>
      </w:r>
      <w:r>
        <w:rPr>
          <w:i/>
          <w:sz w:val="16"/>
        </w:rPr>
        <w:t>to</w:t>
      </w:r>
      <w:r>
        <w:rPr>
          <w:i/>
          <w:spacing w:val="-19"/>
          <w:sz w:val="16"/>
        </w:rPr>
        <w:t> </w:t>
      </w:r>
      <w:r>
        <w:rPr>
          <w:i/>
          <w:sz w:val="16"/>
        </w:rPr>
        <w:t>recommendations </w:t>
      </w:r>
      <w:r>
        <w:rPr>
          <w:i/>
          <w:sz w:val="16"/>
        </w:rPr>
        <w:t>for</w:t>
      </w:r>
      <w:r>
        <w:rPr>
          <w:i/>
          <w:spacing w:val="-12"/>
          <w:sz w:val="16"/>
        </w:rPr>
        <w:t> </w:t>
      </w:r>
      <w:r>
        <w:rPr>
          <w:i/>
          <w:sz w:val="16"/>
        </w:rPr>
        <w:t>the</w:t>
      </w:r>
      <w:r>
        <w:rPr>
          <w:i/>
          <w:spacing w:val="-12"/>
          <w:sz w:val="16"/>
        </w:rPr>
        <w:t> </w:t>
      </w:r>
      <w:r>
        <w:rPr>
          <w:i/>
          <w:sz w:val="16"/>
        </w:rPr>
        <w:t>use</w:t>
      </w:r>
      <w:r>
        <w:rPr>
          <w:i/>
          <w:spacing w:val="-12"/>
          <w:sz w:val="16"/>
        </w:rPr>
        <w:t> </w:t>
      </w:r>
      <w:r>
        <w:rPr>
          <w:i/>
          <w:sz w:val="16"/>
        </w:rPr>
        <w:t>and</w:t>
      </w:r>
      <w:r>
        <w:rPr>
          <w:i/>
          <w:spacing w:val="-12"/>
          <w:sz w:val="16"/>
        </w:rPr>
        <w:t> </w:t>
      </w:r>
      <w:r>
        <w:rPr>
          <w:i/>
          <w:sz w:val="16"/>
        </w:rPr>
        <w:t>funding</w:t>
      </w:r>
      <w:r>
        <w:rPr>
          <w:i/>
          <w:spacing w:val="-12"/>
          <w:sz w:val="16"/>
        </w:rPr>
        <w:t> </w:t>
      </w:r>
      <w:r>
        <w:rPr>
          <w:i/>
          <w:sz w:val="16"/>
        </w:rPr>
        <w:t>of</w:t>
      </w:r>
      <w:r>
        <w:rPr>
          <w:i/>
          <w:spacing w:val="-12"/>
          <w:sz w:val="16"/>
        </w:rPr>
        <w:t> </w:t>
      </w:r>
      <w:r>
        <w:rPr>
          <w:i/>
          <w:sz w:val="16"/>
        </w:rPr>
        <w:t>meningococcal</w:t>
      </w:r>
      <w:r>
        <w:rPr>
          <w:i/>
          <w:spacing w:val="-12"/>
          <w:sz w:val="16"/>
        </w:rPr>
        <w:t> </w:t>
      </w:r>
      <w:r>
        <w:rPr>
          <w:i/>
          <w:sz w:val="16"/>
        </w:rPr>
        <w:t>vaccines</w:t>
      </w:r>
      <w:r>
        <w:rPr>
          <w:i/>
          <w:spacing w:val="-12"/>
          <w:sz w:val="16"/>
        </w:rPr>
        <w:t> </w:t>
      </w:r>
      <w:r>
        <w:rPr>
          <w:i/>
          <w:sz w:val="16"/>
        </w:rPr>
        <w:t>from</w:t>
      </w:r>
    </w:p>
    <w:p>
      <w:pPr>
        <w:spacing w:line="183" w:lineRule="exact" w:before="0"/>
        <w:ind w:left="320" w:right="0" w:firstLine="0"/>
        <w:jc w:val="left"/>
        <w:rPr>
          <w:i/>
          <w:sz w:val="16"/>
        </w:rPr>
      </w:pPr>
      <w:r>
        <w:rPr>
          <w:i/>
          <w:sz w:val="16"/>
        </w:rPr>
        <w:t>1 July 2020.</w:t>
      </w:r>
    </w:p>
    <w:p>
      <w:pPr>
        <w:pStyle w:val="ListParagraph"/>
        <w:numPr>
          <w:ilvl w:val="0"/>
          <w:numId w:val="8"/>
        </w:numPr>
        <w:tabs>
          <w:tab w:pos="321" w:val="left" w:leader="none"/>
        </w:tabs>
        <w:spacing w:line="261" w:lineRule="auto" w:before="101" w:after="0"/>
        <w:ind w:left="320" w:right="1298" w:hanging="170"/>
        <w:jc w:val="left"/>
        <w:rPr>
          <w:i/>
          <w:sz w:val="16"/>
        </w:rPr>
      </w:pPr>
      <w:r>
        <w:rPr>
          <w:i/>
          <w:sz w:val="16"/>
        </w:rPr>
        <w:t>The </w:t>
      </w:r>
      <w:r>
        <w:rPr>
          <w:i/>
          <w:spacing w:val="-8"/>
          <w:sz w:val="16"/>
        </w:rPr>
        <w:t>ATAGI </w:t>
      </w:r>
      <w:r>
        <w:rPr>
          <w:i/>
          <w:sz w:val="16"/>
        </w:rPr>
        <w:t>clinical advice on changes to vaccine </w:t>
      </w:r>
      <w:r>
        <w:rPr>
          <w:i/>
          <w:sz w:val="16"/>
        </w:rPr>
        <w:t>recommendations</w:t>
      </w:r>
      <w:r>
        <w:rPr>
          <w:i/>
          <w:spacing w:val="-15"/>
          <w:sz w:val="16"/>
        </w:rPr>
        <w:t> </w:t>
      </w:r>
      <w:r>
        <w:rPr>
          <w:i/>
          <w:sz w:val="16"/>
        </w:rPr>
        <w:t>and</w:t>
      </w:r>
      <w:r>
        <w:rPr>
          <w:i/>
          <w:spacing w:val="-15"/>
          <w:sz w:val="16"/>
        </w:rPr>
        <w:t> </w:t>
      </w:r>
      <w:r>
        <w:rPr>
          <w:i/>
          <w:sz w:val="16"/>
        </w:rPr>
        <w:t>funding</w:t>
      </w:r>
      <w:r>
        <w:rPr>
          <w:i/>
          <w:spacing w:val="-15"/>
          <w:sz w:val="16"/>
        </w:rPr>
        <w:t> </w:t>
      </w:r>
      <w:r>
        <w:rPr>
          <w:i/>
          <w:sz w:val="16"/>
        </w:rPr>
        <w:t>for</w:t>
      </w:r>
      <w:r>
        <w:rPr>
          <w:i/>
          <w:spacing w:val="-15"/>
          <w:sz w:val="16"/>
        </w:rPr>
        <w:t> </w:t>
      </w:r>
      <w:r>
        <w:rPr>
          <w:i/>
          <w:sz w:val="16"/>
        </w:rPr>
        <w:t>people</w:t>
      </w:r>
      <w:r>
        <w:rPr>
          <w:i/>
          <w:spacing w:val="-15"/>
          <w:sz w:val="16"/>
        </w:rPr>
        <w:t> </w:t>
      </w:r>
      <w:r>
        <w:rPr>
          <w:i/>
          <w:sz w:val="16"/>
        </w:rPr>
        <w:t>with</w:t>
      </w:r>
      <w:r>
        <w:rPr>
          <w:i/>
          <w:spacing w:val="-15"/>
          <w:sz w:val="16"/>
        </w:rPr>
        <w:t> </w:t>
      </w:r>
      <w:r>
        <w:rPr>
          <w:i/>
          <w:sz w:val="16"/>
        </w:rPr>
        <w:t>risk conditions from 1 July</w:t>
      </w:r>
      <w:r>
        <w:rPr>
          <w:i/>
          <w:spacing w:val="-32"/>
          <w:sz w:val="16"/>
        </w:rPr>
        <w:t> </w:t>
      </w:r>
      <w:r>
        <w:rPr>
          <w:i/>
          <w:spacing w:val="-3"/>
          <w:sz w:val="16"/>
        </w:rPr>
        <w:t>2020.</w:t>
      </w:r>
    </w:p>
    <w:p>
      <w:pPr>
        <w:pStyle w:val="ListParagraph"/>
        <w:numPr>
          <w:ilvl w:val="0"/>
          <w:numId w:val="8"/>
        </w:numPr>
        <w:tabs>
          <w:tab w:pos="321" w:val="left" w:leader="none"/>
        </w:tabs>
        <w:spacing w:line="261" w:lineRule="auto" w:before="83" w:after="0"/>
        <w:ind w:left="320" w:right="1367" w:hanging="170"/>
        <w:jc w:val="left"/>
        <w:rPr>
          <w:i/>
          <w:sz w:val="16"/>
        </w:rPr>
      </w:pPr>
      <w:r>
        <w:rPr>
          <w:i/>
          <w:sz w:val="16"/>
        </w:rPr>
        <w:t>The</w:t>
      </w:r>
      <w:r>
        <w:rPr>
          <w:i/>
          <w:spacing w:val="-15"/>
          <w:sz w:val="16"/>
        </w:rPr>
        <w:t> </w:t>
      </w:r>
      <w:r>
        <w:rPr>
          <w:i/>
          <w:spacing w:val="-8"/>
          <w:sz w:val="16"/>
        </w:rPr>
        <w:t>ATAGI</w:t>
      </w:r>
      <w:r>
        <w:rPr>
          <w:i/>
          <w:spacing w:val="-15"/>
          <w:sz w:val="16"/>
        </w:rPr>
        <w:t> </w:t>
      </w:r>
      <w:r>
        <w:rPr>
          <w:i/>
          <w:sz w:val="16"/>
        </w:rPr>
        <w:t>clinical</w:t>
      </w:r>
      <w:r>
        <w:rPr>
          <w:i/>
          <w:spacing w:val="-15"/>
          <w:sz w:val="16"/>
        </w:rPr>
        <w:t> </w:t>
      </w:r>
      <w:r>
        <w:rPr>
          <w:i/>
          <w:sz w:val="16"/>
        </w:rPr>
        <w:t>advice</w:t>
      </w:r>
      <w:r>
        <w:rPr>
          <w:i/>
          <w:spacing w:val="-15"/>
          <w:sz w:val="16"/>
        </w:rPr>
        <w:t> </w:t>
      </w:r>
      <w:r>
        <w:rPr>
          <w:i/>
          <w:sz w:val="16"/>
        </w:rPr>
        <w:t>on</w:t>
      </w:r>
      <w:r>
        <w:rPr>
          <w:i/>
          <w:spacing w:val="-15"/>
          <w:sz w:val="16"/>
        </w:rPr>
        <w:t> </w:t>
      </w:r>
      <w:r>
        <w:rPr>
          <w:i/>
          <w:sz w:val="16"/>
        </w:rPr>
        <w:t>changes</w:t>
      </w:r>
      <w:r>
        <w:rPr>
          <w:i/>
          <w:spacing w:val="-15"/>
          <w:sz w:val="16"/>
        </w:rPr>
        <w:t> </w:t>
      </w:r>
      <w:r>
        <w:rPr>
          <w:i/>
          <w:sz w:val="16"/>
        </w:rPr>
        <w:t>to</w:t>
      </w:r>
      <w:r>
        <w:rPr>
          <w:i/>
          <w:spacing w:val="-15"/>
          <w:sz w:val="16"/>
        </w:rPr>
        <w:t> </w:t>
      </w:r>
      <w:r>
        <w:rPr>
          <w:i/>
          <w:sz w:val="16"/>
        </w:rPr>
        <w:t>vaccine </w:t>
      </w:r>
      <w:r>
        <w:rPr>
          <w:i/>
          <w:sz w:val="16"/>
        </w:rPr>
        <w:t>recommendations</w:t>
      </w:r>
      <w:r>
        <w:rPr>
          <w:i/>
          <w:spacing w:val="-14"/>
          <w:sz w:val="16"/>
        </w:rPr>
        <w:t> </w:t>
      </w:r>
      <w:r>
        <w:rPr>
          <w:i/>
          <w:sz w:val="16"/>
        </w:rPr>
        <w:t>and</w:t>
      </w:r>
      <w:r>
        <w:rPr>
          <w:i/>
          <w:spacing w:val="-14"/>
          <w:sz w:val="16"/>
        </w:rPr>
        <w:t> </w:t>
      </w:r>
      <w:r>
        <w:rPr>
          <w:i/>
          <w:sz w:val="16"/>
        </w:rPr>
        <w:t>funding</w:t>
      </w:r>
      <w:r>
        <w:rPr>
          <w:i/>
          <w:spacing w:val="-14"/>
          <w:sz w:val="16"/>
        </w:rPr>
        <w:t> </w:t>
      </w:r>
      <w:r>
        <w:rPr>
          <w:i/>
          <w:sz w:val="16"/>
        </w:rPr>
        <w:t>for</w:t>
      </w:r>
      <w:r>
        <w:rPr>
          <w:i/>
          <w:spacing w:val="-14"/>
          <w:sz w:val="16"/>
        </w:rPr>
        <w:t> </w:t>
      </w:r>
      <w:r>
        <w:rPr>
          <w:i/>
          <w:sz w:val="16"/>
        </w:rPr>
        <w:t>Aboriginal</w:t>
      </w:r>
      <w:r>
        <w:rPr>
          <w:i/>
          <w:spacing w:val="-14"/>
          <w:sz w:val="16"/>
        </w:rPr>
        <w:t> </w:t>
      </w:r>
      <w:r>
        <w:rPr>
          <w:i/>
          <w:spacing w:val="-2"/>
          <w:sz w:val="16"/>
        </w:rPr>
        <w:t>and </w:t>
      </w:r>
      <w:r>
        <w:rPr>
          <w:i/>
          <w:spacing w:val="-5"/>
          <w:sz w:val="16"/>
        </w:rPr>
        <w:t>Torres</w:t>
      </w:r>
      <w:r>
        <w:rPr>
          <w:i/>
          <w:spacing w:val="-12"/>
          <w:sz w:val="16"/>
        </w:rPr>
        <w:t> </w:t>
      </w:r>
      <w:r>
        <w:rPr>
          <w:i/>
          <w:spacing w:val="-3"/>
          <w:sz w:val="16"/>
        </w:rPr>
        <w:t>Strait</w:t>
      </w:r>
      <w:r>
        <w:rPr>
          <w:i/>
          <w:spacing w:val="-12"/>
          <w:sz w:val="16"/>
        </w:rPr>
        <w:t> </w:t>
      </w:r>
      <w:r>
        <w:rPr>
          <w:i/>
          <w:sz w:val="16"/>
        </w:rPr>
        <w:t>Islander</w:t>
      </w:r>
      <w:r>
        <w:rPr>
          <w:i/>
          <w:spacing w:val="-12"/>
          <w:sz w:val="16"/>
        </w:rPr>
        <w:t> </w:t>
      </w:r>
      <w:r>
        <w:rPr>
          <w:i/>
          <w:spacing w:val="-2"/>
          <w:sz w:val="16"/>
        </w:rPr>
        <w:t>People</w:t>
      </w:r>
      <w:r>
        <w:rPr>
          <w:i/>
          <w:spacing w:val="-12"/>
          <w:sz w:val="16"/>
        </w:rPr>
        <w:t> </w:t>
      </w:r>
      <w:r>
        <w:rPr>
          <w:i/>
          <w:sz w:val="16"/>
        </w:rPr>
        <w:t>from</w:t>
      </w:r>
      <w:r>
        <w:rPr>
          <w:i/>
          <w:spacing w:val="-12"/>
          <w:sz w:val="16"/>
        </w:rPr>
        <w:t> </w:t>
      </w:r>
      <w:r>
        <w:rPr>
          <w:i/>
          <w:sz w:val="16"/>
        </w:rPr>
        <w:t>1</w:t>
      </w:r>
      <w:r>
        <w:rPr>
          <w:i/>
          <w:spacing w:val="-12"/>
          <w:sz w:val="16"/>
        </w:rPr>
        <w:t> </w:t>
      </w:r>
      <w:r>
        <w:rPr>
          <w:i/>
          <w:sz w:val="16"/>
        </w:rPr>
        <w:t>July</w:t>
      </w:r>
      <w:r>
        <w:rPr>
          <w:i/>
          <w:spacing w:val="-12"/>
          <w:sz w:val="16"/>
        </w:rPr>
        <w:t> </w:t>
      </w:r>
      <w:r>
        <w:rPr>
          <w:i/>
          <w:spacing w:val="-3"/>
          <w:sz w:val="16"/>
        </w:rPr>
        <w:t>2020.</w:t>
      </w:r>
    </w:p>
    <w:p>
      <w:pPr>
        <w:pStyle w:val="ListParagraph"/>
        <w:numPr>
          <w:ilvl w:val="0"/>
          <w:numId w:val="8"/>
        </w:numPr>
        <w:tabs>
          <w:tab w:pos="321" w:val="left" w:leader="none"/>
        </w:tabs>
        <w:spacing w:line="240" w:lineRule="auto" w:before="84" w:after="0"/>
        <w:ind w:left="320" w:right="0" w:hanging="170"/>
        <w:jc w:val="left"/>
        <w:rPr>
          <w:i/>
          <w:sz w:val="16"/>
        </w:rPr>
      </w:pPr>
      <w:r>
        <w:rPr>
          <w:i/>
          <w:sz w:val="16"/>
        </w:rPr>
        <w:t>The</w:t>
      </w:r>
      <w:r>
        <w:rPr>
          <w:i/>
          <w:spacing w:val="-9"/>
          <w:sz w:val="16"/>
        </w:rPr>
        <w:t> </w:t>
      </w:r>
      <w:r>
        <w:rPr>
          <w:i/>
          <w:spacing w:val="-8"/>
          <w:sz w:val="16"/>
        </w:rPr>
        <w:t>ATAGI</w:t>
      </w:r>
      <w:r>
        <w:rPr>
          <w:i/>
          <w:spacing w:val="-9"/>
          <w:sz w:val="16"/>
        </w:rPr>
        <w:t> </w:t>
      </w:r>
      <w:r>
        <w:rPr>
          <w:i/>
          <w:sz w:val="16"/>
        </w:rPr>
        <w:t>clinical</w:t>
      </w:r>
      <w:r>
        <w:rPr>
          <w:i/>
          <w:spacing w:val="-9"/>
          <w:sz w:val="16"/>
        </w:rPr>
        <w:t> </w:t>
      </w:r>
      <w:r>
        <w:rPr>
          <w:i/>
          <w:sz w:val="16"/>
        </w:rPr>
        <w:t>advice</w:t>
      </w:r>
      <w:r>
        <w:rPr>
          <w:i/>
          <w:spacing w:val="-9"/>
          <w:sz w:val="16"/>
        </w:rPr>
        <w:t> </w:t>
      </w:r>
      <w:r>
        <w:rPr>
          <w:i/>
          <w:sz w:val="16"/>
        </w:rPr>
        <w:t>on</w:t>
      </w:r>
      <w:r>
        <w:rPr>
          <w:i/>
          <w:spacing w:val="-9"/>
          <w:sz w:val="16"/>
        </w:rPr>
        <w:t> </w:t>
      </w:r>
      <w:r>
        <w:rPr>
          <w:i/>
          <w:sz w:val="16"/>
        </w:rPr>
        <w:t>transitioning</w:t>
      </w:r>
      <w:r>
        <w:rPr>
          <w:i/>
          <w:spacing w:val="-9"/>
          <w:sz w:val="16"/>
        </w:rPr>
        <w:t> </w:t>
      </w:r>
      <w:r>
        <w:rPr>
          <w:i/>
          <w:sz w:val="16"/>
        </w:rPr>
        <w:t>to</w:t>
      </w:r>
      <w:r>
        <w:rPr>
          <w:i/>
          <w:spacing w:val="-9"/>
          <w:sz w:val="16"/>
        </w:rPr>
        <w:t> </w:t>
      </w:r>
      <w:r>
        <w:rPr>
          <w:i/>
          <w:spacing w:val="-2"/>
          <w:sz w:val="16"/>
        </w:rPr>
        <w:t>the</w:t>
      </w:r>
    </w:p>
    <w:p>
      <w:pPr>
        <w:spacing w:line="261" w:lineRule="auto" w:before="16"/>
        <w:ind w:left="320" w:right="1008" w:firstLine="0"/>
        <w:jc w:val="left"/>
        <w:rPr>
          <w:i/>
          <w:sz w:val="16"/>
        </w:rPr>
      </w:pPr>
      <w:r>
        <w:rPr>
          <w:i/>
          <w:sz w:val="16"/>
        </w:rPr>
        <w:t>new hepatitis A vaccination schedule on the National </w:t>
      </w:r>
      <w:r>
        <w:rPr>
          <w:i/>
          <w:sz w:val="16"/>
        </w:rPr>
        <w:t>Immunisation Program from 1 July 2020.</w:t>
      </w:r>
    </w:p>
    <w:p>
      <w:pPr>
        <w:pStyle w:val="Heading2"/>
        <w:numPr>
          <w:ilvl w:val="0"/>
          <w:numId w:val="9"/>
        </w:numPr>
        <w:tabs>
          <w:tab w:pos="321" w:val="left" w:leader="none"/>
        </w:tabs>
        <w:spacing w:line="240" w:lineRule="auto" w:before="58" w:after="0"/>
        <w:ind w:left="320" w:right="0" w:hanging="170"/>
        <w:jc w:val="left"/>
        <w:rPr>
          <w:b/>
        </w:rPr>
      </w:pPr>
      <w:r>
        <w:rPr>
          <w:rFonts w:ascii="Arial"/>
          <w:b w:val="0"/>
          <w:w w:val="95"/>
        </w:rPr>
        <w:t>The</w:t>
      </w:r>
      <w:r>
        <w:rPr>
          <w:rFonts w:ascii="Arial"/>
          <w:b w:val="0"/>
          <w:spacing w:val="-13"/>
          <w:w w:val="95"/>
        </w:rPr>
        <w:t> </w:t>
      </w:r>
      <w:hyperlink r:id="rId7">
        <w:r>
          <w:rPr>
            <w:b/>
            <w:w w:val="95"/>
          </w:rPr>
          <w:t>Australian</w:t>
        </w:r>
        <w:r>
          <w:rPr>
            <w:b/>
            <w:spacing w:val="-21"/>
            <w:w w:val="95"/>
          </w:rPr>
          <w:t> </w:t>
        </w:r>
        <w:r>
          <w:rPr>
            <w:b/>
            <w:w w:val="95"/>
          </w:rPr>
          <w:t>Immunisation</w:t>
        </w:r>
        <w:r>
          <w:rPr>
            <w:b/>
            <w:spacing w:val="-21"/>
            <w:w w:val="95"/>
          </w:rPr>
          <w:t> </w:t>
        </w:r>
        <w:r>
          <w:rPr>
            <w:b/>
            <w:w w:val="95"/>
          </w:rPr>
          <w:t>Handbook</w:t>
        </w:r>
      </w:hyperlink>
      <w:r>
        <w:rPr>
          <w:b/>
          <w:w w:val="95"/>
        </w:rPr>
        <w:t>.</w:t>
      </w:r>
    </w:p>
    <w:p>
      <w:pPr>
        <w:pStyle w:val="ListParagraph"/>
        <w:numPr>
          <w:ilvl w:val="0"/>
          <w:numId w:val="9"/>
        </w:numPr>
        <w:tabs>
          <w:tab w:pos="321" w:val="left" w:leader="none"/>
        </w:tabs>
        <w:spacing w:line="179" w:lineRule="exact" w:before="85" w:after="0"/>
        <w:ind w:left="320" w:right="0" w:hanging="170"/>
        <w:jc w:val="left"/>
        <w:rPr>
          <w:sz w:val="16"/>
        </w:rPr>
      </w:pPr>
      <w:r>
        <w:rPr>
          <w:sz w:val="16"/>
        </w:rPr>
        <w:t>Updated</w:t>
      </w:r>
      <w:r>
        <w:rPr>
          <w:spacing w:val="-9"/>
          <w:sz w:val="16"/>
        </w:rPr>
        <w:t> </w:t>
      </w:r>
      <w:r>
        <w:rPr>
          <w:sz w:val="16"/>
        </w:rPr>
        <w:t>NIP</w:t>
      </w:r>
      <w:r>
        <w:rPr>
          <w:spacing w:val="-9"/>
          <w:sz w:val="16"/>
        </w:rPr>
        <w:t> </w:t>
      </w:r>
      <w:r>
        <w:rPr>
          <w:sz w:val="16"/>
        </w:rPr>
        <w:t>schedule</w:t>
      </w:r>
      <w:r>
        <w:rPr>
          <w:spacing w:val="-9"/>
          <w:sz w:val="16"/>
        </w:rPr>
        <w:t> </w:t>
      </w:r>
      <w:r>
        <w:rPr>
          <w:sz w:val="16"/>
        </w:rPr>
        <w:t>cards</w:t>
      </w:r>
      <w:r>
        <w:rPr>
          <w:spacing w:val="-9"/>
          <w:sz w:val="16"/>
        </w:rPr>
        <w:t> </w:t>
      </w:r>
      <w:r>
        <w:rPr>
          <w:sz w:val="16"/>
        </w:rPr>
        <w:t>available</w:t>
      </w:r>
      <w:r>
        <w:rPr>
          <w:spacing w:val="-9"/>
          <w:sz w:val="16"/>
        </w:rPr>
        <w:t> </w:t>
      </w:r>
      <w:r>
        <w:rPr>
          <w:sz w:val="16"/>
        </w:rPr>
        <w:t>at</w:t>
      </w:r>
    </w:p>
    <w:p>
      <w:pPr>
        <w:pStyle w:val="Heading2"/>
        <w:spacing w:line="221" w:lineRule="exact"/>
        <w:ind w:left="320"/>
        <w:rPr>
          <w:b/>
        </w:rPr>
      </w:pPr>
      <w:hyperlink r:id="rId8">
        <w:r>
          <w:rPr>
            <w:b/>
            <w:w w:val="95"/>
          </w:rPr>
          <w:t>health.gov.au/immunisation.</w:t>
        </w:r>
      </w:hyperlink>
    </w:p>
    <w:p>
      <w:pPr>
        <w:spacing w:line="261" w:lineRule="auto" w:before="170"/>
        <w:ind w:left="150" w:right="121" w:firstLine="0"/>
        <w:jc w:val="left"/>
        <w:rPr>
          <w:i/>
          <w:sz w:val="16"/>
        </w:rPr>
      </w:pPr>
      <w:r>
        <w:rPr>
          <w:i/>
          <w:color w:val="00797E"/>
          <w:sz w:val="16"/>
        </w:rPr>
        <w:t>All</w:t>
      </w:r>
      <w:r>
        <w:rPr>
          <w:i/>
          <w:color w:val="00797E"/>
          <w:spacing w:val="-9"/>
          <w:sz w:val="16"/>
        </w:rPr>
        <w:t> </w:t>
      </w:r>
      <w:r>
        <w:rPr>
          <w:i/>
          <w:color w:val="00797E"/>
          <w:sz w:val="16"/>
        </w:rPr>
        <w:t>information</w:t>
      </w:r>
      <w:r>
        <w:rPr>
          <w:i/>
          <w:color w:val="00797E"/>
          <w:spacing w:val="-9"/>
          <w:sz w:val="16"/>
        </w:rPr>
        <w:t> </w:t>
      </w:r>
      <w:r>
        <w:rPr>
          <w:i/>
          <w:color w:val="00797E"/>
          <w:sz w:val="16"/>
        </w:rPr>
        <w:t>in</w:t>
      </w:r>
      <w:r>
        <w:rPr>
          <w:i/>
          <w:color w:val="00797E"/>
          <w:spacing w:val="-9"/>
          <w:sz w:val="16"/>
        </w:rPr>
        <w:t> </w:t>
      </w:r>
      <w:r>
        <w:rPr>
          <w:i/>
          <w:color w:val="00797E"/>
          <w:sz w:val="16"/>
        </w:rPr>
        <w:t>this</w:t>
      </w:r>
      <w:r>
        <w:rPr>
          <w:i/>
          <w:color w:val="00797E"/>
          <w:spacing w:val="-9"/>
          <w:sz w:val="16"/>
        </w:rPr>
        <w:t> </w:t>
      </w:r>
      <w:r>
        <w:rPr>
          <w:i/>
          <w:color w:val="00797E"/>
          <w:sz w:val="16"/>
        </w:rPr>
        <w:t>fact</w:t>
      </w:r>
      <w:r>
        <w:rPr>
          <w:i/>
          <w:color w:val="00797E"/>
          <w:spacing w:val="-9"/>
          <w:sz w:val="16"/>
        </w:rPr>
        <w:t> </w:t>
      </w:r>
      <w:r>
        <w:rPr>
          <w:i/>
          <w:color w:val="00797E"/>
          <w:sz w:val="16"/>
        </w:rPr>
        <w:t>sheet</w:t>
      </w:r>
      <w:r>
        <w:rPr>
          <w:i/>
          <w:color w:val="00797E"/>
          <w:spacing w:val="-9"/>
          <w:sz w:val="16"/>
        </w:rPr>
        <w:t> </w:t>
      </w:r>
      <w:r>
        <w:rPr>
          <w:i/>
          <w:color w:val="00797E"/>
          <w:sz w:val="16"/>
        </w:rPr>
        <w:t>is</w:t>
      </w:r>
      <w:r>
        <w:rPr>
          <w:i/>
          <w:color w:val="00797E"/>
          <w:spacing w:val="-9"/>
          <w:sz w:val="16"/>
        </w:rPr>
        <w:t> </w:t>
      </w:r>
      <w:r>
        <w:rPr>
          <w:i/>
          <w:color w:val="00797E"/>
          <w:sz w:val="16"/>
        </w:rPr>
        <w:t>correct</w:t>
      </w:r>
      <w:r>
        <w:rPr>
          <w:i/>
          <w:color w:val="00797E"/>
          <w:spacing w:val="-9"/>
          <w:sz w:val="16"/>
        </w:rPr>
        <w:t> </w:t>
      </w:r>
      <w:r>
        <w:rPr>
          <w:i/>
          <w:color w:val="00797E"/>
          <w:sz w:val="16"/>
        </w:rPr>
        <w:t>as</w:t>
      </w:r>
      <w:r>
        <w:rPr>
          <w:i/>
          <w:color w:val="00797E"/>
          <w:spacing w:val="-9"/>
          <w:sz w:val="16"/>
        </w:rPr>
        <w:t> </w:t>
      </w:r>
      <w:r>
        <w:rPr>
          <w:i/>
          <w:color w:val="00797E"/>
          <w:sz w:val="16"/>
        </w:rPr>
        <w:t>at</w:t>
      </w:r>
      <w:r>
        <w:rPr>
          <w:i/>
          <w:color w:val="00797E"/>
          <w:spacing w:val="-9"/>
          <w:sz w:val="16"/>
        </w:rPr>
        <w:t> </w:t>
      </w:r>
      <w:r>
        <w:rPr>
          <w:i/>
          <w:color w:val="00797E"/>
          <w:sz w:val="16"/>
        </w:rPr>
        <w:t>June</w:t>
      </w:r>
      <w:r>
        <w:rPr>
          <w:i/>
          <w:color w:val="00797E"/>
          <w:spacing w:val="-9"/>
          <w:sz w:val="16"/>
        </w:rPr>
        <w:t> </w:t>
      </w:r>
      <w:r>
        <w:rPr>
          <w:i/>
          <w:color w:val="00797E"/>
          <w:sz w:val="16"/>
        </w:rPr>
        <w:t>2020.</w:t>
      </w:r>
      <w:r>
        <w:rPr>
          <w:i/>
          <w:color w:val="00797E"/>
          <w:spacing w:val="-9"/>
          <w:sz w:val="16"/>
        </w:rPr>
        <w:t> </w:t>
      </w:r>
      <w:r>
        <w:rPr>
          <w:i/>
          <w:color w:val="00797E"/>
          <w:sz w:val="16"/>
        </w:rPr>
        <w:t>REPORT </w:t>
      </w:r>
      <w:r>
        <w:rPr>
          <w:i/>
          <w:color w:val="00797E"/>
          <w:sz w:val="16"/>
        </w:rPr>
        <w:t>all</w:t>
      </w:r>
      <w:r>
        <w:rPr>
          <w:i/>
          <w:color w:val="00797E"/>
          <w:spacing w:val="-9"/>
          <w:sz w:val="16"/>
        </w:rPr>
        <w:t> </w:t>
      </w:r>
      <w:r>
        <w:rPr>
          <w:i/>
          <w:color w:val="00797E"/>
          <w:sz w:val="16"/>
        </w:rPr>
        <w:t>vaccinations</w:t>
      </w:r>
      <w:r>
        <w:rPr>
          <w:i/>
          <w:color w:val="00797E"/>
          <w:spacing w:val="-9"/>
          <w:sz w:val="16"/>
        </w:rPr>
        <w:t> </w:t>
      </w:r>
      <w:r>
        <w:rPr>
          <w:i/>
          <w:color w:val="00797E"/>
          <w:sz w:val="16"/>
        </w:rPr>
        <w:t>to</w:t>
      </w:r>
      <w:r>
        <w:rPr>
          <w:i/>
          <w:color w:val="00797E"/>
          <w:spacing w:val="-9"/>
          <w:sz w:val="16"/>
        </w:rPr>
        <w:t> </w:t>
      </w:r>
      <w:r>
        <w:rPr>
          <w:i/>
          <w:color w:val="00797E"/>
          <w:sz w:val="16"/>
        </w:rPr>
        <w:t>the</w:t>
      </w:r>
      <w:r>
        <w:rPr>
          <w:i/>
          <w:color w:val="00797E"/>
          <w:spacing w:val="-9"/>
          <w:sz w:val="16"/>
        </w:rPr>
        <w:t> </w:t>
      </w:r>
      <w:r>
        <w:rPr>
          <w:i/>
          <w:color w:val="00797E"/>
          <w:sz w:val="16"/>
        </w:rPr>
        <w:t>Australian</w:t>
      </w:r>
      <w:r>
        <w:rPr>
          <w:i/>
          <w:color w:val="00797E"/>
          <w:spacing w:val="-9"/>
          <w:sz w:val="16"/>
        </w:rPr>
        <w:t> </w:t>
      </w:r>
      <w:r>
        <w:rPr>
          <w:i/>
          <w:color w:val="00797E"/>
          <w:sz w:val="16"/>
        </w:rPr>
        <w:t>Immunisation</w:t>
      </w:r>
      <w:r>
        <w:rPr>
          <w:i/>
          <w:color w:val="00797E"/>
          <w:spacing w:val="-9"/>
          <w:sz w:val="16"/>
        </w:rPr>
        <w:t> </w:t>
      </w:r>
      <w:r>
        <w:rPr>
          <w:i/>
          <w:color w:val="00797E"/>
          <w:sz w:val="16"/>
        </w:rPr>
        <w:t>Register</w:t>
      </w:r>
      <w:r>
        <w:rPr>
          <w:i/>
          <w:color w:val="00797E"/>
          <w:spacing w:val="-9"/>
          <w:sz w:val="16"/>
        </w:rPr>
        <w:t> </w:t>
      </w:r>
      <w:r>
        <w:rPr>
          <w:i/>
          <w:color w:val="00797E"/>
          <w:sz w:val="16"/>
        </w:rPr>
        <w:t>(AIR).</w:t>
      </w:r>
    </w:p>
    <w:p>
      <w:pPr>
        <w:spacing w:after="0" w:line="261" w:lineRule="auto"/>
        <w:jc w:val="left"/>
        <w:rPr>
          <w:sz w:val="16"/>
        </w:rPr>
        <w:sectPr>
          <w:pgSz w:w="11910" w:h="16840"/>
          <w:pgMar w:top="680" w:bottom="280" w:left="700" w:right="740"/>
          <w:cols w:num="2" w:equalWidth="0">
            <w:col w:w="5010" w:space="376"/>
            <w:col w:w="5084"/>
          </w:cols>
        </w:sectPr>
      </w:pPr>
    </w:p>
    <w:p>
      <w:pPr>
        <w:pStyle w:val="BodyText"/>
        <w:ind w:left="0"/>
        <w:rPr>
          <w:i/>
          <w:sz w:val="20"/>
        </w:rPr>
      </w:pPr>
    </w:p>
    <w:p>
      <w:pPr>
        <w:pStyle w:val="BodyText"/>
        <w:spacing w:before="9" w:after="1"/>
        <w:ind w:left="0"/>
        <w:rPr>
          <w:i/>
          <w:sz w:val="19"/>
        </w:rPr>
      </w:pPr>
    </w:p>
    <w:p>
      <w:pPr>
        <w:pStyle w:val="BodyText"/>
        <w:spacing w:line="30" w:lineRule="exact"/>
        <w:ind w:left="135"/>
        <w:rPr>
          <w:sz w:val="3"/>
        </w:rPr>
      </w:pPr>
      <w:r>
        <w:rPr>
          <w:position w:val="0"/>
          <w:sz w:val="3"/>
        </w:rPr>
        <w:pict>
          <v:group style="width:510.25pt;height:1.5pt;mso-position-horizontal-relative:char;mso-position-vertical-relative:line" coordorigin="0,0" coordsize="10205,30">
            <v:line style="position:absolute" from="0,15" to="10205,15" stroked="true" strokeweight="1.5pt" strokecolor="#162952">
              <v:stroke dashstyle="solid"/>
            </v:line>
          </v:group>
        </w:pict>
      </w:r>
      <w:r>
        <w:rPr>
          <w:position w:val="0"/>
          <w:sz w:val="3"/>
        </w:rPr>
      </w:r>
    </w:p>
    <w:p>
      <w:pPr>
        <w:pStyle w:val="BodyText"/>
        <w:spacing w:before="6"/>
        <w:ind w:left="0"/>
        <w:rPr>
          <w:i/>
          <w:sz w:val="10"/>
        </w:rPr>
      </w:pPr>
    </w:p>
    <w:p>
      <w:pPr>
        <w:spacing w:before="97"/>
        <w:ind w:left="150" w:right="0" w:firstLine="0"/>
        <w:jc w:val="left"/>
        <w:rPr>
          <w:rFonts w:ascii="Arial Black"/>
          <w:b/>
          <w:sz w:val="15"/>
        </w:rPr>
      </w:pPr>
      <w:r>
        <w:rPr/>
        <w:pict>
          <v:shape style="position:absolute;margin-left:40.019699pt;margin-top:20.166296pt;width:240.4pt;height:33.4pt;mso-position-horizontal-relative:page;mso-position-vertical-relative:paragraph;z-index:0;mso-wrap-distance-left:0;mso-wrap-distance-right:0" type="#_x0000_t202" filled="false" stroked="false">
            <v:textbox inset="0,0,0,0">
              <w:txbxContent>
                <w:tbl>
                  <w:tblPr>
                    <w:tblW w:w="0" w:type="auto"/>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45"/>
                    <w:gridCol w:w="1282"/>
                    <w:gridCol w:w="773"/>
                    <w:gridCol w:w="2208"/>
                  </w:tblGrid>
                  <w:tr>
                    <w:trPr>
                      <w:trHeight w:val="169" w:hRule="atLeast"/>
                    </w:trPr>
                    <w:tc>
                      <w:tcPr>
                        <w:tcW w:w="545" w:type="dxa"/>
                      </w:tcPr>
                      <w:p>
                        <w:pPr>
                          <w:pStyle w:val="TableParagraph"/>
                          <w:spacing w:line="150" w:lineRule="exact"/>
                          <w:ind w:left="50"/>
                          <w:rPr>
                            <w:rFonts w:ascii="Arial Black"/>
                            <w:b/>
                            <w:sz w:val="12"/>
                          </w:rPr>
                        </w:pPr>
                        <w:r>
                          <w:rPr>
                            <w:rFonts w:ascii="Arial Black"/>
                            <w:b/>
                            <w:color w:val="162952"/>
                            <w:w w:val="95"/>
                            <w:sz w:val="12"/>
                          </w:rPr>
                          <w:t>ACT</w:t>
                        </w:r>
                      </w:p>
                    </w:tc>
                    <w:tc>
                      <w:tcPr>
                        <w:tcW w:w="1282" w:type="dxa"/>
                      </w:tcPr>
                      <w:p>
                        <w:pPr>
                          <w:pStyle w:val="TableParagraph"/>
                          <w:spacing w:line="131" w:lineRule="exact" w:before="18"/>
                          <w:ind w:left="225"/>
                          <w:rPr>
                            <w:sz w:val="12"/>
                          </w:rPr>
                        </w:pPr>
                        <w:r>
                          <w:rPr>
                            <w:color w:val="162952"/>
                            <w:sz w:val="12"/>
                          </w:rPr>
                          <w:t>02 5124 9800</w:t>
                        </w:r>
                      </w:p>
                    </w:tc>
                    <w:tc>
                      <w:tcPr>
                        <w:tcW w:w="773" w:type="dxa"/>
                      </w:tcPr>
                      <w:p>
                        <w:pPr>
                          <w:pStyle w:val="TableParagraph"/>
                          <w:spacing w:line="150" w:lineRule="exact"/>
                          <w:ind w:left="292"/>
                          <w:rPr>
                            <w:rFonts w:ascii="Arial Black"/>
                            <w:b/>
                            <w:sz w:val="12"/>
                          </w:rPr>
                        </w:pPr>
                        <w:r>
                          <w:rPr>
                            <w:rFonts w:ascii="Arial Black"/>
                            <w:b/>
                            <w:color w:val="162952"/>
                            <w:w w:val="95"/>
                            <w:sz w:val="12"/>
                          </w:rPr>
                          <w:t>SA</w:t>
                        </w:r>
                      </w:p>
                    </w:tc>
                    <w:tc>
                      <w:tcPr>
                        <w:tcW w:w="2208" w:type="dxa"/>
                      </w:tcPr>
                      <w:p>
                        <w:pPr>
                          <w:pStyle w:val="TableParagraph"/>
                          <w:spacing w:line="133" w:lineRule="exact" w:before="17"/>
                          <w:ind w:left="239"/>
                          <w:rPr>
                            <w:sz w:val="12"/>
                          </w:rPr>
                        </w:pPr>
                        <w:r>
                          <w:rPr>
                            <w:color w:val="162952"/>
                            <w:sz w:val="12"/>
                          </w:rPr>
                          <w:t>1300 232 272</w:t>
                        </w:r>
                      </w:p>
                    </w:tc>
                  </w:tr>
                  <w:tr>
                    <w:trPr>
                      <w:trHeight w:val="164" w:hRule="atLeast"/>
                    </w:trPr>
                    <w:tc>
                      <w:tcPr>
                        <w:tcW w:w="545" w:type="dxa"/>
                      </w:tcPr>
                      <w:p>
                        <w:pPr>
                          <w:pStyle w:val="TableParagraph"/>
                          <w:spacing w:line="144" w:lineRule="exact"/>
                          <w:ind w:left="50"/>
                          <w:rPr>
                            <w:rFonts w:ascii="Arial Black"/>
                            <w:b/>
                            <w:sz w:val="12"/>
                          </w:rPr>
                        </w:pPr>
                        <w:r>
                          <w:rPr>
                            <w:rFonts w:ascii="Arial Black"/>
                            <w:b/>
                            <w:color w:val="162952"/>
                            <w:sz w:val="12"/>
                          </w:rPr>
                          <w:t>NSW</w:t>
                        </w:r>
                      </w:p>
                    </w:tc>
                    <w:tc>
                      <w:tcPr>
                        <w:tcW w:w="1282" w:type="dxa"/>
                      </w:tcPr>
                      <w:p>
                        <w:pPr>
                          <w:pStyle w:val="TableParagraph"/>
                          <w:spacing w:line="131" w:lineRule="exact" w:before="13"/>
                          <w:ind w:left="225"/>
                          <w:rPr>
                            <w:sz w:val="12"/>
                          </w:rPr>
                        </w:pPr>
                        <w:r>
                          <w:rPr>
                            <w:color w:val="162952"/>
                            <w:w w:val="105"/>
                            <w:sz w:val="12"/>
                          </w:rPr>
                          <w:t>1300 066 055</w:t>
                        </w:r>
                      </w:p>
                    </w:tc>
                    <w:tc>
                      <w:tcPr>
                        <w:tcW w:w="773" w:type="dxa"/>
                      </w:tcPr>
                      <w:p>
                        <w:pPr>
                          <w:pStyle w:val="TableParagraph"/>
                          <w:spacing w:line="144" w:lineRule="exact"/>
                          <w:ind w:left="292"/>
                          <w:rPr>
                            <w:rFonts w:ascii="Arial Black"/>
                            <w:b/>
                            <w:sz w:val="12"/>
                          </w:rPr>
                        </w:pPr>
                        <w:r>
                          <w:rPr>
                            <w:rFonts w:ascii="Arial Black"/>
                            <w:b/>
                            <w:color w:val="162952"/>
                            <w:w w:val="95"/>
                            <w:sz w:val="12"/>
                          </w:rPr>
                          <w:t>TAS</w:t>
                        </w:r>
                      </w:p>
                    </w:tc>
                    <w:tc>
                      <w:tcPr>
                        <w:tcW w:w="2208" w:type="dxa"/>
                      </w:tcPr>
                      <w:p>
                        <w:pPr>
                          <w:pStyle w:val="TableParagraph"/>
                          <w:spacing w:line="133" w:lineRule="exact" w:before="11"/>
                          <w:ind w:left="239"/>
                          <w:rPr>
                            <w:sz w:val="12"/>
                          </w:rPr>
                        </w:pPr>
                        <w:r>
                          <w:rPr>
                            <w:color w:val="162952"/>
                            <w:sz w:val="12"/>
                          </w:rPr>
                          <w:t>1800 671 738</w:t>
                        </w:r>
                      </w:p>
                    </w:tc>
                  </w:tr>
                  <w:tr>
                    <w:trPr>
                      <w:trHeight w:val="164" w:hRule="atLeast"/>
                    </w:trPr>
                    <w:tc>
                      <w:tcPr>
                        <w:tcW w:w="545" w:type="dxa"/>
                      </w:tcPr>
                      <w:p>
                        <w:pPr>
                          <w:pStyle w:val="TableParagraph"/>
                          <w:spacing w:line="144" w:lineRule="exact"/>
                          <w:ind w:left="50"/>
                          <w:rPr>
                            <w:rFonts w:ascii="Arial Black"/>
                            <w:b/>
                            <w:sz w:val="12"/>
                          </w:rPr>
                        </w:pPr>
                        <w:r>
                          <w:rPr>
                            <w:rFonts w:ascii="Arial Black"/>
                            <w:b/>
                            <w:color w:val="162952"/>
                            <w:w w:val="95"/>
                            <w:sz w:val="12"/>
                          </w:rPr>
                          <w:t>NT</w:t>
                        </w:r>
                      </w:p>
                    </w:tc>
                    <w:tc>
                      <w:tcPr>
                        <w:tcW w:w="1282" w:type="dxa"/>
                      </w:tcPr>
                      <w:p>
                        <w:pPr>
                          <w:pStyle w:val="TableParagraph"/>
                          <w:spacing w:line="131" w:lineRule="exact" w:before="13"/>
                          <w:ind w:left="225"/>
                          <w:rPr>
                            <w:sz w:val="12"/>
                          </w:rPr>
                        </w:pPr>
                        <w:r>
                          <w:rPr>
                            <w:color w:val="162952"/>
                            <w:w w:val="105"/>
                            <w:sz w:val="12"/>
                          </w:rPr>
                          <w:t>08 8922 8044</w:t>
                        </w:r>
                      </w:p>
                    </w:tc>
                    <w:tc>
                      <w:tcPr>
                        <w:tcW w:w="773" w:type="dxa"/>
                      </w:tcPr>
                      <w:p>
                        <w:pPr>
                          <w:pStyle w:val="TableParagraph"/>
                          <w:spacing w:line="144" w:lineRule="exact"/>
                          <w:ind w:left="292"/>
                          <w:rPr>
                            <w:rFonts w:ascii="Arial Black"/>
                            <w:b/>
                            <w:sz w:val="12"/>
                          </w:rPr>
                        </w:pPr>
                        <w:r>
                          <w:rPr>
                            <w:rFonts w:ascii="Arial Black"/>
                            <w:b/>
                            <w:color w:val="162952"/>
                            <w:w w:val="95"/>
                            <w:sz w:val="12"/>
                          </w:rPr>
                          <w:t>VIC</w:t>
                        </w:r>
                      </w:p>
                    </w:tc>
                    <w:tc>
                      <w:tcPr>
                        <w:tcW w:w="2208" w:type="dxa"/>
                      </w:tcPr>
                      <w:p>
                        <w:pPr>
                          <w:pStyle w:val="TableParagraph"/>
                          <w:spacing w:line="133" w:lineRule="exact" w:before="11"/>
                          <w:ind w:left="239"/>
                          <w:rPr>
                            <w:sz w:val="12"/>
                          </w:rPr>
                        </w:pPr>
                        <w:r>
                          <w:rPr>
                            <w:color w:val="162952"/>
                            <w:w w:val="105"/>
                            <w:sz w:val="12"/>
                          </w:rPr>
                          <w:t>1300 882 008</w:t>
                        </w:r>
                      </w:p>
                    </w:tc>
                  </w:tr>
                  <w:tr>
                    <w:trPr>
                      <w:trHeight w:val="169" w:hRule="atLeast"/>
                    </w:trPr>
                    <w:tc>
                      <w:tcPr>
                        <w:tcW w:w="545" w:type="dxa"/>
                      </w:tcPr>
                      <w:p>
                        <w:pPr>
                          <w:pStyle w:val="TableParagraph"/>
                          <w:spacing w:line="150" w:lineRule="exact"/>
                          <w:ind w:left="50"/>
                          <w:rPr>
                            <w:rFonts w:ascii="Arial Black"/>
                            <w:b/>
                            <w:sz w:val="12"/>
                          </w:rPr>
                        </w:pPr>
                        <w:r>
                          <w:rPr>
                            <w:rFonts w:ascii="Arial Black"/>
                            <w:b/>
                            <w:color w:val="162952"/>
                            <w:sz w:val="12"/>
                          </w:rPr>
                          <w:t>WA</w:t>
                        </w:r>
                      </w:p>
                    </w:tc>
                    <w:tc>
                      <w:tcPr>
                        <w:tcW w:w="1282" w:type="dxa"/>
                      </w:tcPr>
                      <w:p>
                        <w:pPr>
                          <w:pStyle w:val="TableParagraph"/>
                          <w:spacing w:line="137" w:lineRule="exact" w:before="13"/>
                          <w:ind w:left="225"/>
                          <w:rPr>
                            <w:sz w:val="12"/>
                          </w:rPr>
                        </w:pPr>
                        <w:r>
                          <w:rPr>
                            <w:color w:val="162952"/>
                            <w:sz w:val="12"/>
                          </w:rPr>
                          <w:t>08 9321 1312</w:t>
                        </w:r>
                      </w:p>
                    </w:tc>
                    <w:tc>
                      <w:tcPr>
                        <w:tcW w:w="773" w:type="dxa"/>
                      </w:tcPr>
                      <w:p>
                        <w:pPr>
                          <w:pStyle w:val="TableParagraph"/>
                          <w:spacing w:line="150" w:lineRule="exact"/>
                          <w:ind w:left="292"/>
                          <w:rPr>
                            <w:rFonts w:ascii="Arial Black"/>
                            <w:b/>
                            <w:sz w:val="12"/>
                          </w:rPr>
                        </w:pPr>
                        <w:r>
                          <w:rPr>
                            <w:rFonts w:ascii="Arial Black"/>
                            <w:b/>
                            <w:color w:val="162952"/>
                            <w:sz w:val="12"/>
                          </w:rPr>
                          <w:t>QLD</w:t>
                        </w:r>
                      </w:p>
                    </w:tc>
                    <w:tc>
                      <w:tcPr>
                        <w:tcW w:w="2208" w:type="dxa"/>
                      </w:tcPr>
                      <w:p>
                        <w:pPr>
                          <w:pStyle w:val="TableParagraph"/>
                          <w:spacing w:before="11"/>
                          <w:ind w:left="239"/>
                          <w:rPr>
                            <w:sz w:val="12"/>
                          </w:rPr>
                        </w:pPr>
                        <w:r>
                          <w:rPr>
                            <w:color w:val="162952"/>
                            <w:sz w:val="12"/>
                          </w:rPr>
                          <w:t>Contact your local Public Health Unit</w:t>
                        </w:r>
                      </w:p>
                    </w:tc>
                  </w:tr>
                </w:tbl>
                <w:p>
                  <w:pPr>
                    <w:pStyle w:val="BodyText"/>
                    <w:ind w:left="0"/>
                  </w:pPr>
                </w:p>
              </w:txbxContent>
            </v:textbox>
            <w10:wrap type="topAndBottom"/>
          </v:shape>
        </w:pict>
      </w:r>
      <w:r>
        <w:rPr/>
        <w:drawing>
          <wp:anchor distT="0" distB="0" distL="0" distR="0" allowOverlap="1" layoutInCell="1" locked="0" behindDoc="0" simplePos="0" relativeHeight="1264">
            <wp:simplePos x="0" y="0"/>
            <wp:positionH relativeFrom="page">
              <wp:posOffset>3959999</wp:posOffset>
            </wp:positionH>
            <wp:positionV relativeFrom="paragraph">
              <wp:posOffset>646639</wp:posOffset>
            </wp:positionV>
            <wp:extent cx="1010742" cy="135350"/>
            <wp:effectExtent l="0" t="0" r="0" b="0"/>
            <wp:wrapTopAndBottom/>
            <wp:docPr id="5" name="image3.png" descr=""/>
            <wp:cNvGraphicFramePr>
              <a:graphicFrameLocks noChangeAspect="1"/>
            </wp:cNvGraphicFramePr>
            <a:graphic>
              <a:graphicData uri="http://schemas.openxmlformats.org/drawingml/2006/picture">
                <pic:pic>
                  <pic:nvPicPr>
                    <pic:cNvPr id="6" name="image3.png"/>
                    <pic:cNvPicPr/>
                  </pic:nvPicPr>
                  <pic:blipFill>
                    <a:blip r:embed="rId9" cstate="print"/>
                    <a:stretch>
                      <a:fillRect/>
                    </a:stretch>
                  </pic:blipFill>
                  <pic:spPr>
                    <a:xfrm>
                      <a:off x="0" y="0"/>
                      <a:ext cx="1010742" cy="135350"/>
                    </a:xfrm>
                    <a:prstGeom prst="rect">
                      <a:avLst/>
                    </a:prstGeom>
                  </pic:spPr>
                </pic:pic>
              </a:graphicData>
            </a:graphic>
          </wp:anchor>
        </w:drawing>
      </w:r>
      <w:r>
        <w:rPr/>
        <w:drawing>
          <wp:anchor distT="0" distB="0" distL="0" distR="0" allowOverlap="1" layoutInCell="1" locked="0" behindDoc="0" simplePos="0" relativeHeight="1288">
            <wp:simplePos x="0" y="0"/>
            <wp:positionH relativeFrom="page">
              <wp:posOffset>5236107</wp:posOffset>
            </wp:positionH>
            <wp:positionV relativeFrom="paragraph">
              <wp:posOffset>711475</wp:posOffset>
            </wp:positionV>
            <wp:extent cx="1801725" cy="65341"/>
            <wp:effectExtent l="0" t="0" r="0" b="0"/>
            <wp:wrapTopAndBottom/>
            <wp:docPr id="7" name="image4.png" descr=""/>
            <wp:cNvGraphicFramePr>
              <a:graphicFrameLocks noChangeAspect="1"/>
            </wp:cNvGraphicFramePr>
            <a:graphic>
              <a:graphicData uri="http://schemas.openxmlformats.org/drawingml/2006/picture">
                <pic:pic>
                  <pic:nvPicPr>
                    <pic:cNvPr id="8" name="image4.png"/>
                    <pic:cNvPicPr/>
                  </pic:nvPicPr>
                  <pic:blipFill>
                    <a:blip r:embed="rId10" cstate="print"/>
                    <a:stretch>
                      <a:fillRect/>
                    </a:stretch>
                  </pic:blipFill>
                  <pic:spPr>
                    <a:xfrm>
                      <a:off x="0" y="0"/>
                      <a:ext cx="1801725" cy="65341"/>
                    </a:xfrm>
                    <a:prstGeom prst="rect">
                      <a:avLst/>
                    </a:prstGeom>
                  </pic:spPr>
                </pic:pic>
              </a:graphicData>
            </a:graphic>
          </wp:anchor>
        </w:drawing>
      </w:r>
      <w:r>
        <w:rPr/>
        <w:drawing>
          <wp:anchor distT="0" distB="0" distL="0" distR="0" allowOverlap="1" layoutInCell="1" locked="0" behindDoc="0" simplePos="0" relativeHeight="1312">
            <wp:simplePos x="0" y="0"/>
            <wp:positionH relativeFrom="page">
              <wp:posOffset>5859703</wp:posOffset>
            </wp:positionH>
            <wp:positionV relativeFrom="paragraph">
              <wp:posOffset>92817</wp:posOffset>
            </wp:positionV>
            <wp:extent cx="1159059" cy="517099"/>
            <wp:effectExtent l="0" t="0" r="0" b="0"/>
            <wp:wrapNone/>
            <wp:docPr id="9" name="image5.png" descr=""/>
            <wp:cNvGraphicFramePr>
              <a:graphicFrameLocks noChangeAspect="1"/>
            </wp:cNvGraphicFramePr>
            <a:graphic>
              <a:graphicData uri="http://schemas.openxmlformats.org/drawingml/2006/picture">
                <pic:pic>
                  <pic:nvPicPr>
                    <pic:cNvPr id="10" name="image5.png"/>
                    <pic:cNvPicPr/>
                  </pic:nvPicPr>
                  <pic:blipFill>
                    <a:blip r:embed="rId11" cstate="print"/>
                    <a:stretch>
                      <a:fillRect/>
                    </a:stretch>
                  </pic:blipFill>
                  <pic:spPr>
                    <a:xfrm>
                      <a:off x="0" y="0"/>
                      <a:ext cx="1159059" cy="517099"/>
                    </a:xfrm>
                    <a:prstGeom prst="rect">
                      <a:avLst/>
                    </a:prstGeom>
                  </pic:spPr>
                </pic:pic>
              </a:graphicData>
            </a:graphic>
          </wp:anchor>
        </w:drawing>
      </w:r>
      <w:r>
        <w:rPr/>
        <w:pict>
          <v:group style="position:absolute;margin-left:412.297607pt;margin-top:6.910697pt;width:38.65pt;height:38.65pt;mso-position-horizontal-relative:page;mso-position-vertical-relative:paragraph;z-index:1336" coordorigin="8246,138" coordsize="773,773">
            <v:shape style="position:absolute;left:8289;top:624;width:343;height:287" type="#_x0000_t75" stroked="false">
              <v:imagedata r:id="rId12" o:title=""/>
            </v:shape>
            <v:shape style="position:absolute;left:8297;top:138;width:678;height:288" type="#_x0000_t75" stroked="false">
              <v:imagedata r:id="rId13" o:title=""/>
            </v:shape>
            <v:shape style="position:absolute;left:8850;top:331;width:169;height:418" coordorigin="8850,331" coordsize="169,418" path="m8858,394l8873,425,8884,457,8891,490,8893,525,8891,559,8884,592,8873,624,8858,655,8850,679,8852,703,8862,724,8881,741,8891,746,8902,749,8913,749,8929,747,8943,741,8957,731,8967,718,8989,672,9005,625,9015,575,9019,525,9015,474,9006,426,8913,426,8897,423,8882,417,8869,408,8858,394xm8967,331l8975,355,8973,379,8963,401,8944,417,8934,423,8923,426,9006,426,9005,424,8989,377,8967,331xe" filled="true" fillcolor="#c7a9d1" stroked="false">
              <v:path arrowok="t"/>
              <v:fill type="solid"/>
            </v:shape>
            <v:shape style="position:absolute;left:8569;top:654;width:398;height:256" type="#_x0000_t75" stroked="false">
              <v:imagedata r:id="rId14" o:title=""/>
            </v:shape>
            <v:shape style="position:absolute;left:8245;top:300;width:169;height:418" coordorigin="8246,300" coordsize="169,418" path="m8360,300l8336,302,8314,313,8298,331,8275,377,8259,424,8249,474,8246,525,8249,575,8259,625,8275,672,8298,718,8290,694,8291,670,8302,649,8321,632,8344,624,8391,624,8380,592,8374,559,8371,525,8374,490,8380,457,8391,425,8406,394,8414,371,8413,347,8402,325,8383,308,8360,300xm8391,624l8344,624,8368,626,8390,636,8406,655,8391,624,8391,624xe" filled="true" fillcolor="#5cc4be" stroked="false">
              <v:path arrowok="t"/>
              <v:fill type="solid"/>
            </v:shape>
            <w10:wrap type="none"/>
          </v:group>
        </w:pict>
      </w:r>
      <w:r>
        <w:rPr/>
        <w:drawing>
          <wp:anchor distT="0" distB="0" distL="0" distR="0" allowOverlap="1" layoutInCell="1" locked="0" behindDoc="0" simplePos="0" relativeHeight="1360">
            <wp:simplePos x="0" y="0"/>
            <wp:positionH relativeFrom="page">
              <wp:posOffset>3960336</wp:posOffset>
            </wp:positionH>
            <wp:positionV relativeFrom="paragraph">
              <wp:posOffset>90655</wp:posOffset>
            </wp:positionV>
            <wp:extent cx="1015165" cy="508895"/>
            <wp:effectExtent l="0" t="0" r="0" b="0"/>
            <wp:wrapNone/>
            <wp:docPr id="11" name="image9.png" descr=""/>
            <wp:cNvGraphicFramePr>
              <a:graphicFrameLocks noChangeAspect="1"/>
            </wp:cNvGraphicFramePr>
            <a:graphic>
              <a:graphicData uri="http://schemas.openxmlformats.org/drawingml/2006/picture">
                <pic:pic>
                  <pic:nvPicPr>
                    <pic:cNvPr id="12" name="image9.png"/>
                    <pic:cNvPicPr/>
                  </pic:nvPicPr>
                  <pic:blipFill>
                    <a:blip r:embed="rId15" cstate="print"/>
                    <a:stretch>
                      <a:fillRect/>
                    </a:stretch>
                  </pic:blipFill>
                  <pic:spPr>
                    <a:xfrm>
                      <a:off x="0" y="0"/>
                      <a:ext cx="1015165" cy="508895"/>
                    </a:xfrm>
                    <a:prstGeom prst="rect">
                      <a:avLst/>
                    </a:prstGeom>
                  </pic:spPr>
                </pic:pic>
              </a:graphicData>
            </a:graphic>
          </wp:anchor>
        </w:drawing>
      </w:r>
      <w:r>
        <w:rPr/>
        <w:pict>
          <v:line style="position:absolute;mso-position-horizontal-relative:page;mso-position-vertical-relative:paragraph;z-index:1384" from="402.035004pt,7.428496pt" to="402.035004pt,61.685496pt" stroked="true" strokeweight=".464pt" strokecolor="#231f20">
            <v:stroke dashstyle="solid"/>
            <w10:wrap type="none"/>
          </v:line>
        </w:pict>
      </w:r>
      <w:r>
        <w:rPr>
          <w:rFonts w:ascii="Arial Black"/>
          <w:b/>
          <w:color w:val="162952"/>
          <w:w w:val="90"/>
          <w:sz w:val="15"/>
        </w:rPr>
        <w:t>State and territory health department contact numbers:</w:t>
      </w:r>
    </w:p>
    <w:sectPr>
      <w:type w:val="continuous"/>
      <w:pgSz w:w="11910" w:h="16840"/>
      <w:pgMar w:top="840" w:bottom="280" w:left="700" w:right="7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Arial Black">
    <w:altName w:val="Arial Black"/>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
    <w:multiLevelType w:val="hybridMultilevel"/>
    <w:lvl w:ilvl="0">
      <w:start w:val="0"/>
      <w:numFmt w:val="bullet"/>
      <w:lvlText w:val="•"/>
      <w:lvlJc w:val="left"/>
      <w:pPr>
        <w:ind w:left="320" w:hanging="171"/>
      </w:pPr>
      <w:rPr>
        <w:rFonts w:hint="default" w:ascii="Arial" w:hAnsi="Arial" w:eastAsia="Arial" w:cs="Arial"/>
        <w:w w:val="102"/>
        <w:sz w:val="16"/>
        <w:szCs w:val="16"/>
        <w:lang w:val="en-us" w:eastAsia="en-us" w:bidi="en-us"/>
      </w:rPr>
    </w:lvl>
    <w:lvl w:ilvl="1">
      <w:start w:val="0"/>
      <w:numFmt w:val="bullet"/>
      <w:lvlText w:val="•"/>
      <w:lvlJc w:val="left"/>
      <w:pPr>
        <w:ind w:left="795" w:hanging="171"/>
      </w:pPr>
      <w:rPr>
        <w:rFonts w:hint="default"/>
        <w:lang w:val="en-us" w:eastAsia="en-us" w:bidi="en-us"/>
      </w:rPr>
    </w:lvl>
    <w:lvl w:ilvl="2">
      <w:start w:val="0"/>
      <w:numFmt w:val="bullet"/>
      <w:lvlText w:val="•"/>
      <w:lvlJc w:val="left"/>
      <w:pPr>
        <w:ind w:left="1271" w:hanging="171"/>
      </w:pPr>
      <w:rPr>
        <w:rFonts w:hint="default"/>
        <w:lang w:val="en-us" w:eastAsia="en-us" w:bidi="en-us"/>
      </w:rPr>
    </w:lvl>
    <w:lvl w:ilvl="3">
      <w:start w:val="0"/>
      <w:numFmt w:val="bullet"/>
      <w:lvlText w:val="•"/>
      <w:lvlJc w:val="left"/>
      <w:pPr>
        <w:ind w:left="1747" w:hanging="171"/>
      </w:pPr>
      <w:rPr>
        <w:rFonts w:hint="default"/>
        <w:lang w:val="en-us" w:eastAsia="en-us" w:bidi="en-us"/>
      </w:rPr>
    </w:lvl>
    <w:lvl w:ilvl="4">
      <w:start w:val="0"/>
      <w:numFmt w:val="bullet"/>
      <w:lvlText w:val="•"/>
      <w:lvlJc w:val="left"/>
      <w:pPr>
        <w:ind w:left="2223" w:hanging="171"/>
      </w:pPr>
      <w:rPr>
        <w:rFonts w:hint="default"/>
        <w:lang w:val="en-us" w:eastAsia="en-us" w:bidi="en-us"/>
      </w:rPr>
    </w:lvl>
    <w:lvl w:ilvl="5">
      <w:start w:val="0"/>
      <w:numFmt w:val="bullet"/>
      <w:lvlText w:val="•"/>
      <w:lvlJc w:val="left"/>
      <w:pPr>
        <w:ind w:left="2699" w:hanging="171"/>
      </w:pPr>
      <w:rPr>
        <w:rFonts w:hint="default"/>
        <w:lang w:val="en-us" w:eastAsia="en-us" w:bidi="en-us"/>
      </w:rPr>
    </w:lvl>
    <w:lvl w:ilvl="6">
      <w:start w:val="0"/>
      <w:numFmt w:val="bullet"/>
      <w:lvlText w:val="•"/>
      <w:lvlJc w:val="left"/>
      <w:pPr>
        <w:ind w:left="3175" w:hanging="171"/>
      </w:pPr>
      <w:rPr>
        <w:rFonts w:hint="default"/>
        <w:lang w:val="en-us" w:eastAsia="en-us" w:bidi="en-us"/>
      </w:rPr>
    </w:lvl>
    <w:lvl w:ilvl="7">
      <w:start w:val="0"/>
      <w:numFmt w:val="bullet"/>
      <w:lvlText w:val="•"/>
      <w:lvlJc w:val="left"/>
      <w:pPr>
        <w:ind w:left="3651" w:hanging="171"/>
      </w:pPr>
      <w:rPr>
        <w:rFonts w:hint="default"/>
        <w:lang w:val="en-us" w:eastAsia="en-us" w:bidi="en-us"/>
      </w:rPr>
    </w:lvl>
    <w:lvl w:ilvl="8">
      <w:start w:val="0"/>
      <w:numFmt w:val="bullet"/>
      <w:lvlText w:val="•"/>
      <w:lvlJc w:val="left"/>
      <w:pPr>
        <w:ind w:left="4127" w:hanging="171"/>
      </w:pPr>
      <w:rPr>
        <w:rFonts w:hint="default"/>
        <w:lang w:val="en-us" w:eastAsia="en-us" w:bidi="en-us"/>
      </w:rPr>
    </w:lvl>
  </w:abstractNum>
  <w:abstractNum w:abstractNumId="7">
    <w:multiLevelType w:val="hybridMultilevel"/>
    <w:lvl w:ilvl="0">
      <w:start w:val="0"/>
      <w:numFmt w:val="bullet"/>
      <w:lvlText w:val="•"/>
      <w:lvlJc w:val="left"/>
      <w:pPr>
        <w:ind w:left="320" w:hanging="171"/>
      </w:pPr>
      <w:rPr>
        <w:rFonts w:hint="default" w:ascii="Arial" w:hAnsi="Arial" w:eastAsia="Arial" w:cs="Arial"/>
        <w:i/>
        <w:w w:val="102"/>
        <w:sz w:val="16"/>
        <w:szCs w:val="16"/>
        <w:lang w:val="en-us" w:eastAsia="en-us" w:bidi="en-us"/>
      </w:rPr>
    </w:lvl>
    <w:lvl w:ilvl="1">
      <w:start w:val="0"/>
      <w:numFmt w:val="bullet"/>
      <w:lvlText w:val="•"/>
      <w:lvlJc w:val="left"/>
      <w:pPr>
        <w:ind w:left="795" w:hanging="171"/>
      </w:pPr>
      <w:rPr>
        <w:rFonts w:hint="default"/>
        <w:lang w:val="en-us" w:eastAsia="en-us" w:bidi="en-us"/>
      </w:rPr>
    </w:lvl>
    <w:lvl w:ilvl="2">
      <w:start w:val="0"/>
      <w:numFmt w:val="bullet"/>
      <w:lvlText w:val="•"/>
      <w:lvlJc w:val="left"/>
      <w:pPr>
        <w:ind w:left="1271" w:hanging="171"/>
      </w:pPr>
      <w:rPr>
        <w:rFonts w:hint="default"/>
        <w:lang w:val="en-us" w:eastAsia="en-us" w:bidi="en-us"/>
      </w:rPr>
    </w:lvl>
    <w:lvl w:ilvl="3">
      <w:start w:val="0"/>
      <w:numFmt w:val="bullet"/>
      <w:lvlText w:val="•"/>
      <w:lvlJc w:val="left"/>
      <w:pPr>
        <w:ind w:left="1747" w:hanging="171"/>
      </w:pPr>
      <w:rPr>
        <w:rFonts w:hint="default"/>
        <w:lang w:val="en-us" w:eastAsia="en-us" w:bidi="en-us"/>
      </w:rPr>
    </w:lvl>
    <w:lvl w:ilvl="4">
      <w:start w:val="0"/>
      <w:numFmt w:val="bullet"/>
      <w:lvlText w:val="•"/>
      <w:lvlJc w:val="left"/>
      <w:pPr>
        <w:ind w:left="2223" w:hanging="171"/>
      </w:pPr>
      <w:rPr>
        <w:rFonts w:hint="default"/>
        <w:lang w:val="en-us" w:eastAsia="en-us" w:bidi="en-us"/>
      </w:rPr>
    </w:lvl>
    <w:lvl w:ilvl="5">
      <w:start w:val="0"/>
      <w:numFmt w:val="bullet"/>
      <w:lvlText w:val="•"/>
      <w:lvlJc w:val="left"/>
      <w:pPr>
        <w:ind w:left="2699" w:hanging="171"/>
      </w:pPr>
      <w:rPr>
        <w:rFonts w:hint="default"/>
        <w:lang w:val="en-us" w:eastAsia="en-us" w:bidi="en-us"/>
      </w:rPr>
    </w:lvl>
    <w:lvl w:ilvl="6">
      <w:start w:val="0"/>
      <w:numFmt w:val="bullet"/>
      <w:lvlText w:val="•"/>
      <w:lvlJc w:val="left"/>
      <w:pPr>
        <w:ind w:left="3175" w:hanging="171"/>
      </w:pPr>
      <w:rPr>
        <w:rFonts w:hint="default"/>
        <w:lang w:val="en-us" w:eastAsia="en-us" w:bidi="en-us"/>
      </w:rPr>
    </w:lvl>
    <w:lvl w:ilvl="7">
      <w:start w:val="0"/>
      <w:numFmt w:val="bullet"/>
      <w:lvlText w:val="•"/>
      <w:lvlJc w:val="left"/>
      <w:pPr>
        <w:ind w:left="3651" w:hanging="171"/>
      </w:pPr>
      <w:rPr>
        <w:rFonts w:hint="default"/>
        <w:lang w:val="en-us" w:eastAsia="en-us" w:bidi="en-us"/>
      </w:rPr>
    </w:lvl>
    <w:lvl w:ilvl="8">
      <w:start w:val="0"/>
      <w:numFmt w:val="bullet"/>
      <w:lvlText w:val="•"/>
      <w:lvlJc w:val="left"/>
      <w:pPr>
        <w:ind w:left="4127" w:hanging="171"/>
      </w:pPr>
      <w:rPr>
        <w:rFonts w:hint="default"/>
        <w:lang w:val="en-us" w:eastAsia="en-us" w:bidi="en-us"/>
      </w:rPr>
    </w:lvl>
  </w:abstractNum>
  <w:abstractNum w:abstractNumId="6">
    <w:multiLevelType w:val="hybridMultilevel"/>
    <w:lvl w:ilvl="0">
      <w:start w:val="0"/>
      <w:numFmt w:val="bullet"/>
      <w:lvlText w:val="–"/>
      <w:lvlJc w:val="left"/>
      <w:pPr>
        <w:ind w:left="466" w:hanging="240"/>
      </w:pPr>
      <w:rPr>
        <w:rFonts w:hint="default" w:ascii="Arial" w:hAnsi="Arial" w:eastAsia="Arial" w:cs="Arial"/>
        <w:w w:val="106"/>
        <w:sz w:val="16"/>
        <w:szCs w:val="16"/>
        <w:lang w:val="en-us" w:eastAsia="en-us" w:bidi="en-us"/>
      </w:rPr>
    </w:lvl>
    <w:lvl w:ilvl="1">
      <w:start w:val="0"/>
      <w:numFmt w:val="bullet"/>
      <w:lvlText w:val="•"/>
      <w:lvlJc w:val="left"/>
      <w:pPr>
        <w:ind w:left="895" w:hanging="240"/>
      </w:pPr>
      <w:rPr>
        <w:rFonts w:hint="default"/>
        <w:lang w:val="en-us" w:eastAsia="en-us" w:bidi="en-us"/>
      </w:rPr>
    </w:lvl>
    <w:lvl w:ilvl="2">
      <w:start w:val="0"/>
      <w:numFmt w:val="bullet"/>
      <w:lvlText w:val="•"/>
      <w:lvlJc w:val="left"/>
      <w:pPr>
        <w:ind w:left="1331" w:hanging="240"/>
      </w:pPr>
      <w:rPr>
        <w:rFonts w:hint="default"/>
        <w:lang w:val="en-us" w:eastAsia="en-us" w:bidi="en-us"/>
      </w:rPr>
    </w:lvl>
    <w:lvl w:ilvl="3">
      <w:start w:val="0"/>
      <w:numFmt w:val="bullet"/>
      <w:lvlText w:val="•"/>
      <w:lvlJc w:val="left"/>
      <w:pPr>
        <w:ind w:left="1767" w:hanging="240"/>
      </w:pPr>
      <w:rPr>
        <w:rFonts w:hint="default"/>
        <w:lang w:val="en-us" w:eastAsia="en-us" w:bidi="en-us"/>
      </w:rPr>
    </w:lvl>
    <w:lvl w:ilvl="4">
      <w:start w:val="0"/>
      <w:numFmt w:val="bullet"/>
      <w:lvlText w:val="•"/>
      <w:lvlJc w:val="left"/>
      <w:pPr>
        <w:ind w:left="2203" w:hanging="240"/>
      </w:pPr>
      <w:rPr>
        <w:rFonts w:hint="default"/>
        <w:lang w:val="en-us" w:eastAsia="en-us" w:bidi="en-us"/>
      </w:rPr>
    </w:lvl>
    <w:lvl w:ilvl="5">
      <w:start w:val="0"/>
      <w:numFmt w:val="bullet"/>
      <w:lvlText w:val="•"/>
      <w:lvlJc w:val="left"/>
      <w:pPr>
        <w:ind w:left="2639" w:hanging="240"/>
      </w:pPr>
      <w:rPr>
        <w:rFonts w:hint="default"/>
        <w:lang w:val="en-us" w:eastAsia="en-us" w:bidi="en-us"/>
      </w:rPr>
    </w:lvl>
    <w:lvl w:ilvl="6">
      <w:start w:val="0"/>
      <w:numFmt w:val="bullet"/>
      <w:lvlText w:val="•"/>
      <w:lvlJc w:val="left"/>
      <w:pPr>
        <w:ind w:left="3075" w:hanging="240"/>
      </w:pPr>
      <w:rPr>
        <w:rFonts w:hint="default"/>
        <w:lang w:val="en-us" w:eastAsia="en-us" w:bidi="en-us"/>
      </w:rPr>
    </w:lvl>
    <w:lvl w:ilvl="7">
      <w:start w:val="0"/>
      <w:numFmt w:val="bullet"/>
      <w:lvlText w:val="•"/>
      <w:lvlJc w:val="left"/>
      <w:pPr>
        <w:ind w:left="3511" w:hanging="240"/>
      </w:pPr>
      <w:rPr>
        <w:rFonts w:hint="default"/>
        <w:lang w:val="en-us" w:eastAsia="en-us" w:bidi="en-us"/>
      </w:rPr>
    </w:lvl>
    <w:lvl w:ilvl="8">
      <w:start w:val="0"/>
      <w:numFmt w:val="bullet"/>
      <w:lvlText w:val="•"/>
      <w:lvlJc w:val="left"/>
      <w:pPr>
        <w:ind w:left="3947" w:hanging="240"/>
      </w:pPr>
      <w:rPr>
        <w:rFonts w:hint="default"/>
        <w:lang w:val="en-us" w:eastAsia="en-us" w:bidi="en-us"/>
      </w:rPr>
    </w:lvl>
  </w:abstractNum>
  <w:abstractNum w:abstractNumId="5">
    <w:multiLevelType w:val="hybridMultilevel"/>
    <w:lvl w:ilvl="0">
      <w:start w:val="0"/>
      <w:numFmt w:val="bullet"/>
      <w:lvlText w:val="•"/>
      <w:lvlJc w:val="left"/>
      <w:pPr>
        <w:ind w:left="320" w:hanging="171"/>
      </w:pPr>
      <w:rPr>
        <w:rFonts w:hint="default" w:ascii="Arial" w:hAnsi="Arial" w:eastAsia="Arial" w:cs="Arial"/>
        <w:w w:val="102"/>
        <w:sz w:val="16"/>
        <w:szCs w:val="16"/>
        <w:lang w:val="en-us" w:eastAsia="en-us" w:bidi="en-us"/>
      </w:rPr>
    </w:lvl>
    <w:lvl w:ilvl="1">
      <w:start w:val="0"/>
      <w:numFmt w:val="bullet"/>
      <w:lvlText w:val="•"/>
      <w:lvlJc w:val="left"/>
      <w:pPr>
        <w:ind w:left="788" w:hanging="171"/>
      </w:pPr>
      <w:rPr>
        <w:rFonts w:hint="default"/>
        <w:lang w:val="en-us" w:eastAsia="en-us" w:bidi="en-us"/>
      </w:rPr>
    </w:lvl>
    <w:lvl w:ilvl="2">
      <w:start w:val="0"/>
      <w:numFmt w:val="bullet"/>
      <w:lvlText w:val="•"/>
      <w:lvlJc w:val="left"/>
      <w:pPr>
        <w:ind w:left="1257" w:hanging="171"/>
      </w:pPr>
      <w:rPr>
        <w:rFonts w:hint="default"/>
        <w:lang w:val="en-us" w:eastAsia="en-us" w:bidi="en-us"/>
      </w:rPr>
    </w:lvl>
    <w:lvl w:ilvl="3">
      <w:start w:val="0"/>
      <w:numFmt w:val="bullet"/>
      <w:lvlText w:val="•"/>
      <w:lvlJc w:val="left"/>
      <w:pPr>
        <w:ind w:left="1726" w:hanging="171"/>
      </w:pPr>
      <w:rPr>
        <w:rFonts w:hint="default"/>
        <w:lang w:val="en-us" w:eastAsia="en-us" w:bidi="en-us"/>
      </w:rPr>
    </w:lvl>
    <w:lvl w:ilvl="4">
      <w:start w:val="0"/>
      <w:numFmt w:val="bullet"/>
      <w:lvlText w:val="•"/>
      <w:lvlJc w:val="left"/>
      <w:pPr>
        <w:ind w:left="2195" w:hanging="171"/>
      </w:pPr>
      <w:rPr>
        <w:rFonts w:hint="default"/>
        <w:lang w:val="en-us" w:eastAsia="en-us" w:bidi="en-us"/>
      </w:rPr>
    </w:lvl>
    <w:lvl w:ilvl="5">
      <w:start w:val="0"/>
      <w:numFmt w:val="bullet"/>
      <w:lvlText w:val="•"/>
      <w:lvlJc w:val="left"/>
      <w:pPr>
        <w:ind w:left="2664" w:hanging="171"/>
      </w:pPr>
      <w:rPr>
        <w:rFonts w:hint="default"/>
        <w:lang w:val="en-us" w:eastAsia="en-us" w:bidi="en-us"/>
      </w:rPr>
    </w:lvl>
    <w:lvl w:ilvl="6">
      <w:start w:val="0"/>
      <w:numFmt w:val="bullet"/>
      <w:lvlText w:val="•"/>
      <w:lvlJc w:val="left"/>
      <w:pPr>
        <w:ind w:left="3133" w:hanging="171"/>
      </w:pPr>
      <w:rPr>
        <w:rFonts w:hint="default"/>
        <w:lang w:val="en-us" w:eastAsia="en-us" w:bidi="en-us"/>
      </w:rPr>
    </w:lvl>
    <w:lvl w:ilvl="7">
      <w:start w:val="0"/>
      <w:numFmt w:val="bullet"/>
      <w:lvlText w:val="•"/>
      <w:lvlJc w:val="left"/>
      <w:pPr>
        <w:ind w:left="3602" w:hanging="171"/>
      </w:pPr>
      <w:rPr>
        <w:rFonts w:hint="default"/>
        <w:lang w:val="en-us" w:eastAsia="en-us" w:bidi="en-us"/>
      </w:rPr>
    </w:lvl>
    <w:lvl w:ilvl="8">
      <w:start w:val="0"/>
      <w:numFmt w:val="bullet"/>
      <w:lvlText w:val="•"/>
      <w:lvlJc w:val="left"/>
      <w:pPr>
        <w:ind w:left="4071" w:hanging="171"/>
      </w:pPr>
      <w:rPr>
        <w:rFonts w:hint="default"/>
        <w:lang w:val="en-us" w:eastAsia="en-us" w:bidi="en-us"/>
      </w:rPr>
    </w:lvl>
  </w:abstractNum>
  <w:abstractNum w:abstractNumId="4">
    <w:multiLevelType w:val="hybridMultilevel"/>
    <w:lvl w:ilvl="0">
      <w:start w:val="0"/>
      <w:numFmt w:val="bullet"/>
      <w:lvlText w:val="–"/>
      <w:lvlJc w:val="left"/>
      <w:pPr>
        <w:ind w:left="446" w:hanging="200"/>
      </w:pPr>
      <w:rPr>
        <w:rFonts w:hint="default" w:ascii="Arial" w:hAnsi="Arial" w:eastAsia="Arial" w:cs="Arial"/>
        <w:w w:val="106"/>
        <w:sz w:val="16"/>
        <w:szCs w:val="16"/>
        <w:lang w:val="en-us" w:eastAsia="en-us" w:bidi="en-us"/>
      </w:rPr>
    </w:lvl>
    <w:lvl w:ilvl="1">
      <w:start w:val="0"/>
      <w:numFmt w:val="bullet"/>
      <w:lvlText w:val="•"/>
      <w:lvlJc w:val="left"/>
      <w:pPr>
        <w:ind w:left="877" w:hanging="200"/>
      </w:pPr>
      <w:rPr>
        <w:rFonts w:hint="default"/>
        <w:lang w:val="en-us" w:eastAsia="en-us" w:bidi="en-us"/>
      </w:rPr>
    </w:lvl>
    <w:lvl w:ilvl="2">
      <w:start w:val="0"/>
      <w:numFmt w:val="bullet"/>
      <w:lvlText w:val="•"/>
      <w:lvlJc w:val="left"/>
      <w:pPr>
        <w:ind w:left="1315" w:hanging="200"/>
      </w:pPr>
      <w:rPr>
        <w:rFonts w:hint="default"/>
        <w:lang w:val="en-us" w:eastAsia="en-us" w:bidi="en-us"/>
      </w:rPr>
    </w:lvl>
    <w:lvl w:ilvl="3">
      <w:start w:val="0"/>
      <w:numFmt w:val="bullet"/>
      <w:lvlText w:val="•"/>
      <w:lvlJc w:val="left"/>
      <w:pPr>
        <w:ind w:left="1753" w:hanging="200"/>
      </w:pPr>
      <w:rPr>
        <w:rFonts w:hint="default"/>
        <w:lang w:val="en-us" w:eastAsia="en-us" w:bidi="en-us"/>
      </w:rPr>
    </w:lvl>
    <w:lvl w:ilvl="4">
      <w:start w:val="0"/>
      <w:numFmt w:val="bullet"/>
      <w:lvlText w:val="•"/>
      <w:lvlJc w:val="left"/>
      <w:pPr>
        <w:ind w:left="2191" w:hanging="200"/>
      </w:pPr>
      <w:rPr>
        <w:rFonts w:hint="default"/>
        <w:lang w:val="en-us" w:eastAsia="en-us" w:bidi="en-us"/>
      </w:rPr>
    </w:lvl>
    <w:lvl w:ilvl="5">
      <w:start w:val="0"/>
      <w:numFmt w:val="bullet"/>
      <w:lvlText w:val="•"/>
      <w:lvlJc w:val="left"/>
      <w:pPr>
        <w:ind w:left="2629" w:hanging="200"/>
      </w:pPr>
      <w:rPr>
        <w:rFonts w:hint="default"/>
        <w:lang w:val="en-us" w:eastAsia="en-us" w:bidi="en-us"/>
      </w:rPr>
    </w:lvl>
    <w:lvl w:ilvl="6">
      <w:start w:val="0"/>
      <w:numFmt w:val="bullet"/>
      <w:lvlText w:val="•"/>
      <w:lvlJc w:val="left"/>
      <w:pPr>
        <w:ind w:left="3067" w:hanging="200"/>
      </w:pPr>
      <w:rPr>
        <w:rFonts w:hint="default"/>
        <w:lang w:val="en-us" w:eastAsia="en-us" w:bidi="en-us"/>
      </w:rPr>
    </w:lvl>
    <w:lvl w:ilvl="7">
      <w:start w:val="0"/>
      <w:numFmt w:val="bullet"/>
      <w:lvlText w:val="•"/>
      <w:lvlJc w:val="left"/>
      <w:pPr>
        <w:ind w:left="3505" w:hanging="200"/>
      </w:pPr>
      <w:rPr>
        <w:rFonts w:hint="default"/>
        <w:lang w:val="en-us" w:eastAsia="en-us" w:bidi="en-us"/>
      </w:rPr>
    </w:lvl>
    <w:lvl w:ilvl="8">
      <w:start w:val="0"/>
      <w:numFmt w:val="bullet"/>
      <w:lvlText w:val="•"/>
      <w:lvlJc w:val="left"/>
      <w:pPr>
        <w:ind w:left="3943" w:hanging="200"/>
      </w:pPr>
      <w:rPr>
        <w:rFonts w:hint="default"/>
        <w:lang w:val="en-us" w:eastAsia="en-us" w:bidi="en-us"/>
      </w:rPr>
    </w:lvl>
  </w:abstractNum>
  <w:abstractNum w:abstractNumId="3">
    <w:multiLevelType w:val="hybridMultilevel"/>
    <w:lvl w:ilvl="0">
      <w:start w:val="0"/>
      <w:numFmt w:val="bullet"/>
      <w:lvlText w:val="–"/>
      <w:lvlJc w:val="left"/>
      <w:pPr>
        <w:ind w:left="390" w:hanging="240"/>
      </w:pPr>
      <w:rPr>
        <w:rFonts w:hint="default" w:ascii="Arial" w:hAnsi="Arial" w:eastAsia="Arial" w:cs="Arial"/>
        <w:w w:val="106"/>
        <w:sz w:val="16"/>
        <w:szCs w:val="16"/>
        <w:lang w:val="en-us" w:eastAsia="en-us" w:bidi="en-us"/>
      </w:rPr>
    </w:lvl>
    <w:lvl w:ilvl="1">
      <w:start w:val="0"/>
      <w:numFmt w:val="bullet"/>
      <w:lvlText w:val="•"/>
      <w:lvlJc w:val="left"/>
      <w:pPr>
        <w:ind w:left="859" w:hanging="240"/>
      </w:pPr>
      <w:rPr>
        <w:rFonts w:hint="default"/>
        <w:lang w:val="en-us" w:eastAsia="en-us" w:bidi="en-us"/>
      </w:rPr>
    </w:lvl>
    <w:lvl w:ilvl="2">
      <w:start w:val="0"/>
      <w:numFmt w:val="bullet"/>
      <w:lvlText w:val="•"/>
      <w:lvlJc w:val="left"/>
      <w:pPr>
        <w:ind w:left="1319" w:hanging="240"/>
      </w:pPr>
      <w:rPr>
        <w:rFonts w:hint="default"/>
        <w:lang w:val="en-us" w:eastAsia="en-us" w:bidi="en-us"/>
      </w:rPr>
    </w:lvl>
    <w:lvl w:ilvl="3">
      <w:start w:val="0"/>
      <w:numFmt w:val="bullet"/>
      <w:lvlText w:val="•"/>
      <w:lvlJc w:val="left"/>
      <w:pPr>
        <w:ind w:left="1779" w:hanging="240"/>
      </w:pPr>
      <w:rPr>
        <w:rFonts w:hint="default"/>
        <w:lang w:val="en-us" w:eastAsia="en-us" w:bidi="en-us"/>
      </w:rPr>
    </w:lvl>
    <w:lvl w:ilvl="4">
      <w:start w:val="0"/>
      <w:numFmt w:val="bullet"/>
      <w:lvlText w:val="•"/>
      <w:lvlJc w:val="left"/>
      <w:pPr>
        <w:ind w:left="2239" w:hanging="240"/>
      </w:pPr>
      <w:rPr>
        <w:rFonts w:hint="default"/>
        <w:lang w:val="en-us" w:eastAsia="en-us" w:bidi="en-us"/>
      </w:rPr>
    </w:lvl>
    <w:lvl w:ilvl="5">
      <w:start w:val="0"/>
      <w:numFmt w:val="bullet"/>
      <w:lvlText w:val="•"/>
      <w:lvlJc w:val="left"/>
      <w:pPr>
        <w:ind w:left="2699" w:hanging="240"/>
      </w:pPr>
      <w:rPr>
        <w:rFonts w:hint="default"/>
        <w:lang w:val="en-us" w:eastAsia="en-us" w:bidi="en-us"/>
      </w:rPr>
    </w:lvl>
    <w:lvl w:ilvl="6">
      <w:start w:val="0"/>
      <w:numFmt w:val="bullet"/>
      <w:lvlText w:val="•"/>
      <w:lvlJc w:val="left"/>
      <w:pPr>
        <w:ind w:left="3159" w:hanging="240"/>
      </w:pPr>
      <w:rPr>
        <w:rFonts w:hint="default"/>
        <w:lang w:val="en-us" w:eastAsia="en-us" w:bidi="en-us"/>
      </w:rPr>
    </w:lvl>
    <w:lvl w:ilvl="7">
      <w:start w:val="0"/>
      <w:numFmt w:val="bullet"/>
      <w:lvlText w:val="•"/>
      <w:lvlJc w:val="left"/>
      <w:pPr>
        <w:ind w:left="3619" w:hanging="240"/>
      </w:pPr>
      <w:rPr>
        <w:rFonts w:hint="default"/>
        <w:lang w:val="en-us" w:eastAsia="en-us" w:bidi="en-us"/>
      </w:rPr>
    </w:lvl>
    <w:lvl w:ilvl="8">
      <w:start w:val="0"/>
      <w:numFmt w:val="bullet"/>
      <w:lvlText w:val="•"/>
      <w:lvlJc w:val="left"/>
      <w:pPr>
        <w:ind w:left="4079" w:hanging="240"/>
      </w:pPr>
      <w:rPr>
        <w:rFonts w:hint="default"/>
        <w:lang w:val="en-us" w:eastAsia="en-us" w:bidi="en-us"/>
      </w:rPr>
    </w:lvl>
  </w:abstractNum>
  <w:abstractNum w:abstractNumId="2">
    <w:multiLevelType w:val="hybridMultilevel"/>
    <w:lvl w:ilvl="0">
      <w:start w:val="0"/>
      <w:numFmt w:val="bullet"/>
      <w:lvlText w:val="•"/>
      <w:lvlJc w:val="left"/>
      <w:pPr>
        <w:ind w:left="382" w:hanging="227"/>
      </w:pPr>
      <w:rPr>
        <w:rFonts w:hint="default" w:ascii="Arial" w:hAnsi="Arial" w:eastAsia="Arial" w:cs="Arial"/>
        <w:w w:val="102"/>
        <w:sz w:val="16"/>
        <w:szCs w:val="16"/>
        <w:lang w:val="en-us" w:eastAsia="en-us" w:bidi="en-us"/>
      </w:rPr>
    </w:lvl>
    <w:lvl w:ilvl="1">
      <w:start w:val="0"/>
      <w:numFmt w:val="bullet"/>
      <w:lvlText w:val="•"/>
      <w:lvlJc w:val="left"/>
      <w:pPr>
        <w:ind w:left="837" w:hanging="227"/>
      </w:pPr>
      <w:rPr>
        <w:rFonts w:hint="default"/>
        <w:lang w:val="en-us" w:eastAsia="en-us" w:bidi="en-us"/>
      </w:rPr>
    </w:lvl>
    <w:lvl w:ilvl="2">
      <w:start w:val="0"/>
      <w:numFmt w:val="bullet"/>
      <w:lvlText w:val="•"/>
      <w:lvlJc w:val="left"/>
      <w:pPr>
        <w:ind w:left="1295" w:hanging="227"/>
      </w:pPr>
      <w:rPr>
        <w:rFonts w:hint="default"/>
        <w:lang w:val="en-us" w:eastAsia="en-us" w:bidi="en-us"/>
      </w:rPr>
    </w:lvl>
    <w:lvl w:ilvl="3">
      <w:start w:val="0"/>
      <w:numFmt w:val="bullet"/>
      <w:lvlText w:val="•"/>
      <w:lvlJc w:val="left"/>
      <w:pPr>
        <w:ind w:left="1752" w:hanging="227"/>
      </w:pPr>
      <w:rPr>
        <w:rFonts w:hint="default"/>
        <w:lang w:val="en-us" w:eastAsia="en-us" w:bidi="en-us"/>
      </w:rPr>
    </w:lvl>
    <w:lvl w:ilvl="4">
      <w:start w:val="0"/>
      <w:numFmt w:val="bullet"/>
      <w:lvlText w:val="•"/>
      <w:lvlJc w:val="left"/>
      <w:pPr>
        <w:ind w:left="2210" w:hanging="227"/>
      </w:pPr>
      <w:rPr>
        <w:rFonts w:hint="default"/>
        <w:lang w:val="en-us" w:eastAsia="en-us" w:bidi="en-us"/>
      </w:rPr>
    </w:lvl>
    <w:lvl w:ilvl="5">
      <w:start w:val="0"/>
      <w:numFmt w:val="bullet"/>
      <w:lvlText w:val="•"/>
      <w:lvlJc w:val="left"/>
      <w:pPr>
        <w:ind w:left="2667" w:hanging="227"/>
      </w:pPr>
      <w:rPr>
        <w:rFonts w:hint="default"/>
        <w:lang w:val="en-us" w:eastAsia="en-us" w:bidi="en-us"/>
      </w:rPr>
    </w:lvl>
    <w:lvl w:ilvl="6">
      <w:start w:val="0"/>
      <w:numFmt w:val="bullet"/>
      <w:lvlText w:val="•"/>
      <w:lvlJc w:val="left"/>
      <w:pPr>
        <w:ind w:left="3125" w:hanging="227"/>
      </w:pPr>
      <w:rPr>
        <w:rFonts w:hint="default"/>
        <w:lang w:val="en-us" w:eastAsia="en-us" w:bidi="en-us"/>
      </w:rPr>
    </w:lvl>
    <w:lvl w:ilvl="7">
      <w:start w:val="0"/>
      <w:numFmt w:val="bullet"/>
      <w:lvlText w:val="•"/>
      <w:lvlJc w:val="left"/>
      <w:pPr>
        <w:ind w:left="3582" w:hanging="227"/>
      </w:pPr>
      <w:rPr>
        <w:rFonts w:hint="default"/>
        <w:lang w:val="en-us" w:eastAsia="en-us" w:bidi="en-us"/>
      </w:rPr>
    </w:lvl>
    <w:lvl w:ilvl="8">
      <w:start w:val="0"/>
      <w:numFmt w:val="bullet"/>
      <w:lvlText w:val="•"/>
      <w:lvlJc w:val="left"/>
      <w:pPr>
        <w:ind w:left="4040" w:hanging="227"/>
      </w:pPr>
      <w:rPr>
        <w:rFonts w:hint="default"/>
        <w:lang w:val="en-us" w:eastAsia="en-us" w:bidi="en-us"/>
      </w:rPr>
    </w:lvl>
  </w:abstractNum>
  <w:abstractNum w:abstractNumId="1">
    <w:multiLevelType w:val="hybridMultilevel"/>
    <w:lvl w:ilvl="0">
      <w:start w:val="0"/>
      <w:numFmt w:val="bullet"/>
      <w:lvlText w:val="•"/>
      <w:lvlJc w:val="left"/>
      <w:pPr>
        <w:ind w:left="382" w:hanging="227"/>
      </w:pPr>
      <w:rPr>
        <w:rFonts w:hint="default" w:ascii="Arial" w:hAnsi="Arial" w:eastAsia="Arial" w:cs="Arial"/>
        <w:w w:val="102"/>
        <w:sz w:val="16"/>
        <w:szCs w:val="16"/>
        <w:lang w:val="en-us" w:eastAsia="en-us" w:bidi="en-us"/>
      </w:rPr>
    </w:lvl>
    <w:lvl w:ilvl="1">
      <w:start w:val="0"/>
      <w:numFmt w:val="bullet"/>
      <w:lvlText w:val="•"/>
      <w:lvlJc w:val="left"/>
      <w:pPr>
        <w:ind w:left="837" w:hanging="227"/>
      </w:pPr>
      <w:rPr>
        <w:rFonts w:hint="default"/>
        <w:lang w:val="en-us" w:eastAsia="en-us" w:bidi="en-us"/>
      </w:rPr>
    </w:lvl>
    <w:lvl w:ilvl="2">
      <w:start w:val="0"/>
      <w:numFmt w:val="bullet"/>
      <w:lvlText w:val="•"/>
      <w:lvlJc w:val="left"/>
      <w:pPr>
        <w:ind w:left="1295" w:hanging="227"/>
      </w:pPr>
      <w:rPr>
        <w:rFonts w:hint="default"/>
        <w:lang w:val="en-us" w:eastAsia="en-us" w:bidi="en-us"/>
      </w:rPr>
    </w:lvl>
    <w:lvl w:ilvl="3">
      <w:start w:val="0"/>
      <w:numFmt w:val="bullet"/>
      <w:lvlText w:val="•"/>
      <w:lvlJc w:val="left"/>
      <w:pPr>
        <w:ind w:left="1752" w:hanging="227"/>
      </w:pPr>
      <w:rPr>
        <w:rFonts w:hint="default"/>
        <w:lang w:val="en-us" w:eastAsia="en-us" w:bidi="en-us"/>
      </w:rPr>
    </w:lvl>
    <w:lvl w:ilvl="4">
      <w:start w:val="0"/>
      <w:numFmt w:val="bullet"/>
      <w:lvlText w:val="•"/>
      <w:lvlJc w:val="left"/>
      <w:pPr>
        <w:ind w:left="2210" w:hanging="227"/>
      </w:pPr>
      <w:rPr>
        <w:rFonts w:hint="default"/>
        <w:lang w:val="en-us" w:eastAsia="en-us" w:bidi="en-us"/>
      </w:rPr>
    </w:lvl>
    <w:lvl w:ilvl="5">
      <w:start w:val="0"/>
      <w:numFmt w:val="bullet"/>
      <w:lvlText w:val="•"/>
      <w:lvlJc w:val="left"/>
      <w:pPr>
        <w:ind w:left="2667" w:hanging="227"/>
      </w:pPr>
      <w:rPr>
        <w:rFonts w:hint="default"/>
        <w:lang w:val="en-us" w:eastAsia="en-us" w:bidi="en-us"/>
      </w:rPr>
    </w:lvl>
    <w:lvl w:ilvl="6">
      <w:start w:val="0"/>
      <w:numFmt w:val="bullet"/>
      <w:lvlText w:val="•"/>
      <w:lvlJc w:val="left"/>
      <w:pPr>
        <w:ind w:left="3125" w:hanging="227"/>
      </w:pPr>
      <w:rPr>
        <w:rFonts w:hint="default"/>
        <w:lang w:val="en-us" w:eastAsia="en-us" w:bidi="en-us"/>
      </w:rPr>
    </w:lvl>
    <w:lvl w:ilvl="7">
      <w:start w:val="0"/>
      <w:numFmt w:val="bullet"/>
      <w:lvlText w:val="•"/>
      <w:lvlJc w:val="left"/>
      <w:pPr>
        <w:ind w:left="3582" w:hanging="227"/>
      </w:pPr>
      <w:rPr>
        <w:rFonts w:hint="default"/>
        <w:lang w:val="en-us" w:eastAsia="en-us" w:bidi="en-us"/>
      </w:rPr>
    </w:lvl>
    <w:lvl w:ilvl="8">
      <w:start w:val="0"/>
      <w:numFmt w:val="bullet"/>
      <w:lvlText w:val="•"/>
      <w:lvlJc w:val="left"/>
      <w:pPr>
        <w:ind w:left="4040" w:hanging="227"/>
      </w:pPr>
      <w:rPr>
        <w:rFonts w:hint="default"/>
        <w:lang w:val="en-us" w:eastAsia="en-us" w:bidi="en-us"/>
      </w:rPr>
    </w:lvl>
  </w:abstractNum>
  <w:abstractNum w:abstractNumId="0">
    <w:multiLevelType w:val="hybridMultilevel"/>
    <w:lvl w:ilvl="0">
      <w:start w:val="0"/>
      <w:numFmt w:val="bullet"/>
      <w:lvlText w:val="•"/>
      <w:lvlJc w:val="left"/>
      <w:pPr>
        <w:ind w:left="382" w:hanging="227"/>
      </w:pPr>
      <w:rPr>
        <w:rFonts w:hint="default" w:ascii="Arial" w:hAnsi="Arial" w:eastAsia="Arial" w:cs="Arial"/>
        <w:w w:val="102"/>
        <w:sz w:val="16"/>
        <w:szCs w:val="16"/>
        <w:lang w:val="en-us" w:eastAsia="en-us" w:bidi="en-us"/>
      </w:rPr>
    </w:lvl>
    <w:lvl w:ilvl="1">
      <w:start w:val="0"/>
      <w:numFmt w:val="bullet"/>
      <w:lvlText w:val="•"/>
      <w:lvlJc w:val="left"/>
      <w:pPr>
        <w:ind w:left="837" w:hanging="227"/>
      </w:pPr>
      <w:rPr>
        <w:rFonts w:hint="default"/>
        <w:lang w:val="en-us" w:eastAsia="en-us" w:bidi="en-us"/>
      </w:rPr>
    </w:lvl>
    <w:lvl w:ilvl="2">
      <w:start w:val="0"/>
      <w:numFmt w:val="bullet"/>
      <w:lvlText w:val="•"/>
      <w:lvlJc w:val="left"/>
      <w:pPr>
        <w:ind w:left="1295" w:hanging="227"/>
      </w:pPr>
      <w:rPr>
        <w:rFonts w:hint="default"/>
        <w:lang w:val="en-us" w:eastAsia="en-us" w:bidi="en-us"/>
      </w:rPr>
    </w:lvl>
    <w:lvl w:ilvl="3">
      <w:start w:val="0"/>
      <w:numFmt w:val="bullet"/>
      <w:lvlText w:val="•"/>
      <w:lvlJc w:val="left"/>
      <w:pPr>
        <w:ind w:left="1752" w:hanging="227"/>
      </w:pPr>
      <w:rPr>
        <w:rFonts w:hint="default"/>
        <w:lang w:val="en-us" w:eastAsia="en-us" w:bidi="en-us"/>
      </w:rPr>
    </w:lvl>
    <w:lvl w:ilvl="4">
      <w:start w:val="0"/>
      <w:numFmt w:val="bullet"/>
      <w:lvlText w:val="•"/>
      <w:lvlJc w:val="left"/>
      <w:pPr>
        <w:ind w:left="2210" w:hanging="227"/>
      </w:pPr>
      <w:rPr>
        <w:rFonts w:hint="default"/>
        <w:lang w:val="en-us" w:eastAsia="en-us" w:bidi="en-us"/>
      </w:rPr>
    </w:lvl>
    <w:lvl w:ilvl="5">
      <w:start w:val="0"/>
      <w:numFmt w:val="bullet"/>
      <w:lvlText w:val="•"/>
      <w:lvlJc w:val="left"/>
      <w:pPr>
        <w:ind w:left="2667" w:hanging="227"/>
      </w:pPr>
      <w:rPr>
        <w:rFonts w:hint="default"/>
        <w:lang w:val="en-us" w:eastAsia="en-us" w:bidi="en-us"/>
      </w:rPr>
    </w:lvl>
    <w:lvl w:ilvl="6">
      <w:start w:val="0"/>
      <w:numFmt w:val="bullet"/>
      <w:lvlText w:val="•"/>
      <w:lvlJc w:val="left"/>
      <w:pPr>
        <w:ind w:left="3125" w:hanging="227"/>
      </w:pPr>
      <w:rPr>
        <w:rFonts w:hint="default"/>
        <w:lang w:val="en-us" w:eastAsia="en-us" w:bidi="en-us"/>
      </w:rPr>
    </w:lvl>
    <w:lvl w:ilvl="7">
      <w:start w:val="0"/>
      <w:numFmt w:val="bullet"/>
      <w:lvlText w:val="•"/>
      <w:lvlJc w:val="left"/>
      <w:pPr>
        <w:ind w:left="3582" w:hanging="227"/>
      </w:pPr>
      <w:rPr>
        <w:rFonts w:hint="default"/>
        <w:lang w:val="en-us" w:eastAsia="en-us" w:bidi="en-us"/>
      </w:rPr>
    </w:lvl>
    <w:lvl w:ilvl="8">
      <w:start w:val="0"/>
      <w:numFmt w:val="bullet"/>
      <w:lvlText w:val="•"/>
      <w:lvlJc w:val="left"/>
      <w:pPr>
        <w:ind w:left="4040" w:hanging="227"/>
      </w:pPr>
      <w:rPr>
        <w:rFonts w:hint="default"/>
        <w:lang w:val="en-us" w:eastAsia="en-us" w:bidi="en-us"/>
      </w:rPr>
    </w:lvl>
  </w:abstract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en-us"/>
    </w:rPr>
  </w:style>
  <w:style w:styleId="BodyText" w:type="paragraph">
    <w:name w:val="Body Text"/>
    <w:basedOn w:val="Normal"/>
    <w:uiPriority w:val="1"/>
    <w:qFormat/>
    <w:pPr>
      <w:ind w:left="150"/>
    </w:pPr>
    <w:rPr>
      <w:rFonts w:ascii="Arial" w:hAnsi="Arial" w:eastAsia="Arial" w:cs="Arial"/>
      <w:sz w:val="16"/>
      <w:szCs w:val="16"/>
      <w:lang w:val="en-us" w:eastAsia="en-us" w:bidi="en-us"/>
    </w:rPr>
  </w:style>
  <w:style w:styleId="Heading1" w:type="paragraph">
    <w:name w:val="Heading 1"/>
    <w:basedOn w:val="Normal"/>
    <w:uiPriority w:val="1"/>
    <w:qFormat/>
    <w:pPr>
      <w:spacing w:before="144"/>
      <w:ind w:left="150"/>
      <w:outlineLvl w:val="1"/>
    </w:pPr>
    <w:rPr>
      <w:rFonts w:ascii="Arial" w:hAnsi="Arial" w:eastAsia="Arial" w:cs="Arial"/>
      <w:sz w:val="26"/>
      <w:szCs w:val="26"/>
      <w:lang w:val="en-us" w:eastAsia="en-us" w:bidi="en-us"/>
    </w:rPr>
  </w:style>
  <w:style w:styleId="Heading2" w:type="paragraph">
    <w:name w:val="Heading 2"/>
    <w:basedOn w:val="Normal"/>
    <w:uiPriority w:val="1"/>
    <w:qFormat/>
    <w:pPr>
      <w:ind w:left="150"/>
      <w:outlineLvl w:val="2"/>
    </w:pPr>
    <w:rPr>
      <w:rFonts w:ascii="Arial Black" w:hAnsi="Arial Black" w:eastAsia="Arial Black" w:cs="Arial Black"/>
      <w:b/>
      <w:bCs/>
      <w:sz w:val="16"/>
      <w:szCs w:val="16"/>
      <w:lang w:val="en-us" w:eastAsia="en-us" w:bidi="en-us"/>
    </w:rPr>
  </w:style>
  <w:style w:styleId="ListParagraph" w:type="paragraph">
    <w:name w:val="List Paragraph"/>
    <w:basedOn w:val="Normal"/>
    <w:uiPriority w:val="1"/>
    <w:qFormat/>
    <w:pPr>
      <w:spacing w:before="101"/>
      <w:ind w:left="320" w:hanging="170"/>
    </w:pPr>
    <w:rPr>
      <w:rFonts w:ascii="Arial" w:hAnsi="Arial" w:eastAsia="Arial" w:cs="Arial"/>
      <w:lang w:val="en-us" w:eastAsia="en-us" w:bidi="en-us"/>
    </w:rPr>
  </w:style>
  <w:style w:styleId="TableParagraph" w:type="paragraph">
    <w:name w:val="Table Paragraph"/>
    <w:basedOn w:val="Normal"/>
    <w:uiPriority w:val="1"/>
    <w:qFormat/>
    <w:pPr>
      <w:ind w:left="155"/>
    </w:pPr>
    <w:rPr>
      <w:rFonts w:ascii="Arial" w:hAnsi="Arial" w:eastAsia="Arial" w:cs="Arial"/>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hyperlink" Target="https://immunisationhandbook.health.gov.au/" TargetMode="External"/><Relationship Id="rId8" Type="http://schemas.openxmlformats.org/officeDocument/2006/relationships/hyperlink" Target="https://www.health.gov.au/health-topics/immunisation?utm_source=health.gov.au&amp;amp;utm_medium=redirect&amp;amp;utm_campaign=digital_transformation&amp;amp;utm_content=immunisation" TargetMode="External"/><Relationship Id="rId9" Type="http://schemas.openxmlformats.org/officeDocument/2006/relationships/image" Target="media/image3.png"/><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2020-06-03T02:53:19Z</dcterms:created>
  <dcterms:modified xsi:type="dcterms:W3CDTF">2020-06-03T02:53:19Z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2020-05-29T00:00:00Z</vt:filetime>
  </property>
  <property fmtid="{D5CDD505-2E9C-101B-9397-08002B2CF9AE}" pid="3" name="Creator">
    <vt:lpwstr>Adobe InDesign 15.0 (Macintosh)</vt:lpwstr>
  </property>
  <property fmtid="{D5CDD505-2E9C-101B-9397-08002B2CF9AE}" pid="4" name="LastSaved">
    <vt:filetime>2020-06-03T00:00:00Z</vt:filetime>
  </property>
</Properties>
</file>