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us Gov and ATAGI header"/>
      </w:tblPr>
      <w:tblGrid>
        <w:gridCol w:w="3212"/>
        <w:gridCol w:w="6884"/>
      </w:tblGrid>
      <w:tr w:rsidR="004F3AA0" w14:paraId="1EB63BB1" w14:textId="77777777" w:rsidTr="00083432">
        <w:trPr>
          <w:trHeight w:val="1831"/>
          <w:tblHeader/>
        </w:trPr>
        <w:tc>
          <w:tcPr>
            <w:tcW w:w="3226" w:type="dxa"/>
            <w:shd w:val="clear" w:color="auto" w:fill="55259E"/>
            <w:vAlign w:val="center"/>
          </w:tcPr>
          <w:p w14:paraId="1EB63BAF" w14:textId="77777777" w:rsidR="004F3AA0" w:rsidRPr="004F3AA0" w:rsidRDefault="004F3AA0" w:rsidP="004F3AA0">
            <w:r w:rsidRPr="004F3AA0">
              <w:rPr>
                <w:noProof/>
              </w:rPr>
              <w:drawing>
                <wp:inline distT="0" distB="0" distL="0" distR="0" wp14:anchorId="1EB63BCA" wp14:editId="1EB63BCB">
                  <wp:extent cx="1477010" cy="979170"/>
                  <wp:effectExtent l="0" t="0" r="8890" b="0"/>
                  <wp:docPr id="1" name="Picture 1" title="Aus Gov - Healt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_stacked_whit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979170"/>
                          </a:xfrm>
                          <a:prstGeom prst="rect">
                            <a:avLst/>
                          </a:prstGeom>
                          <a:solidFill>
                            <a:srgbClr val="57259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shd w:val="clear" w:color="auto" w:fill="55259E"/>
            <w:vAlign w:val="center"/>
          </w:tcPr>
          <w:p w14:paraId="1EB63BB0" w14:textId="77777777" w:rsidR="003021C5" w:rsidRPr="00573A25" w:rsidRDefault="003021C5" w:rsidP="00573A25">
            <w:pPr>
              <w:ind w:right="175"/>
              <w:jc w:val="right"/>
              <w:rPr>
                <w:color w:val="FFFFFF" w:themeColor="background1"/>
                <w:sz w:val="28"/>
              </w:rPr>
            </w:pPr>
            <w:r w:rsidRPr="003021C5">
              <w:rPr>
                <w:color w:val="FFFFFF" w:themeColor="background1"/>
                <w:sz w:val="28"/>
              </w:rPr>
              <w:t>AUST</w:t>
            </w:r>
            <w:r w:rsidR="00573A25">
              <w:rPr>
                <w:color w:val="FFFFFF" w:themeColor="background1"/>
                <w:sz w:val="28"/>
              </w:rPr>
              <w:t xml:space="preserve">RALIAN TECHNICAL ADVISORY GROUP </w:t>
            </w:r>
            <w:r w:rsidRPr="003021C5">
              <w:rPr>
                <w:color w:val="FFFFFF" w:themeColor="background1"/>
                <w:sz w:val="28"/>
              </w:rPr>
              <w:t>ON</w:t>
            </w:r>
            <w:r w:rsidR="00573A25">
              <w:rPr>
                <w:color w:val="FFFFFF" w:themeColor="background1"/>
                <w:sz w:val="28"/>
              </w:rPr>
              <w:t xml:space="preserve"> </w:t>
            </w:r>
            <w:r w:rsidRPr="003021C5">
              <w:rPr>
                <w:color w:val="FFFFFF" w:themeColor="background1"/>
                <w:sz w:val="28"/>
              </w:rPr>
              <w:t>IMMUNISATION (ATAGI) |</w:t>
            </w:r>
            <w:r w:rsidRPr="003021C5">
              <w:rPr>
                <w:b/>
                <w:color w:val="FFFFFF" w:themeColor="background1"/>
                <w:sz w:val="28"/>
              </w:rPr>
              <w:t xml:space="preserve"> CLINICAL ADVICE</w:t>
            </w:r>
          </w:p>
        </w:tc>
      </w:tr>
      <w:tr w:rsidR="004F3AA0" w14:paraId="1EB63BB4" w14:textId="77777777" w:rsidTr="003021C5">
        <w:tc>
          <w:tcPr>
            <w:tcW w:w="3226" w:type="dxa"/>
            <w:shd w:val="clear" w:color="auto" w:fill="55259E"/>
          </w:tcPr>
          <w:p w14:paraId="1EB63BB2" w14:textId="77777777" w:rsidR="004F3AA0" w:rsidRPr="004F3AA0" w:rsidRDefault="004F3AA0" w:rsidP="004F3AA0"/>
        </w:tc>
        <w:tc>
          <w:tcPr>
            <w:tcW w:w="6980" w:type="dxa"/>
            <w:shd w:val="clear" w:color="auto" w:fill="55259E"/>
            <w:vAlign w:val="center"/>
          </w:tcPr>
          <w:p w14:paraId="1EB63BB3" w14:textId="6CF2BF51" w:rsidR="004F3AA0" w:rsidRPr="003021C5" w:rsidRDefault="003021C5" w:rsidP="00A677C8">
            <w:pPr>
              <w:pStyle w:val="BodyText"/>
              <w:ind w:right="175"/>
              <w:jc w:val="right"/>
              <w:rPr>
                <w:b/>
                <w:color w:val="FFFFFF" w:themeColor="background1"/>
              </w:rPr>
            </w:pPr>
            <w:r w:rsidRPr="003021C5">
              <w:rPr>
                <w:b/>
                <w:color w:val="FFFFFF" w:themeColor="background1"/>
              </w:rPr>
              <w:t xml:space="preserve">Issue date: </w:t>
            </w:r>
            <w:r w:rsidR="00EC6027">
              <w:rPr>
                <w:b/>
                <w:color w:val="FFFFFF" w:themeColor="background1"/>
              </w:rPr>
              <w:t>1</w:t>
            </w:r>
            <w:r w:rsidR="008511BE">
              <w:rPr>
                <w:b/>
                <w:color w:val="FFFFFF" w:themeColor="background1"/>
              </w:rPr>
              <w:t xml:space="preserve"> </w:t>
            </w:r>
            <w:r w:rsidR="00A677C8">
              <w:rPr>
                <w:b/>
                <w:color w:val="FFFFFF" w:themeColor="background1"/>
              </w:rPr>
              <w:t xml:space="preserve">July </w:t>
            </w:r>
            <w:r w:rsidR="000A5062">
              <w:rPr>
                <w:b/>
                <w:color w:val="FFFFFF" w:themeColor="background1"/>
              </w:rPr>
              <w:t>2020</w:t>
            </w:r>
          </w:p>
        </w:tc>
      </w:tr>
      <w:tr w:rsidR="004F3AA0" w14:paraId="1EB63BB7" w14:textId="77777777" w:rsidTr="003021C5">
        <w:trPr>
          <w:trHeight w:val="437"/>
        </w:trPr>
        <w:tc>
          <w:tcPr>
            <w:tcW w:w="3226" w:type="dxa"/>
            <w:shd w:val="clear" w:color="auto" w:fill="auto"/>
          </w:tcPr>
          <w:p w14:paraId="1EB63BB5" w14:textId="77777777" w:rsidR="004F3AA0" w:rsidRPr="004F3AA0" w:rsidRDefault="004F3AA0" w:rsidP="004F3AA0"/>
        </w:tc>
        <w:tc>
          <w:tcPr>
            <w:tcW w:w="6980" w:type="dxa"/>
            <w:shd w:val="clear" w:color="auto" w:fill="auto"/>
          </w:tcPr>
          <w:p w14:paraId="1EB63BB6" w14:textId="77777777" w:rsidR="004F3AA0" w:rsidRPr="004F3AA0" w:rsidRDefault="004F3AA0" w:rsidP="004F3AA0"/>
        </w:tc>
      </w:tr>
    </w:tbl>
    <w:p w14:paraId="1EB63BB8" w14:textId="58A27ED4" w:rsidR="005E0FAB" w:rsidRPr="00AC23C0" w:rsidRDefault="00631A43" w:rsidP="00826860">
      <w:pPr>
        <w:pStyle w:val="Heading1Black"/>
        <w:spacing w:after="0"/>
        <w:rPr>
          <w:sz w:val="28"/>
          <w:szCs w:val="30"/>
        </w:rPr>
      </w:pPr>
      <w:r w:rsidRPr="00631A43">
        <w:rPr>
          <w:sz w:val="28"/>
          <w:szCs w:val="30"/>
        </w:rPr>
        <w:t>ATAGI clinical advice</w:t>
      </w:r>
      <w:r w:rsidR="00826860" w:rsidRPr="00AC23C0">
        <w:rPr>
          <w:sz w:val="28"/>
          <w:szCs w:val="30"/>
        </w:rPr>
        <w:t xml:space="preserve"> ON </w:t>
      </w:r>
      <w:r w:rsidR="00255E6D" w:rsidRPr="00255E6D">
        <w:rPr>
          <w:sz w:val="28"/>
          <w:szCs w:val="30"/>
        </w:rPr>
        <w:t xml:space="preserve">CHANGES TO VACCINE </w:t>
      </w:r>
      <w:r>
        <w:rPr>
          <w:sz w:val="28"/>
          <w:szCs w:val="30"/>
        </w:rPr>
        <w:t>RECOMMENDATIONS AND FUNDING</w:t>
      </w:r>
      <w:r w:rsidRPr="00255E6D">
        <w:rPr>
          <w:sz w:val="28"/>
          <w:szCs w:val="30"/>
        </w:rPr>
        <w:t xml:space="preserve"> </w:t>
      </w:r>
      <w:r w:rsidR="000354E7">
        <w:rPr>
          <w:sz w:val="28"/>
          <w:szCs w:val="30"/>
        </w:rPr>
        <w:t xml:space="preserve">for older </w:t>
      </w:r>
      <w:r w:rsidR="00AB5B3B">
        <w:rPr>
          <w:sz w:val="28"/>
          <w:szCs w:val="30"/>
        </w:rPr>
        <w:t>non-ind</w:t>
      </w:r>
      <w:r w:rsidR="00122CA2">
        <w:rPr>
          <w:sz w:val="28"/>
          <w:szCs w:val="30"/>
        </w:rPr>
        <w:t>i</w:t>
      </w:r>
      <w:r w:rsidR="00AB5B3B">
        <w:rPr>
          <w:sz w:val="28"/>
          <w:szCs w:val="30"/>
        </w:rPr>
        <w:t>g</w:t>
      </w:r>
      <w:r w:rsidR="00122CA2">
        <w:rPr>
          <w:sz w:val="28"/>
          <w:szCs w:val="30"/>
        </w:rPr>
        <w:t>E</w:t>
      </w:r>
      <w:r w:rsidR="00AB5B3B">
        <w:rPr>
          <w:sz w:val="28"/>
          <w:szCs w:val="30"/>
        </w:rPr>
        <w:t xml:space="preserve">nous </w:t>
      </w:r>
      <w:r w:rsidR="000354E7">
        <w:rPr>
          <w:sz w:val="28"/>
          <w:szCs w:val="30"/>
        </w:rPr>
        <w:t xml:space="preserve">adults from </w:t>
      </w:r>
      <w:r>
        <w:rPr>
          <w:sz w:val="28"/>
          <w:szCs w:val="30"/>
        </w:rPr>
        <w:t xml:space="preserve">1 </w:t>
      </w:r>
      <w:r w:rsidR="000354E7">
        <w:rPr>
          <w:sz w:val="28"/>
          <w:szCs w:val="30"/>
        </w:rPr>
        <w:t>july 2020</w:t>
      </w:r>
    </w:p>
    <w:p w14:paraId="1EB63BB9" w14:textId="42E9AE42" w:rsidR="006B5200" w:rsidRPr="00AC23C0" w:rsidRDefault="006B5200" w:rsidP="007D71AA">
      <w:pPr>
        <w:pStyle w:val="Sub-bullettedlist"/>
        <w:numPr>
          <w:ilvl w:val="0"/>
          <w:numId w:val="0"/>
        </w:numPr>
        <w:spacing w:before="240"/>
        <w:ind w:left="284"/>
        <w:rPr>
          <w:szCs w:val="21"/>
        </w:rPr>
      </w:pPr>
      <w:r w:rsidRPr="00AC23C0">
        <w:rPr>
          <w:szCs w:val="21"/>
        </w:rPr>
        <w:t xml:space="preserve">It is important to read this statement in conjunction </w:t>
      </w:r>
      <w:r w:rsidR="00DE4F7A">
        <w:rPr>
          <w:szCs w:val="21"/>
        </w:rPr>
        <w:t>wit</w:t>
      </w:r>
      <w:r w:rsidR="00DE4F7A" w:rsidRPr="00AC23C0">
        <w:rPr>
          <w:szCs w:val="21"/>
        </w:rPr>
        <w:t xml:space="preserve">h The Australian Immunisation Handbook available </w:t>
      </w:r>
      <w:r w:rsidR="00DE4F7A">
        <w:rPr>
          <w:szCs w:val="21"/>
        </w:rPr>
        <w:t>at immunisationhandbook.health.gov.au</w:t>
      </w:r>
      <w:r w:rsidR="00E029C1">
        <w:rPr>
          <w:szCs w:val="21"/>
        </w:rPr>
        <w:t xml:space="preserve"> </w:t>
      </w:r>
      <w:r w:rsidR="00E029C1" w:rsidRPr="00E029C1">
        <w:rPr>
          <w:szCs w:val="21"/>
        </w:rPr>
        <w:t>and other related ATAGI statements on NIP schedule changes from 1 July 2020</w:t>
      </w:r>
    </w:p>
    <w:p w14:paraId="1EB63BBA" w14:textId="77777777" w:rsidR="005E0FAB" w:rsidRPr="00B62BEF" w:rsidRDefault="00B64B14" w:rsidP="005E0FAB">
      <w:pPr>
        <w:pStyle w:val="Heading2"/>
        <w:rPr>
          <w:sz w:val="18"/>
          <w:szCs w:val="18"/>
          <w:lang w:eastAsia="en-US"/>
        </w:rPr>
      </w:pPr>
      <w:r w:rsidRPr="00B62BEF">
        <w:rPr>
          <w:sz w:val="18"/>
          <w:szCs w:val="18"/>
          <w:lang w:eastAsia="en-US"/>
        </w:rPr>
        <w:t>Overview of</w:t>
      </w:r>
      <w:r w:rsidR="005E0FAB" w:rsidRPr="00B62BEF">
        <w:rPr>
          <w:sz w:val="18"/>
          <w:szCs w:val="18"/>
          <w:lang w:eastAsia="en-US"/>
        </w:rPr>
        <w:t xml:space="preserve"> key </w:t>
      </w:r>
      <w:r w:rsidR="00B04C02" w:rsidRPr="00B62BEF">
        <w:rPr>
          <w:sz w:val="18"/>
          <w:szCs w:val="18"/>
          <w:lang w:eastAsia="en-US"/>
        </w:rPr>
        <w:t xml:space="preserve">changes to recommendations for the use of pneumococcal vaccines in </w:t>
      </w:r>
      <w:r w:rsidR="0010367E" w:rsidRPr="00B62BEF">
        <w:rPr>
          <w:sz w:val="18"/>
          <w:szCs w:val="18"/>
          <w:lang w:eastAsia="en-US"/>
        </w:rPr>
        <w:t>non-indigenous adults</w:t>
      </w:r>
      <w:r w:rsidR="00B04C02" w:rsidRPr="00B62BEF">
        <w:rPr>
          <w:sz w:val="18"/>
          <w:szCs w:val="18"/>
          <w:lang w:eastAsia="en-US"/>
        </w:rPr>
        <w:t xml:space="preserve"> from July</w:t>
      </w:r>
      <w:r w:rsidR="00826860" w:rsidRPr="00B62BEF">
        <w:rPr>
          <w:sz w:val="18"/>
          <w:szCs w:val="18"/>
          <w:lang w:eastAsia="en-US"/>
        </w:rPr>
        <w:t xml:space="preserve"> </w:t>
      </w:r>
      <w:r w:rsidR="00FF5344" w:rsidRPr="00B62BEF">
        <w:rPr>
          <w:sz w:val="18"/>
          <w:szCs w:val="18"/>
          <w:lang w:eastAsia="en-US"/>
        </w:rPr>
        <w:t>20</w:t>
      </w:r>
      <w:r w:rsidR="000A5062" w:rsidRPr="00B62BEF">
        <w:rPr>
          <w:sz w:val="18"/>
          <w:szCs w:val="18"/>
          <w:lang w:eastAsia="en-US"/>
        </w:rPr>
        <w:t>20</w:t>
      </w:r>
    </w:p>
    <w:p w14:paraId="1EB63BBB" w14:textId="40B8DB85" w:rsidR="008B27A2" w:rsidRPr="00B62BEF" w:rsidRDefault="004B4033" w:rsidP="0010367E">
      <w:pPr>
        <w:pStyle w:val="BulletedList"/>
        <w:rPr>
          <w:sz w:val="18"/>
          <w:szCs w:val="18"/>
        </w:rPr>
      </w:pPr>
      <w:r w:rsidRPr="00B62BEF">
        <w:rPr>
          <w:sz w:val="18"/>
          <w:szCs w:val="18"/>
        </w:rPr>
        <w:t xml:space="preserve">The recommended age for pneumococcal vaccination for </w:t>
      </w:r>
      <w:r w:rsidR="008B27A2" w:rsidRPr="00B62BEF">
        <w:rPr>
          <w:sz w:val="18"/>
          <w:szCs w:val="18"/>
        </w:rPr>
        <w:t xml:space="preserve">non-Indigenous </w:t>
      </w:r>
      <w:r w:rsidR="007565FC" w:rsidRPr="00B62BEF">
        <w:rPr>
          <w:sz w:val="18"/>
          <w:szCs w:val="18"/>
        </w:rPr>
        <w:t xml:space="preserve">adults </w:t>
      </w:r>
      <w:r w:rsidR="008B27A2" w:rsidRPr="00B62BEF">
        <w:rPr>
          <w:sz w:val="18"/>
          <w:szCs w:val="18"/>
        </w:rPr>
        <w:t xml:space="preserve">has been changed to </w:t>
      </w:r>
      <w:r w:rsidR="008B27A2" w:rsidRPr="00B0165B">
        <w:rPr>
          <w:b/>
          <w:sz w:val="18"/>
          <w:szCs w:val="18"/>
        </w:rPr>
        <w:t>70 years</w:t>
      </w:r>
      <w:r w:rsidR="008B27A2" w:rsidRPr="00B62BEF">
        <w:rPr>
          <w:sz w:val="18"/>
          <w:szCs w:val="18"/>
        </w:rPr>
        <w:t xml:space="preserve"> from 65 years</w:t>
      </w:r>
      <w:r w:rsidR="00AC18B5" w:rsidRPr="00B62BEF">
        <w:rPr>
          <w:sz w:val="18"/>
          <w:szCs w:val="18"/>
        </w:rPr>
        <w:t xml:space="preserve"> of age</w:t>
      </w:r>
      <w:r w:rsidR="008B27A2" w:rsidRPr="00B62BEF">
        <w:rPr>
          <w:sz w:val="18"/>
          <w:szCs w:val="18"/>
        </w:rPr>
        <w:t>.</w:t>
      </w:r>
      <w:r w:rsidR="007565FC" w:rsidRPr="00B62BEF">
        <w:rPr>
          <w:sz w:val="18"/>
          <w:szCs w:val="18"/>
        </w:rPr>
        <w:t xml:space="preserve"> </w:t>
      </w:r>
      <w:r w:rsidR="00F476A5" w:rsidRPr="00B62BEF">
        <w:rPr>
          <w:sz w:val="18"/>
          <w:szCs w:val="18"/>
        </w:rPr>
        <w:t xml:space="preserve">Refer to </w:t>
      </w:r>
      <w:r w:rsidR="00F476A5" w:rsidRPr="00B62BEF">
        <w:rPr>
          <w:sz w:val="18"/>
          <w:szCs w:val="18"/>
          <w:lang w:val="en-AU"/>
        </w:rPr>
        <w:t xml:space="preserve">the </w:t>
      </w:r>
      <w:hyperlink r:id="rId12" w:history="1">
        <w:r w:rsidR="00F476A5" w:rsidRPr="00585480">
          <w:rPr>
            <w:rStyle w:val="Hyperlink"/>
            <w:sz w:val="18"/>
            <w:szCs w:val="18"/>
            <w:lang w:val="en-AU"/>
          </w:rPr>
          <w:t>Australian Immunisation Handbook</w:t>
        </w:r>
      </w:hyperlink>
      <w:r w:rsidR="00585480" w:rsidRPr="00B62BEF">
        <w:rPr>
          <w:sz w:val="18"/>
          <w:szCs w:val="18"/>
        </w:rPr>
        <w:t>.</w:t>
      </w:r>
    </w:p>
    <w:p w14:paraId="1EB63BBC" w14:textId="6FA4391D" w:rsidR="00AC18B5" w:rsidRPr="00B62BEF" w:rsidRDefault="008B27A2" w:rsidP="0010367E">
      <w:pPr>
        <w:pStyle w:val="BulletedList"/>
        <w:rPr>
          <w:sz w:val="18"/>
          <w:szCs w:val="18"/>
        </w:rPr>
      </w:pPr>
      <w:r w:rsidRPr="00B62BEF">
        <w:rPr>
          <w:sz w:val="18"/>
          <w:szCs w:val="18"/>
        </w:rPr>
        <w:t>The vaccine now recommended for all non-</w:t>
      </w:r>
      <w:r w:rsidR="00BC4784">
        <w:rPr>
          <w:sz w:val="18"/>
          <w:szCs w:val="18"/>
        </w:rPr>
        <w:t>I</w:t>
      </w:r>
      <w:r w:rsidRPr="00B62BEF">
        <w:rPr>
          <w:sz w:val="18"/>
          <w:szCs w:val="18"/>
        </w:rPr>
        <w:t xml:space="preserve">ndigenous adults </w:t>
      </w:r>
      <w:r w:rsidR="00161675" w:rsidRPr="00B62BEF">
        <w:rPr>
          <w:sz w:val="18"/>
          <w:szCs w:val="18"/>
        </w:rPr>
        <w:t xml:space="preserve">at ≥70 years of age </w:t>
      </w:r>
      <w:r w:rsidRPr="00B62BEF">
        <w:rPr>
          <w:sz w:val="18"/>
          <w:szCs w:val="18"/>
        </w:rPr>
        <w:t>is</w:t>
      </w:r>
      <w:r w:rsidR="00EC6027" w:rsidRPr="00B62BEF">
        <w:rPr>
          <w:sz w:val="18"/>
          <w:szCs w:val="18"/>
        </w:rPr>
        <w:t xml:space="preserve"> </w:t>
      </w:r>
      <w:r w:rsidR="00AC18B5" w:rsidRPr="00B62BEF">
        <w:rPr>
          <w:sz w:val="18"/>
          <w:szCs w:val="18"/>
        </w:rPr>
        <w:t>a single</w:t>
      </w:r>
      <w:r w:rsidRPr="00B62BEF">
        <w:rPr>
          <w:sz w:val="18"/>
          <w:szCs w:val="18"/>
        </w:rPr>
        <w:t xml:space="preserve"> dose of 13vPCV (</w:t>
      </w:r>
      <w:proofErr w:type="spellStart"/>
      <w:r w:rsidRPr="00B62BEF">
        <w:rPr>
          <w:sz w:val="18"/>
          <w:szCs w:val="18"/>
        </w:rPr>
        <w:t>Prevenar</w:t>
      </w:r>
      <w:proofErr w:type="spellEnd"/>
      <w:r w:rsidRPr="00B62BEF">
        <w:rPr>
          <w:sz w:val="18"/>
          <w:szCs w:val="18"/>
        </w:rPr>
        <w:t xml:space="preserve"> 13</w:t>
      </w:r>
      <w:r w:rsidR="00DE5FDF" w:rsidRPr="00DE5FDF">
        <w:rPr>
          <w:i/>
          <w:sz w:val="18"/>
          <w:szCs w:val="18"/>
          <w:lang w:val="en-AU"/>
        </w:rPr>
        <w:t>®</w:t>
      </w:r>
      <w:r w:rsidRPr="00B62BEF">
        <w:rPr>
          <w:sz w:val="18"/>
          <w:szCs w:val="18"/>
        </w:rPr>
        <w:t xml:space="preserve">). </w:t>
      </w:r>
      <w:r w:rsidR="00AC18B5" w:rsidRPr="00B62BEF">
        <w:rPr>
          <w:sz w:val="18"/>
          <w:szCs w:val="18"/>
        </w:rPr>
        <w:t>This is funded under the NIP.</w:t>
      </w:r>
    </w:p>
    <w:p w14:paraId="1EB63BBD" w14:textId="1121E955" w:rsidR="0010367E" w:rsidRPr="00B62BEF" w:rsidRDefault="008B27A2" w:rsidP="0010367E">
      <w:pPr>
        <w:pStyle w:val="BulletedList"/>
        <w:rPr>
          <w:sz w:val="18"/>
          <w:szCs w:val="18"/>
        </w:rPr>
      </w:pPr>
      <w:r w:rsidRPr="00B62BEF">
        <w:rPr>
          <w:sz w:val="18"/>
          <w:szCs w:val="18"/>
        </w:rPr>
        <w:t>The 23vPPV is</w:t>
      </w:r>
      <w:r w:rsidR="00B5487A">
        <w:rPr>
          <w:sz w:val="18"/>
          <w:szCs w:val="18"/>
        </w:rPr>
        <w:t xml:space="preserve"> now</w:t>
      </w:r>
      <w:r w:rsidRPr="00B62BEF">
        <w:rPr>
          <w:sz w:val="18"/>
          <w:szCs w:val="18"/>
        </w:rPr>
        <w:t xml:space="preserve"> </w:t>
      </w:r>
      <w:r w:rsidRPr="00B0165B">
        <w:rPr>
          <w:sz w:val="18"/>
          <w:szCs w:val="18"/>
          <w:u w:val="single"/>
        </w:rPr>
        <w:t>only</w:t>
      </w:r>
      <w:bookmarkStart w:id="0" w:name="_GoBack"/>
      <w:r w:rsidRPr="00C63399">
        <w:rPr>
          <w:sz w:val="18"/>
          <w:szCs w:val="18"/>
        </w:rPr>
        <w:t xml:space="preserve"> </w:t>
      </w:r>
      <w:bookmarkEnd w:id="0"/>
      <w:r w:rsidRPr="00B62BEF">
        <w:rPr>
          <w:sz w:val="18"/>
          <w:szCs w:val="18"/>
        </w:rPr>
        <w:t xml:space="preserve">recommended for individuals </w:t>
      </w:r>
      <w:r w:rsidR="00EC6027" w:rsidRPr="00B62BEF">
        <w:rPr>
          <w:sz w:val="18"/>
          <w:szCs w:val="18"/>
        </w:rPr>
        <w:t xml:space="preserve">with </w:t>
      </w:r>
      <w:r w:rsidR="008930C1">
        <w:rPr>
          <w:sz w:val="18"/>
          <w:szCs w:val="18"/>
        </w:rPr>
        <w:t xml:space="preserve">risk </w:t>
      </w:r>
      <w:r w:rsidR="00EC6027" w:rsidRPr="00B62BEF">
        <w:rPr>
          <w:sz w:val="18"/>
          <w:szCs w:val="18"/>
        </w:rPr>
        <w:t>conditions</w:t>
      </w:r>
      <w:r w:rsidR="009A38CD" w:rsidRPr="00B62BEF">
        <w:rPr>
          <w:sz w:val="18"/>
          <w:szCs w:val="18"/>
        </w:rPr>
        <w:t xml:space="preserve"> associated with</w:t>
      </w:r>
      <w:r w:rsidR="00F462FA" w:rsidRPr="00B62BEF">
        <w:rPr>
          <w:sz w:val="18"/>
          <w:szCs w:val="18"/>
        </w:rPr>
        <w:t xml:space="preserve"> an</w:t>
      </w:r>
      <w:r w:rsidR="009A38CD" w:rsidRPr="00B62BEF">
        <w:rPr>
          <w:sz w:val="18"/>
          <w:szCs w:val="18"/>
        </w:rPr>
        <w:t xml:space="preserve"> increased incidence of pneumococcal disease (</w:t>
      </w:r>
      <w:r w:rsidR="00F476A5" w:rsidRPr="00B62BEF">
        <w:rPr>
          <w:sz w:val="18"/>
          <w:szCs w:val="18"/>
        </w:rPr>
        <w:t>Refer to the</w:t>
      </w:r>
      <w:r w:rsidR="008930C1">
        <w:rPr>
          <w:sz w:val="18"/>
          <w:szCs w:val="18"/>
        </w:rPr>
        <w:t xml:space="preserve"> updated</w:t>
      </w:r>
      <w:r w:rsidR="00F476A5" w:rsidRPr="00B62BEF">
        <w:rPr>
          <w:sz w:val="18"/>
          <w:szCs w:val="18"/>
        </w:rPr>
        <w:t xml:space="preserve"> </w:t>
      </w:r>
      <w:r w:rsidR="009A38CD" w:rsidRPr="00B62BEF">
        <w:rPr>
          <w:sz w:val="18"/>
          <w:szCs w:val="18"/>
        </w:rPr>
        <w:t>risk condition</w:t>
      </w:r>
      <w:r w:rsidR="008930C1">
        <w:rPr>
          <w:sz w:val="18"/>
          <w:szCs w:val="18"/>
        </w:rPr>
        <w:t>s</w:t>
      </w:r>
      <w:r w:rsidR="009A38CD" w:rsidRPr="00B62BEF">
        <w:rPr>
          <w:sz w:val="18"/>
          <w:szCs w:val="18"/>
        </w:rPr>
        <w:t xml:space="preserve"> list in the Australian </w:t>
      </w:r>
      <w:r w:rsidR="00DE4F7A" w:rsidRPr="00B62BEF">
        <w:rPr>
          <w:sz w:val="18"/>
          <w:szCs w:val="18"/>
        </w:rPr>
        <w:t>Immunisation Handbook).</w:t>
      </w:r>
    </w:p>
    <w:p w14:paraId="1EB63BBF" w14:textId="77777777" w:rsidR="008B27A2" w:rsidRPr="00B62BEF" w:rsidRDefault="008B27A2" w:rsidP="008B27A2">
      <w:pPr>
        <w:pStyle w:val="Heading2"/>
        <w:rPr>
          <w:sz w:val="18"/>
          <w:szCs w:val="18"/>
          <w:lang w:eastAsia="en-US"/>
        </w:rPr>
      </w:pPr>
      <w:r w:rsidRPr="00B62BEF">
        <w:rPr>
          <w:sz w:val="18"/>
          <w:szCs w:val="18"/>
          <w:lang w:eastAsia="en-US"/>
        </w:rPr>
        <w:t>Specific recommendations:</w:t>
      </w:r>
    </w:p>
    <w:p w14:paraId="7BF6F529" w14:textId="477B595B" w:rsidR="003D4B64" w:rsidRPr="000B5AA9" w:rsidRDefault="008B27A2" w:rsidP="003D4B64">
      <w:pPr>
        <w:pStyle w:val="BulletedList"/>
        <w:rPr>
          <w:sz w:val="18"/>
          <w:szCs w:val="18"/>
        </w:rPr>
      </w:pPr>
      <w:r w:rsidRPr="00B62BEF">
        <w:rPr>
          <w:sz w:val="18"/>
          <w:szCs w:val="18"/>
        </w:rPr>
        <w:t>All non-Indigenous adults should be given a dose of 13vPCV at ≥70 years</w:t>
      </w:r>
      <w:r w:rsidR="00030803" w:rsidRPr="00B62BEF">
        <w:rPr>
          <w:sz w:val="18"/>
          <w:szCs w:val="18"/>
        </w:rPr>
        <w:t xml:space="preserve"> of age</w:t>
      </w:r>
      <w:r w:rsidR="00DE5FDF" w:rsidRPr="00DE5FDF">
        <w:rPr>
          <w:sz w:val="18"/>
          <w:szCs w:val="18"/>
          <w:lang w:val="en-AU"/>
        </w:rPr>
        <w:t xml:space="preserve"> regardless of</w:t>
      </w:r>
      <w:r w:rsidR="00124131">
        <w:rPr>
          <w:sz w:val="18"/>
          <w:szCs w:val="18"/>
          <w:lang w:val="en-AU"/>
        </w:rPr>
        <w:t xml:space="preserve"> receipt of 23vPPV previously</w:t>
      </w:r>
      <w:r w:rsidR="00DE5FDF" w:rsidRPr="00DE5FDF">
        <w:rPr>
          <w:sz w:val="18"/>
          <w:szCs w:val="18"/>
          <w:lang w:val="en-AU"/>
        </w:rPr>
        <w:t>.</w:t>
      </w:r>
    </w:p>
    <w:p w14:paraId="07147DF1" w14:textId="3B16CC97" w:rsidR="00124131" w:rsidRPr="00E92D32" w:rsidRDefault="00124131" w:rsidP="00124131">
      <w:pPr>
        <w:pStyle w:val="BulletedList"/>
        <w:rPr>
          <w:sz w:val="18"/>
          <w:szCs w:val="18"/>
        </w:rPr>
      </w:pPr>
      <w:r w:rsidRPr="00E92D32">
        <w:rPr>
          <w:sz w:val="18"/>
          <w:szCs w:val="18"/>
        </w:rPr>
        <w:t xml:space="preserve">This single dose of 13vPCV is NIP-funded for those turning 70 years of age on or after 1 July 2020, regardless of whether the person has </w:t>
      </w:r>
      <w:r w:rsidR="00E92D32" w:rsidRPr="00E92D32">
        <w:rPr>
          <w:sz w:val="18"/>
          <w:szCs w:val="18"/>
        </w:rPr>
        <w:t>received 23vPPV</w:t>
      </w:r>
      <w:r w:rsidR="00801E90" w:rsidRPr="00E92D32">
        <w:rPr>
          <w:sz w:val="18"/>
          <w:szCs w:val="18"/>
        </w:rPr>
        <w:t xml:space="preserve"> previously</w:t>
      </w:r>
      <w:r w:rsidRPr="00E92D32">
        <w:rPr>
          <w:sz w:val="18"/>
          <w:szCs w:val="18"/>
        </w:rPr>
        <w:t xml:space="preserve">. Those who are already 70 years of age or older on 1 July 2020 are also eligible for a single </w:t>
      </w:r>
      <w:r w:rsidR="00801E90" w:rsidRPr="00E92D32">
        <w:rPr>
          <w:sz w:val="18"/>
          <w:szCs w:val="18"/>
        </w:rPr>
        <w:t>NIP</w:t>
      </w:r>
      <w:r w:rsidRPr="00E92D32">
        <w:rPr>
          <w:sz w:val="18"/>
          <w:szCs w:val="18"/>
        </w:rPr>
        <w:t xml:space="preserve">-funded dose of 13vPCV, which can be given opportunistically at a suitable clinical encounter. </w:t>
      </w:r>
    </w:p>
    <w:p w14:paraId="1EB63BC1" w14:textId="095300CE" w:rsidR="008B27A2" w:rsidRPr="00B62BEF" w:rsidRDefault="008B27A2" w:rsidP="008B27A2">
      <w:pPr>
        <w:pStyle w:val="BulletedList"/>
        <w:rPr>
          <w:sz w:val="18"/>
          <w:szCs w:val="18"/>
        </w:rPr>
      </w:pPr>
      <w:r w:rsidRPr="00B62BEF">
        <w:rPr>
          <w:sz w:val="18"/>
          <w:szCs w:val="18"/>
        </w:rPr>
        <w:t>If the individual has previously received dose</w:t>
      </w:r>
      <w:r w:rsidR="007565FC" w:rsidRPr="00B62BEF">
        <w:rPr>
          <w:sz w:val="18"/>
          <w:szCs w:val="18"/>
        </w:rPr>
        <w:t>s</w:t>
      </w:r>
      <w:r w:rsidRPr="00B62BEF">
        <w:rPr>
          <w:sz w:val="18"/>
          <w:szCs w:val="18"/>
        </w:rPr>
        <w:t xml:space="preserve"> of 23vPPV</w:t>
      </w:r>
      <w:r w:rsidR="00030803" w:rsidRPr="00B62BEF">
        <w:rPr>
          <w:sz w:val="18"/>
          <w:szCs w:val="18"/>
        </w:rPr>
        <w:t>,</w:t>
      </w:r>
      <w:r w:rsidRPr="00B62BEF">
        <w:rPr>
          <w:sz w:val="18"/>
          <w:szCs w:val="18"/>
        </w:rPr>
        <w:t xml:space="preserve"> the dose of 13vPCV should be given at least 12 months </w:t>
      </w:r>
      <w:r w:rsidR="00030803" w:rsidRPr="00B62BEF">
        <w:rPr>
          <w:sz w:val="18"/>
          <w:szCs w:val="18"/>
        </w:rPr>
        <w:t>after</w:t>
      </w:r>
      <w:r w:rsidRPr="00B62BEF">
        <w:rPr>
          <w:sz w:val="18"/>
          <w:szCs w:val="18"/>
        </w:rPr>
        <w:t xml:space="preserve"> their </w:t>
      </w:r>
      <w:r w:rsidR="007565FC" w:rsidRPr="00B62BEF">
        <w:rPr>
          <w:sz w:val="18"/>
          <w:szCs w:val="18"/>
        </w:rPr>
        <w:t xml:space="preserve">last </w:t>
      </w:r>
      <w:r w:rsidRPr="00B62BEF">
        <w:rPr>
          <w:sz w:val="18"/>
          <w:szCs w:val="18"/>
        </w:rPr>
        <w:t>23vPPV dose.</w:t>
      </w:r>
      <w:r w:rsidR="000B5AA9">
        <w:rPr>
          <w:sz w:val="18"/>
          <w:szCs w:val="18"/>
        </w:rPr>
        <w:t xml:space="preserve"> </w:t>
      </w:r>
    </w:p>
    <w:p w14:paraId="1EB63BC2" w14:textId="77777777" w:rsidR="008B27A2" w:rsidRPr="00B62BEF" w:rsidRDefault="008B27A2" w:rsidP="00555871">
      <w:pPr>
        <w:pStyle w:val="BulletedList"/>
        <w:rPr>
          <w:sz w:val="18"/>
          <w:szCs w:val="18"/>
        </w:rPr>
      </w:pPr>
      <w:r w:rsidRPr="00B62BEF">
        <w:rPr>
          <w:sz w:val="18"/>
          <w:szCs w:val="18"/>
        </w:rPr>
        <w:t xml:space="preserve">If the individual has already received a dose of 13vPCV </w:t>
      </w:r>
      <w:r w:rsidR="007565FC" w:rsidRPr="00B62BEF">
        <w:rPr>
          <w:sz w:val="18"/>
          <w:szCs w:val="18"/>
        </w:rPr>
        <w:t>(</w:t>
      </w:r>
      <w:r w:rsidRPr="00B62BEF">
        <w:rPr>
          <w:sz w:val="18"/>
          <w:szCs w:val="18"/>
        </w:rPr>
        <w:t xml:space="preserve">according to previous recommendations </w:t>
      </w:r>
      <w:r w:rsidR="00030803" w:rsidRPr="00B62BEF">
        <w:rPr>
          <w:sz w:val="18"/>
          <w:szCs w:val="18"/>
        </w:rPr>
        <w:t xml:space="preserve">for people with category </w:t>
      </w:r>
      <w:proofErr w:type="gramStart"/>
      <w:r w:rsidR="00030803" w:rsidRPr="00B62BEF">
        <w:rPr>
          <w:sz w:val="18"/>
          <w:szCs w:val="18"/>
        </w:rPr>
        <w:t>A</w:t>
      </w:r>
      <w:proofErr w:type="gramEnd"/>
      <w:r w:rsidR="00030803" w:rsidRPr="00B62BEF">
        <w:rPr>
          <w:sz w:val="18"/>
          <w:szCs w:val="18"/>
        </w:rPr>
        <w:t xml:space="preserve"> </w:t>
      </w:r>
      <w:r w:rsidRPr="00B62BEF">
        <w:rPr>
          <w:sz w:val="18"/>
          <w:szCs w:val="18"/>
        </w:rPr>
        <w:t>risk conditions for pneumococcal disease</w:t>
      </w:r>
      <w:r w:rsidR="007565FC" w:rsidRPr="00B62BEF">
        <w:rPr>
          <w:sz w:val="18"/>
          <w:szCs w:val="18"/>
        </w:rPr>
        <w:t>)</w:t>
      </w:r>
      <w:r w:rsidR="00030803" w:rsidRPr="00B62BEF">
        <w:rPr>
          <w:sz w:val="18"/>
          <w:szCs w:val="18"/>
        </w:rPr>
        <w:t>,</w:t>
      </w:r>
      <w:r w:rsidRPr="00B62BEF">
        <w:rPr>
          <w:sz w:val="18"/>
          <w:szCs w:val="18"/>
        </w:rPr>
        <w:t xml:space="preserve"> </w:t>
      </w:r>
      <w:r w:rsidR="00AE2B4C" w:rsidRPr="00B62BEF">
        <w:rPr>
          <w:sz w:val="18"/>
          <w:szCs w:val="18"/>
        </w:rPr>
        <w:t xml:space="preserve">another </w:t>
      </w:r>
      <w:r w:rsidRPr="00B62BEF">
        <w:rPr>
          <w:sz w:val="18"/>
          <w:szCs w:val="18"/>
        </w:rPr>
        <w:t xml:space="preserve">dose of 13vPCV </w:t>
      </w:r>
      <w:r w:rsidR="00AE2B4C" w:rsidRPr="00B62BEF">
        <w:rPr>
          <w:sz w:val="18"/>
          <w:szCs w:val="18"/>
        </w:rPr>
        <w:t>is not required</w:t>
      </w:r>
      <w:r w:rsidRPr="00B62BEF">
        <w:rPr>
          <w:sz w:val="18"/>
          <w:szCs w:val="18"/>
        </w:rPr>
        <w:t>.</w:t>
      </w:r>
    </w:p>
    <w:p w14:paraId="1EB63BC3" w14:textId="2D958200" w:rsidR="007565FC" w:rsidRPr="00B62BEF" w:rsidRDefault="007565FC" w:rsidP="00782FF9">
      <w:pPr>
        <w:pStyle w:val="BulletedList"/>
        <w:rPr>
          <w:sz w:val="18"/>
          <w:szCs w:val="18"/>
        </w:rPr>
      </w:pPr>
      <w:r w:rsidRPr="00E4029E">
        <w:rPr>
          <w:sz w:val="18"/>
          <w:szCs w:val="18"/>
        </w:rPr>
        <w:t xml:space="preserve">If the individual has </w:t>
      </w:r>
      <w:r w:rsidR="007E2534">
        <w:rPr>
          <w:sz w:val="18"/>
          <w:szCs w:val="18"/>
        </w:rPr>
        <w:t xml:space="preserve">underlying </w:t>
      </w:r>
      <w:r w:rsidRPr="00E4029E">
        <w:rPr>
          <w:sz w:val="18"/>
          <w:szCs w:val="18"/>
        </w:rPr>
        <w:t>risk conditions for pneumococcal disease</w:t>
      </w:r>
      <w:r w:rsidR="00BB2EA5">
        <w:rPr>
          <w:sz w:val="18"/>
          <w:szCs w:val="18"/>
        </w:rPr>
        <w:t>,</w:t>
      </w:r>
      <w:r w:rsidR="007E2534">
        <w:rPr>
          <w:sz w:val="18"/>
          <w:szCs w:val="18"/>
        </w:rPr>
        <w:t xml:space="preserve"> 23vPPV is recommended </w:t>
      </w:r>
      <w:r w:rsidR="007E2534" w:rsidRPr="002F21CD">
        <w:rPr>
          <w:sz w:val="18"/>
          <w:szCs w:val="18"/>
        </w:rPr>
        <w:t>in addition to the single dose of 13vPCV</w:t>
      </w:r>
      <w:r w:rsidR="007E2534">
        <w:rPr>
          <w:sz w:val="18"/>
          <w:szCs w:val="18"/>
        </w:rPr>
        <w:t xml:space="preserve">. </w:t>
      </w:r>
      <w:r w:rsidR="00AF7A64">
        <w:rPr>
          <w:sz w:val="18"/>
          <w:szCs w:val="18"/>
        </w:rPr>
        <w:t xml:space="preserve">The total number of 23vPPV doses received for the lifetime should not exceed </w:t>
      </w:r>
      <w:r w:rsidRPr="00E4029E">
        <w:rPr>
          <w:sz w:val="18"/>
          <w:szCs w:val="18"/>
        </w:rPr>
        <w:t>two</w:t>
      </w:r>
      <w:r w:rsidR="00BC4784">
        <w:rPr>
          <w:sz w:val="18"/>
          <w:szCs w:val="18"/>
        </w:rPr>
        <w:t>,</w:t>
      </w:r>
      <w:r w:rsidR="00AF7A64">
        <w:rPr>
          <w:sz w:val="18"/>
          <w:szCs w:val="18"/>
        </w:rPr>
        <w:t xml:space="preserve"> including doses already received</w:t>
      </w:r>
      <w:r w:rsidR="007E2534">
        <w:rPr>
          <w:sz w:val="18"/>
          <w:szCs w:val="18"/>
        </w:rPr>
        <w:t>. The</w:t>
      </w:r>
      <w:r w:rsidR="00AF7A64">
        <w:rPr>
          <w:sz w:val="18"/>
          <w:szCs w:val="18"/>
        </w:rPr>
        <w:t>se</w:t>
      </w:r>
      <w:r w:rsidR="007E2534">
        <w:rPr>
          <w:sz w:val="18"/>
          <w:szCs w:val="18"/>
        </w:rPr>
        <w:t xml:space="preserve"> 23vPPV doses are NIP funded for individuals with certain conditions</w:t>
      </w:r>
      <w:r w:rsidR="00AF7A64">
        <w:rPr>
          <w:sz w:val="18"/>
          <w:szCs w:val="18"/>
        </w:rPr>
        <w:t>.</w:t>
      </w:r>
      <w:r w:rsidR="00C56C3B" w:rsidRPr="00E4029E">
        <w:rPr>
          <w:sz w:val="18"/>
          <w:szCs w:val="18"/>
        </w:rPr>
        <w:t>(</w:t>
      </w:r>
      <w:r w:rsidR="00F476A5" w:rsidRPr="00B62BEF">
        <w:rPr>
          <w:sz w:val="18"/>
          <w:szCs w:val="18"/>
        </w:rPr>
        <w:t>Refer to</w:t>
      </w:r>
      <w:r w:rsidR="006E089A">
        <w:rPr>
          <w:sz w:val="18"/>
          <w:szCs w:val="18"/>
        </w:rPr>
        <w:t xml:space="preserve"> </w:t>
      </w:r>
      <w:hyperlink r:id="rId13" w:history="1">
        <w:r w:rsidR="00DE4F7A" w:rsidRPr="006E089A">
          <w:rPr>
            <w:rStyle w:val="Hyperlink"/>
            <w:sz w:val="18"/>
            <w:szCs w:val="18"/>
          </w:rPr>
          <w:t xml:space="preserve">ATAGI clinical </w:t>
        </w:r>
        <w:r w:rsidR="00E4029E" w:rsidRPr="006E089A">
          <w:rPr>
            <w:rStyle w:val="Hyperlink"/>
            <w:sz w:val="18"/>
            <w:szCs w:val="18"/>
          </w:rPr>
          <w:t xml:space="preserve">advice </w:t>
        </w:r>
        <w:r w:rsidR="00DE4F7A" w:rsidRPr="006E089A">
          <w:rPr>
            <w:rStyle w:val="Hyperlink"/>
            <w:sz w:val="18"/>
            <w:szCs w:val="18"/>
          </w:rPr>
          <w:t>on changes to vaccine recommendations and funding for people with risk conditions from 1 July 2020</w:t>
        </w:r>
      </w:hyperlink>
      <w:r w:rsidR="00AF7A64">
        <w:rPr>
          <w:sz w:val="18"/>
          <w:szCs w:val="18"/>
        </w:rPr>
        <w:t xml:space="preserve"> </w:t>
      </w:r>
      <w:proofErr w:type="gramStart"/>
      <w:r w:rsidR="00AF7A64">
        <w:rPr>
          <w:sz w:val="18"/>
          <w:szCs w:val="18"/>
        </w:rPr>
        <w:t>further</w:t>
      </w:r>
      <w:proofErr w:type="gramEnd"/>
      <w:r w:rsidR="00AF7A64">
        <w:rPr>
          <w:sz w:val="18"/>
          <w:szCs w:val="18"/>
        </w:rPr>
        <w:t xml:space="preserve"> detailed information including the recommended intervals between vaccine doses</w:t>
      </w:r>
      <w:r w:rsidR="00DE4F7A" w:rsidRPr="00B62BEF">
        <w:rPr>
          <w:sz w:val="18"/>
          <w:szCs w:val="18"/>
        </w:rPr>
        <w:t>).</w:t>
      </w:r>
    </w:p>
    <w:p w14:paraId="1EB63BC4" w14:textId="77777777" w:rsidR="003C07DA" w:rsidRPr="00B62BEF" w:rsidRDefault="003C07DA" w:rsidP="003C07DA">
      <w:pPr>
        <w:pStyle w:val="Heading2"/>
        <w:rPr>
          <w:sz w:val="18"/>
          <w:szCs w:val="18"/>
          <w:lang w:eastAsia="en-US"/>
        </w:rPr>
      </w:pPr>
      <w:bookmarkStart w:id="1" w:name="_Hlk39151858"/>
      <w:r w:rsidRPr="00B62BEF">
        <w:rPr>
          <w:sz w:val="18"/>
          <w:szCs w:val="18"/>
          <w:lang w:eastAsia="en-US"/>
        </w:rPr>
        <w:t>General recommendations:</w:t>
      </w:r>
    </w:p>
    <w:p w14:paraId="1EB63BC5" w14:textId="77777777" w:rsidR="00AC5A06" w:rsidRPr="00B62BEF" w:rsidRDefault="00C56C3B" w:rsidP="00D95B21">
      <w:pPr>
        <w:pStyle w:val="ListParagraph"/>
        <w:numPr>
          <w:ilvl w:val="0"/>
          <w:numId w:val="13"/>
        </w:numPr>
        <w:rPr>
          <w:sz w:val="18"/>
          <w:szCs w:val="18"/>
          <w:lang w:eastAsia="en-US"/>
        </w:rPr>
      </w:pPr>
      <w:r w:rsidRPr="00B62BEF">
        <w:rPr>
          <w:sz w:val="18"/>
          <w:szCs w:val="18"/>
          <w:lang w:eastAsia="en-US"/>
        </w:rPr>
        <w:t>13vPCV can</w:t>
      </w:r>
      <w:r w:rsidR="00AC5A06" w:rsidRPr="00B62BEF">
        <w:rPr>
          <w:sz w:val="18"/>
          <w:szCs w:val="18"/>
          <w:lang w:eastAsia="en-US"/>
        </w:rPr>
        <w:t xml:space="preserve"> be given at </w:t>
      </w:r>
      <w:r w:rsidR="00D95B21" w:rsidRPr="00B62BEF">
        <w:rPr>
          <w:sz w:val="18"/>
          <w:szCs w:val="18"/>
          <w:lang w:eastAsia="en-US"/>
        </w:rPr>
        <w:t>the same</w:t>
      </w:r>
      <w:r w:rsidR="00AC5A06" w:rsidRPr="00B62BEF">
        <w:rPr>
          <w:sz w:val="18"/>
          <w:szCs w:val="18"/>
          <w:lang w:eastAsia="en-US"/>
        </w:rPr>
        <w:t xml:space="preserve"> time </w:t>
      </w:r>
      <w:r w:rsidR="00D95B21" w:rsidRPr="00B62BEF">
        <w:rPr>
          <w:sz w:val="18"/>
          <w:szCs w:val="18"/>
          <w:lang w:eastAsia="en-US"/>
        </w:rPr>
        <w:t xml:space="preserve">as </w:t>
      </w:r>
      <w:r w:rsidR="007565FC" w:rsidRPr="00B62BEF">
        <w:rPr>
          <w:sz w:val="18"/>
          <w:szCs w:val="18"/>
          <w:lang w:eastAsia="en-US"/>
        </w:rPr>
        <w:t>herpes zoster</w:t>
      </w:r>
      <w:r w:rsidR="00555871" w:rsidRPr="00B62BEF">
        <w:rPr>
          <w:sz w:val="18"/>
          <w:szCs w:val="18"/>
          <w:lang w:eastAsia="en-US"/>
        </w:rPr>
        <w:t xml:space="preserve"> vaccine</w:t>
      </w:r>
      <w:r w:rsidR="007565FC" w:rsidRPr="00B62BEF">
        <w:rPr>
          <w:sz w:val="18"/>
          <w:szCs w:val="18"/>
          <w:lang w:eastAsia="en-US"/>
        </w:rPr>
        <w:t xml:space="preserve"> (</w:t>
      </w:r>
      <w:proofErr w:type="spellStart"/>
      <w:r w:rsidR="007565FC" w:rsidRPr="00B62BEF">
        <w:rPr>
          <w:sz w:val="18"/>
          <w:szCs w:val="18"/>
          <w:lang w:eastAsia="en-US"/>
        </w:rPr>
        <w:t>Zostavax</w:t>
      </w:r>
      <w:proofErr w:type="spellEnd"/>
      <w:r w:rsidR="007565FC" w:rsidRPr="00B62BEF">
        <w:rPr>
          <w:sz w:val="18"/>
          <w:szCs w:val="18"/>
          <w:lang w:eastAsia="en-US"/>
        </w:rPr>
        <w:t>)</w:t>
      </w:r>
      <w:r w:rsidR="007D505E" w:rsidRPr="00B62BEF">
        <w:rPr>
          <w:sz w:val="18"/>
          <w:szCs w:val="18"/>
          <w:lang w:eastAsia="en-US"/>
        </w:rPr>
        <w:t xml:space="preserve"> for eligible individuals.</w:t>
      </w:r>
    </w:p>
    <w:p w14:paraId="1EB63BC6" w14:textId="77777777" w:rsidR="007D505E" w:rsidRPr="00B62BEF" w:rsidRDefault="007D505E" w:rsidP="00D95B21">
      <w:pPr>
        <w:pStyle w:val="ListParagraph"/>
        <w:numPr>
          <w:ilvl w:val="0"/>
          <w:numId w:val="13"/>
        </w:numPr>
        <w:rPr>
          <w:sz w:val="18"/>
          <w:szCs w:val="18"/>
          <w:lang w:eastAsia="en-US"/>
        </w:rPr>
      </w:pPr>
      <w:r w:rsidRPr="00B62BEF">
        <w:rPr>
          <w:sz w:val="18"/>
          <w:szCs w:val="18"/>
          <w:lang w:eastAsia="en-US"/>
        </w:rPr>
        <w:t>13vPCV can be given at the same time as any of the</w:t>
      </w:r>
      <w:r w:rsidR="00A677C8" w:rsidRPr="00B62BEF">
        <w:rPr>
          <w:sz w:val="18"/>
          <w:szCs w:val="18"/>
          <w:lang w:eastAsia="en-US"/>
        </w:rPr>
        <w:t xml:space="preserve"> available</w:t>
      </w:r>
      <w:r w:rsidRPr="00B62BEF">
        <w:rPr>
          <w:sz w:val="18"/>
          <w:szCs w:val="18"/>
          <w:lang w:eastAsia="en-US"/>
        </w:rPr>
        <w:t xml:space="preserve"> influenza vaccines</w:t>
      </w:r>
      <w:r w:rsidR="003C69B6" w:rsidRPr="00B62BEF">
        <w:rPr>
          <w:sz w:val="18"/>
          <w:szCs w:val="18"/>
          <w:lang w:eastAsia="en-US"/>
        </w:rPr>
        <w:t xml:space="preserve"> for eligible individuals.</w:t>
      </w:r>
    </w:p>
    <w:bookmarkEnd w:id="1"/>
    <w:p w14:paraId="1EB63BC7" w14:textId="77777777" w:rsidR="00C27C7E" w:rsidRPr="00555871" w:rsidRDefault="00C27C7E" w:rsidP="00762D60">
      <w:pPr>
        <w:pStyle w:val="BulletedList"/>
        <w:numPr>
          <w:ilvl w:val="0"/>
          <w:numId w:val="0"/>
        </w:numPr>
        <w:ind w:left="1440"/>
        <w:rPr>
          <w:sz w:val="18"/>
          <w:szCs w:val="18"/>
          <w:lang w:val="en-AU"/>
        </w:rPr>
      </w:pPr>
    </w:p>
    <w:p w14:paraId="1EB63BC8" w14:textId="77777777" w:rsidR="00E51D87" w:rsidRPr="00555871" w:rsidRDefault="00E51D87" w:rsidP="00C27C7E">
      <w:pPr>
        <w:pStyle w:val="BulletedList"/>
        <w:numPr>
          <w:ilvl w:val="0"/>
          <w:numId w:val="0"/>
        </w:numPr>
        <w:rPr>
          <w:sz w:val="18"/>
          <w:szCs w:val="18"/>
        </w:rPr>
      </w:pPr>
    </w:p>
    <w:p w14:paraId="1EB63BC9" w14:textId="77777777" w:rsidR="002430D1" w:rsidRDefault="002430D1">
      <w:pPr>
        <w:spacing w:line="276" w:lineRule="auto"/>
        <w:rPr>
          <w:b/>
          <w:color w:val="57259F"/>
          <w:sz w:val="20"/>
          <w:szCs w:val="18"/>
          <w:lang w:eastAsia="en-US"/>
        </w:rPr>
      </w:pPr>
    </w:p>
    <w:sectPr w:rsidR="002430D1" w:rsidSect="00DF133D">
      <w:footerReference w:type="first" r:id="rId14"/>
      <w:pgSz w:w="11906" w:h="16838"/>
      <w:pgMar w:top="709" w:right="851" w:bottom="709" w:left="851" w:header="850" w:footer="5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679FCD" w16cid:durableId="2267B9E4"/>
  <w16cid:commentId w16cid:paraId="0A816904" w16cid:durableId="2267B9E5"/>
  <w16cid:commentId w16cid:paraId="5E93DF83" w16cid:durableId="2267B9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C71C3" w14:textId="77777777" w:rsidR="00AC4C2C" w:rsidRDefault="00AC4C2C" w:rsidP="005F4768">
      <w:r>
        <w:separator/>
      </w:r>
    </w:p>
  </w:endnote>
  <w:endnote w:type="continuationSeparator" w:id="0">
    <w:p w14:paraId="13FB6E2F" w14:textId="77777777" w:rsidR="00AC4C2C" w:rsidRDefault="00AC4C2C" w:rsidP="005F4768">
      <w:r>
        <w:continuationSeparator/>
      </w:r>
    </w:p>
  </w:endnote>
  <w:endnote w:type="continuationNotice" w:id="1">
    <w:p w14:paraId="440CE0C8" w14:textId="77777777" w:rsidR="00AC4C2C" w:rsidRDefault="00AC4C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32605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AFF5328" w14:textId="68209C3E" w:rsidR="00A35293" w:rsidRDefault="00A3529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3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3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B63BD1" w14:textId="2770BC94" w:rsidR="00555871" w:rsidRPr="0060508D" w:rsidRDefault="0055587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0B10A" w14:textId="77777777" w:rsidR="00AC4C2C" w:rsidRDefault="00AC4C2C" w:rsidP="005F4768">
      <w:r>
        <w:separator/>
      </w:r>
    </w:p>
  </w:footnote>
  <w:footnote w:type="continuationSeparator" w:id="0">
    <w:p w14:paraId="4963D8F7" w14:textId="77777777" w:rsidR="00AC4C2C" w:rsidRDefault="00AC4C2C" w:rsidP="005F4768">
      <w:r>
        <w:continuationSeparator/>
      </w:r>
    </w:p>
  </w:footnote>
  <w:footnote w:type="continuationNotice" w:id="1">
    <w:p w14:paraId="5FB7018C" w14:textId="77777777" w:rsidR="00AC4C2C" w:rsidRDefault="00AC4C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37A"/>
    <w:multiLevelType w:val="hybridMultilevel"/>
    <w:tmpl w:val="A3F46136"/>
    <w:lvl w:ilvl="0" w:tplc="BEAC84C0">
      <w:start w:val="1"/>
      <w:numFmt w:val="bullet"/>
      <w:pStyle w:val="Sub-bullettedlis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B72A90"/>
    <w:multiLevelType w:val="hybridMultilevel"/>
    <w:tmpl w:val="989E6F56"/>
    <w:lvl w:ilvl="0" w:tplc="D668E5A4">
      <w:start w:val="1"/>
      <w:numFmt w:val="bullet"/>
      <w:pStyle w:val="Bullet"/>
      <w:lvlText w:val=""/>
      <w:lvlJc w:val="left"/>
      <w:pPr>
        <w:ind w:left="360" w:hanging="360"/>
      </w:pPr>
      <w:rPr>
        <w:rFonts w:ascii="Wingdings 3" w:hAnsi="Wingdings 3" w:hint="default"/>
        <w:sz w:val="15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72F1740"/>
    <w:multiLevelType w:val="multilevel"/>
    <w:tmpl w:val="4A1A5CB6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75AAB"/>
    <w:multiLevelType w:val="hybridMultilevel"/>
    <w:tmpl w:val="17383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20533"/>
    <w:multiLevelType w:val="hybridMultilevel"/>
    <w:tmpl w:val="1FBA9C56"/>
    <w:lvl w:ilvl="0" w:tplc="136C86B6">
      <w:start w:val="1"/>
      <w:numFmt w:val="bullet"/>
      <w:pStyle w:val="TableTextbullet"/>
      <w:lvlText w:val=""/>
      <w:lvlJc w:val="left"/>
      <w:pPr>
        <w:ind w:left="360" w:hanging="360"/>
      </w:pPr>
      <w:rPr>
        <w:rFonts w:ascii="Wingdings 3" w:hAnsi="Wingdings 3" w:hint="default"/>
        <w:sz w:val="11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12B1B3C"/>
    <w:multiLevelType w:val="hybridMultilevel"/>
    <w:tmpl w:val="F59AC2B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35F06"/>
    <w:multiLevelType w:val="hybridMultilevel"/>
    <w:tmpl w:val="BFF0D858"/>
    <w:lvl w:ilvl="0" w:tplc="8E40D3EC">
      <w:start w:val="1"/>
      <w:numFmt w:val="bullet"/>
      <w:pStyle w:val="Bodytext-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99643D4C">
      <w:numFmt w:val="bullet"/>
      <w:lvlText w:val="-"/>
      <w:lvlJc w:val="left"/>
      <w:pPr>
        <w:ind w:left="2155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875" w:hanging="180"/>
      </w:pPr>
    </w:lvl>
    <w:lvl w:ilvl="3" w:tplc="0C09000F" w:tentative="1">
      <w:start w:val="1"/>
      <w:numFmt w:val="decimal"/>
      <w:lvlText w:val="%4."/>
      <w:lvlJc w:val="left"/>
      <w:pPr>
        <w:ind w:left="3595" w:hanging="360"/>
      </w:pPr>
    </w:lvl>
    <w:lvl w:ilvl="4" w:tplc="0C090019" w:tentative="1">
      <w:start w:val="1"/>
      <w:numFmt w:val="lowerLetter"/>
      <w:lvlText w:val="%5."/>
      <w:lvlJc w:val="left"/>
      <w:pPr>
        <w:ind w:left="4315" w:hanging="360"/>
      </w:pPr>
    </w:lvl>
    <w:lvl w:ilvl="5" w:tplc="0C09001B" w:tentative="1">
      <w:start w:val="1"/>
      <w:numFmt w:val="lowerRoman"/>
      <w:lvlText w:val="%6."/>
      <w:lvlJc w:val="right"/>
      <w:pPr>
        <w:ind w:left="5035" w:hanging="180"/>
      </w:pPr>
    </w:lvl>
    <w:lvl w:ilvl="6" w:tplc="0C09000F" w:tentative="1">
      <w:start w:val="1"/>
      <w:numFmt w:val="decimal"/>
      <w:lvlText w:val="%7."/>
      <w:lvlJc w:val="left"/>
      <w:pPr>
        <w:ind w:left="5755" w:hanging="360"/>
      </w:pPr>
    </w:lvl>
    <w:lvl w:ilvl="7" w:tplc="0C090019" w:tentative="1">
      <w:start w:val="1"/>
      <w:numFmt w:val="lowerLetter"/>
      <w:lvlText w:val="%8."/>
      <w:lvlJc w:val="left"/>
      <w:pPr>
        <w:ind w:left="6475" w:hanging="360"/>
      </w:pPr>
    </w:lvl>
    <w:lvl w:ilvl="8" w:tplc="0C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7" w15:restartNumberingAfterBreak="0">
    <w:nsid w:val="39D155AE"/>
    <w:multiLevelType w:val="multilevel"/>
    <w:tmpl w:val="7E225E5C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917260"/>
    <w:multiLevelType w:val="hybridMultilevel"/>
    <w:tmpl w:val="3D2AFB66"/>
    <w:lvl w:ilvl="0" w:tplc="2476253E">
      <w:start w:val="1"/>
      <w:numFmt w:val="decimal"/>
      <w:pStyle w:val="Heading4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B268B7"/>
    <w:multiLevelType w:val="hybridMultilevel"/>
    <w:tmpl w:val="3CE4843A"/>
    <w:lvl w:ilvl="0" w:tplc="04186316">
      <w:start w:val="1"/>
      <w:numFmt w:val="decimal"/>
      <w:pStyle w:val="Heading3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1921B9"/>
    <w:multiLevelType w:val="hybridMultilevel"/>
    <w:tmpl w:val="5FFE09A8"/>
    <w:lvl w:ilvl="0" w:tplc="CB5C1172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BB1F22"/>
    <w:multiLevelType w:val="hybridMultilevel"/>
    <w:tmpl w:val="031EE8DE"/>
    <w:lvl w:ilvl="0" w:tplc="F3F494B8">
      <w:start w:val="1"/>
      <w:numFmt w:val="bullet"/>
      <w:pStyle w:val="Sub-bulletedlis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7"/>
  </w:num>
  <w:num w:numId="12">
    <w:abstractNumId w:val="5"/>
  </w:num>
  <w:num w:numId="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67"/>
    <w:rsid w:val="00003743"/>
    <w:rsid w:val="00003A5E"/>
    <w:rsid w:val="00016DAB"/>
    <w:rsid w:val="00030803"/>
    <w:rsid w:val="000354E7"/>
    <w:rsid w:val="0004452A"/>
    <w:rsid w:val="000569DF"/>
    <w:rsid w:val="000602F3"/>
    <w:rsid w:val="00067456"/>
    <w:rsid w:val="000736D8"/>
    <w:rsid w:val="00083432"/>
    <w:rsid w:val="000924FE"/>
    <w:rsid w:val="000A270F"/>
    <w:rsid w:val="000A5062"/>
    <w:rsid w:val="000B5AA9"/>
    <w:rsid w:val="000C27C2"/>
    <w:rsid w:val="000C7E8D"/>
    <w:rsid w:val="000E23F2"/>
    <w:rsid w:val="000E2673"/>
    <w:rsid w:val="000E40A7"/>
    <w:rsid w:val="000E4B3F"/>
    <w:rsid w:val="000F2055"/>
    <w:rsid w:val="0010367E"/>
    <w:rsid w:val="00110BA0"/>
    <w:rsid w:val="00122CA2"/>
    <w:rsid w:val="00124131"/>
    <w:rsid w:val="00133DEB"/>
    <w:rsid w:val="00152188"/>
    <w:rsid w:val="00161675"/>
    <w:rsid w:val="00164684"/>
    <w:rsid w:val="00172A5F"/>
    <w:rsid w:val="0018425E"/>
    <w:rsid w:val="00185613"/>
    <w:rsid w:val="00190797"/>
    <w:rsid w:val="00191A3C"/>
    <w:rsid w:val="001927C8"/>
    <w:rsid w:val="00194C75"/>
    <w:rsid w:val="001A51C8"/>
    <w:rsid w:val="001B3443"/>
    <w:rsid w:val="001B6C7E"/>
    <w:rsid w:val="001E232C"/>
    <w:rsid w:val="001E6EC7"/>
    <w:rsid w:val="001F1297"/>
    <w:rsid w:val="001F1A15"/>
    <w:rsid w:val="001F6022"/>
    <w:rsid w:val="002040EF"/>
    <w:rsid w:val="002058AD"/>
    <w:rsid w:val="00205C5A"/>
    <w:rsid w:val="0022710C"/>
    <w:rsid w:val="0023299C"/>
    <w:rsid w:val="00234619"/>
    <w:rsid w:val="002377F5"/>
    <w:rsid w:val="002430D1"/>
    <w:rsid w:val="00243CB0"/>
    <w:rsid w:val="00244E08"/>
    <w:rsid w:val="00247BCD"/>
    <w:rsid w:val="00252CAB"/>
    <w:rsid w:val="002530E9"/>
    <w:rsid w:val="00254F61"/>
    <w:rsid w:val="00255E6D"/>
    <w:rsid w:val="002650A3"/>
    <w:rsid w:val="0027055A"/>
    <w:rsid w:val="00275310"/>
    <w:rsid w:val="00277613"/>
    <w:rsid w:val="0028298C"/>
    <w:rsid w:val="00286CCB"/>
    <w:rsid w:val="00291A4E"/>
    <w:rsid w:val="00293701"/>
    <w:rsid w:val="002A364C"/>
    <w:rsid w:val="002A602A"/>
    <w:rsid w:val="002A7C0B"/>
    <w:rsid w:val="002C14C1"/>
    <w:rsid w:val="002D396B"/>
    <w:rsid w:val="002D5CC8"/>
    <w:rsid w:val="002E5BDC"/>
    <w:rsid w:val="002F3AE3"/>
    <w:rsid w:val="003021C5"/>
    <w:rsid w:val="00303A5C"/>
    <w:rsid w:val="00304DAF"/>
    <w:rsid w:val="0030786C"/>
    <w:rsid w:val="003151C1"/>
    <w:rsid w:val="00323B20"/>
    <w:rsid w:val="00353274"/>
    <w:rsid w:val="00365888"/>
    <w:rsid w:val="00371492"/>
    <w:rsid w:val="00387970"/>
    <w:rsid w:val="00394C68"/>
    <w:rsid w:val="003A3C40"/>
    <w:rsid w:val="003B7900"/>
    <w:rsid w:val="003C07DA"/>
    <w:rsid w:val="003C0F83"/>
    <w:rsid w:val="003C69B6"/>
    <w:rsid w:val="003D17F9"/>
    <w:rsid w:val="003D4B64"/>
    <w:rsid w:val="003E7A6C"/>
    <w:rsid w:val="00405E7D"/>
    <w:rsid w:val="0041495D"/>
    <w:rsid w:val="00417A57"/>
    <w:rsid w:val="00425B7C"/>
    <w:rsid w:val="00434917"/>
    <w:rsid w:val="00452DCB"/>
    <w:rsid w:val="00460294"/>
    <w:rsid w:val="0047029A"/>
    <w:rsid w:val="0047625E"/>
    <w:rsid w:val="004867E2"/>
    <w:rsid w:val="004A0FA7"/>
    <w:rsid w:val="004A1690"/>
    <w:rsid w:val="004A2CD4"/>
    <w:rsid w:val="004A32C3"/>
    <w:rsid w:val="004B1889"/>
    <w:rsid w:val="004B4033"/>
    <w:rsid w:val="004D4FA8"/>
    <w:rsid w:val="004F2684"/>
    <w:rsid w:val="004F28F5"/>
    <w:rsid w:val="004F3AA0"/>
    <w:rsid w:val="004F5DED"/>
    <w:rsid w:val="004F7AFF"/>
    <w:rsid w:val="00517DBF"/>
    <w:rsid w:val="00543913"/>
    <w:rsid w:val="00543C9E"/>
    <w:rsid w:val="0055575B"/>
    <w:rsid w:val="00555871"/>
    <w:rsid w:val="00561352"/>
    <w:rsid w:val="005641C8"/>
    <w:rsid w:val="00571009"/>
    <w:rsid w:val="00573A25"/>
    <w:rsid w:val="00573D48"/>
    <w:rsid w:val="00574083"/>
    <w:rsid w:val="00584750"/>
    <w:rsid w:val="00585480"/>
    <w:rsid w:val="00586D57"/>
    <w:rsid w:val="00596E15"/>
    <w:rsid w:val="005A0D19"/>
    <w:rsid w:val="005D1645"/>
    <w:rsid w:val="005D2E42"/>
    <w:rsid w:val="005E0FAB"/>
    <w:rsid w:val="005F4768"/>
    <w:rsid w:val="005F77E3"/>
    <w:rsid w:val="00603ADF"/>
    <w:rsid w:val="0060508D"/>
    <w:rsid w:val="00615976"/>
    <w:rsid w:val="006164C2"/>
    <w:rsid w:val="00627DF9"/>
    <w:rsid w:val="00631A43"/>
    <w:rsid w:val="00631A49"/>
    <w:rsid w:val="0063427B"/>
    <w:rsid w:val="00652F4E"/>
    <w:rsid w:val="006603E3"/>
    <w:rsid w:val="0067230D"/>
    <w:rsid w:val="006727F5"/>
    <w:rsid w:val="00672899"/>
    <w:rsid w:val="00696A5D"/>
    <w:rsid w:val="006A4949"/>
    <w:rsid w:val="006B5200"/>
    <w:rsid w:val="006B6561"/>
    <w:rsid w:val="006D3D60"/>
    <w:rsid w:val="006E089A"/>
    <w:rsid w:val="006F5435"/>
    <w:rsid w:val="0073273C"/>
    <w:rsid w:val="007565FC"/>
    <w:rsid w:val="00762D60"/>
    <w:rsid w:val="00764BC6"/>
    <w:rsid w:val="00782FF9"/>
    <w:rsid w:val="00783CE0"/>
    <w:rsid w:val="007972B3"/>
    <w:rsid w:val="007A2867"/>
    <w:rsid w:val="007B2BFA"/>
    <w:rsid w:val="007B6868"/>
    <w:rsid w:val="007D505E"/>
    <w:rsid w:val="007D71AA"/>
    <w:rsid w:val="007E2534"/>
    <w:rsid w:val="007F162D"/>
    <w:rsid w:val="00801E90"/>
    <w:rsid w:val="008264EB"/>
    <w:rsid w:val="00826860"/>
    <w:rsid w:val="00842FB7"/>
    <w:rsid w:val="00846A2D"/>
    <w:rsid w:val="00846E7A"/>
    <w:rsid w:val="00850699"/>
    <w:rsid w:val="008511BE"/>
    <w:rsid w:val="00885093"/>
    <w:rsid w:val="008930C1"/>
    <w:rsid w:val="00896D42"/>
    <w:rsid w:val="008A7234"/>
    <w:rsid w:val="008A7CB9"/>
    <w:rsid w:val="008B27A2"/>
    <w:rsid w:val="008D214E"/>
    <w:rsid w:val="008D4150"/>
    <w:rsid w:val="00902A34"/>
    <w:rsid w:val="00917E71"/>
    <w:rsid w:val="00927698"/>
    <w:rsid w:val="00931910"/>
    <w:rsid w:val="009451A6"/>
    <w:rsid w:val="00961CDD"/>
    <w:rsid w:val="00963935"/>
    <w:rsid w:val="009825A0"/>
    <w:rsid w:val="00982861"/>
    <w:rsid w:val="0098296B"/>
    <w:rsid w:val="00983721"/>
    <w:rsid w:val="0099237D"/>
    <w:rsid w:val="009A38CD"/>
    <w:rsid w:val="009A6FF4"/>
    <w:rsid w:val="009A796E"/>
    <w:rsid w:val="009B020F"/>
    <w:rsid w:val="009B6E47"/>
    <w:rsid w:val="009D7609"/>
    <w:rsid w:val="009D7661"/>
    <w:rsid w:val="009E5B4B"/>
    <w:rsid w:val="009F4281"/>
    <w:rsid w:val="009F4C87"/>
    <w:rsid w:val="009F7DAB"/>
    <w:rsid w:val="00A13607"/>
    <w:rsid w:val="00A2019F"/>
    <w:rsid w:val="00A201EE"/>
    <w:rsid w:val="00A21743"/>
    <w:rsid w:val="00A25693"/>
    <w:rsid w:val="00A30A78"/>
    <w:rsid w:val="00A35293"/>
    <w:rsid w:val="00A36A30"/>
    <w:rsid w:val="00A4512D"/>
    <w:rsid w:val="00A51EE6"/>
    <w:rsid w:val="00A66C82"/>
    <w:rsid w:val="00A677C8"/>
    <w:rsid w:val="00A705AF"/>
    <w:rsid w:val="00A71B7A"/>
    <w:rsid w:val="00A952FB"/>
    <w:rsid w:val="00AB5B3B"/>
    <w:rsid w:val="00AC18B5"/>
    <w:rsid w:val="00AC1AA3"/>
    <w:rsid w:val="00AC23C0"/>
    <w:rsid w:val="00AC4C2C"/>
    <w:rsid w:val="00AC5A06"/>
    <w:rsid w:val="00AD31AE"/>
    <w:rsid w:val="00AD5F04"/>
    <w:rsid w:val="00AE2B4C"/>
    <w:rsid w:val="00AE5F36"/>
    <w:rsid w:val="00AF6EA8"/>
    <w:rsid w:val="00AF7A64"/>
    <w:rsid w:val="00B0053C"/>
    <w:rsid w:val="00B0165B"/>
    <w:rsid w:val="00B04C02"/>
    <w:rsid w:val="00B24480"/>
    <w:rsid w:val="00B42851"/>
    <w:rsid w:val="00B44123"/>
    <w:rsid w:val="00B50A29"/>
    <w:rsid w:val="00B5487A"/>
    <w:rsid w:val="00B57300"/>
    <w:rsid w:val="00B62BEF"/>
    <w:rsid w:val="00B64B14"/>
    <w:rsid w:val="00B91D3C"/>
    <w:rsid w:val="00B94280"/>
    <w:rsid w:val="00BA29B3"/>
    <w:rsid w:val="00BA39FC"/>
    <w:rsid w:val="00BA71E7"/>
    <w:rsid w:val="00BB2EA5"/>
    <w:rsid w:val="00BB7BD9"/>
    <w:rsid w:val="00BC4784"/>
    <w:rsid w:val="00BD2235"/>
    <w:rsid w:val="00BE3CC6"/>
    <w:rsid w:val="00BF2375"/>
    <w:rsid w:val="00BF34CD"/>
    <w:rsid w:val="00C01D56"/>
    <w:rsid w:val="00C1378C"/>
    <w:rsid w:val="00C27C7E"/>
    <w:rsid w:val="00C30C2B"/>
    <w:rsid w:val="00C32781"/>
    <w:rsid w:val="00C41F90"/>
    <w:rsid w:val="00C54B3F"/>
    <w:rsid w:val="00C56C3B"/>
    <w:rsid w:val="00C617E9"/>
    <w:rsid w:val="00C63399"/>
    <w:rsid w:val="00C66FAD"/>
    <w:rsid w:val="00C87174"/>
    <w:rsid w:val="00C93BFE"/>
    <w:rsid w:val="00C94930"/>
    <w:rsid w:val="00C96A32"/>
    <w:rsid w:val="00CA3617"/>
    <w:rsid w:val="00CA5DA7"/>
    <w:rsid w:val="00CA7A1B"/>
    <w:rsid w:val="00CB4C13"/>
    <w:rsid w:val="00CB5B1A"/>
    <w:rsid w:val="00CC0BFF"/>
    <w:rsid w:val="00CD0C70"/>
    <w:rsid w:val="00CD34DC"/>
    <w:rsid w:val="00CE1346"/>
    <w:rsid w:val="00CE1A60"/>
    <w:rsid w:val="00CE3658"/>
    <w:rsid w:val="00CF1008"/>
    <w:rsid w:val="00D02886"/>
    <w:rsid w:val="00D04189"/>
    <w:rsid w:val="00D22D32"/>
    <w:rsid w:val="00D2518C"/>
    <w:rsid w:val="00D33167"/>
    <w:rsid w:val="00D34AD0"/>
    <w:rsid w:val="00D403F0"/>
    <w:rsid w:val="00D43B7C"/>
    <w:rsid w:val="00D458E0"/>
    <w:rsid w:val="00D54FDA"/>
    <w:rsid w:val="00D61906"/>
    <w:rsid w:val="00D67F34"/>
    <w:rsid w:val="00D73717"/>
    <w:rsid w:val="00D80821"/>
    <w:rsid w:val="00D81C6C"/>
    <w:rsid w:val="00D908B7"/>
    <w:rsid w:val="00D93A8C"/>
    <w:rsid w:val="00D95B21"/>
    <w:rsid w:val="00DB7048"/>
    <w:rsid w:val="00DC73AA"/>
    <w:rsid w:val="00DD0878"/>
    <w:rsid w:val="00DD1480"/>
    <w:rsid w:val="00DD41A2"/>
    <w:rsid w:val="00DD5B70"/>
    <w:rsid w:val="00DE28BE"/>
    <w:rsid w:val="00DE4F7A"/>
    <w:rsid w:val="00DE5628"/>
    <w:rsid w:val="00DE5FDF"/>
    <w:rsid w:val="00DE7D48"/>
    <w:rsid w:val="00DF133D"/>
    <w:rsid w:val="00DF2453"/>
    <w:rsid w:val="00DF782A"/>
    <w:rsid w:val="00E029C1"/>
    <w:rsid w:val="00E06ACB"/>
    <w:rsid w:val="00E22317"/>
    <w:rsid w:val="00E228B6"/>
    <w:rsid w:val="00E4029E"/>
    <w:rsid w:val="00E51D87"/>
    <w:rsid w:val="00E52CB9"/>
    <w:rsid w:val="00E7099F"/>
    <w:rsid w:val="00E8287C"/>
    <w:rsid w:val="00E83C5B"/>
    <w:rsid w:val="00E92D32"/>
    <w:rsid w:val="00EA221D"/>
    <w:rsid w:val="00EC1B7F"/>
    <w:rsid w:val="00EC6027"/>
    <w:rsid w:val="00EF034D"/>
    <w:rsid w:val="00F151D2"/>
    <w:rsid w:val="00F15390"/>
    <w:rsid w:val="00F22C97"/>
    <w:rsid w:val="00F255EF"/>
    <w:rsid w:val="00F26725"/>
    <w:rsid w:val="00F410B0"/>
    <w:rsid w:val="00F462FA"/>
    <w:rsid w:val="00F476A5"/>
    <w:rsid w:val="00F60DF4"/>
    <w:rsid w:val="00F72136"/>
    <w:rsid w:val="00F8060C"/>
    <w:rsid w:val="00F825B2"/>
    <w:rsid w:val="00F84137"/>
    <w:rsid w:val="00F84ECB"/>
    <w:rsid w:val="00F865DE"/>
    <w:rsid w:val="00F9158F"/>
    <w:rsid w:val="00F94D5B"/>
    <w:rsid w:val="00FA5867"/>
    <w:rsid w:val="00FB5141"/>
    <w:rsid w:val="00FB5F68"/>
    <w:rsid w:val="00FB7245"/>
    <w:rsid w:val="00FC35E7"/>
    <w:rsid w:val="00FD3DB6"/>
    <w:rsid w:val="00FF0F5E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1EB63BAF"/>
  <w15:docId w15:val="{35E4138D-06CB-4684-B777-99E2C37C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FAB"/>
    <w:pPr>
      <w:spacing w:line="300" w:lineRule="auto"/>
    </w:pPr>
    <w:rPr>
      <w:rFonts w:ascii="Arial" w:hAnsi="Arial" w:cs="Arial"/>
      <w:sz w:val="21"/>
      <w:szCs w:val="20"/>
    </w:rPr>
  </w:style>
  <w:style w:type="paragraph" w:styleId="Heading1">
    <w:name w:val="heading 1"/>
    <w:aliases w:val="Blue"/>
    <w:basedOn w:val="Normal"/>
    <w:next w:val="Normal"/>
    <w:link w:val="Heading1Char"/>
    <w:uiPriority w:val="9"/>
    <w:rsid w:val="004A32C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C13"/>
    <w:pPr>
      <w:spacing w:before="300" w:after="100" w:line="271" w:lineRule="auto"/>
      <w:outlineLvl w:val="1"/>
    </w:pPr>
    <w:rPr>
      <w:b/>
      <w:color w:val="57259F"/>
      <w:sz w:val="25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C13"/>
    <w:pPr>
      <w:spacing w:before="200" w:after="100" w:line="271" w:lineRule="auto"/>
      <w:outlineLvl w:val="2"/>
    </w:pPr>
    <w:rPr>
      <w:iCs/>
      <w:color w:val="57259F"/>
      <w:spacing w:val="5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C13"/>
    <w:pPr>
      <w:spacing w:after="100" w:line="271" w:lineRule="auto"/>
      <w:outlineLvl w:val="3"/>
    </w:pPr>
    <w:rPr>
      <w:bCs/>
      <w:caps/>
      <w:color w:val="57259F"/>
      <w:spacing w:val="5"/>
      <w:sz w:val="22"/>
      <w:szCs w:val="22"/>
      <w:lang w:val="e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89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89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899"/>
    <w:pPr>
      <w:spacing w:after="0"/>
      <w:outlineLvl w:val="6"/>
    </w:pPr>
    <w:rPr>
      <w:b/>
      <w:bCs/>
      <w:i/>
      <w:iCs/>
      <w:color w:val="5A5A5A" w:themeColor="text1" w:themeTint="A5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899"/>
    <w:pPr>
      <w:spacing w:after="0"/>
      <w:outlineLvl w:val="7"/>
    </w:pPr>
    <w:rPr>
      <w:b/>
      <w:bCs/>
      <w:color w:val="7F7F7F" w:themeColor="text1" w:themeTint="8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89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72899"/>
    <w:rPr>
      <w:b/>
      <w:bCs/>
      <w:i/>
      <w:iCs/>
      <w:spacing w:val="10"/>
    </w:rPr>
  </w:style>
  <w:style w:type="character" w:styleId="Strong">
    <w:name w:val="Strong"/>
    <w:uiPriority w:val="22"/>
    <w:qFormat/>
    <w:rsid w:val="00672899"/>
    <w:rPr>
      <w:b/>
      <w:bCs/>
    </w:rPr>
  </w:style>
  <w:style w:type="table" w:customStyle="1" w:styleId="PlainTable41">
    <w:name w:val="Plain Table 41"/>
    <w:basedOn w:val="TableNormal"/>
    <w:rsid w:val="004A32C3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A32C3"/>
    <w:pPr>
      <w:keepNext/>
      <w:keepLines/>
      <w:spacing w:before="360" w:after="0" w:line="240" w:lineRule="auto"/>
    </w:pPr>
    <w:rPr>
      <w:caps/>
      <w:kern w:val="20"/>
      <w:sz w:val="44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72899"/>
    <w:rPr>
      <w:rFonts w:cs="Arial"/>
      <w:caps/>
      <w:kern w:val="20"/>
      <w:sz w:val="44"/>
      <w:szCs w:val="48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672899"/>
    <w:pPr>
      <w:spacing w:after="0" w:line="240" w:lineRule="auto"/>
    </w:pPr>
  </w:style>
  <w:style w:type="character" w:styleId="SubtleEmphasis">
    <w:name w:val="Subtle Emphasis"/>
    <w:uiPriority w:val="19"/>
    <w:qFormat/>
    <w:rsid w:val="00672899"/>
    <w:rPr>
      <w:i/>
      <w:iCs/>
    </w:rPr>
  </w:style>
  <w:style w:type="character" w:styleId="IntenseEmphasis">
    <w:name w:val="Intense Emphasis"/>
    <w:uiPriority w:val="21"/>
    <w:qFormat/>
    <w:rsid w:val="00672899"/>
    <w:rPr>
      <w:b/>
      <w:bCs/>
      <w:i/>
      <w:iCs/>
    </w:rPr>
  </w:style>
  <w:style w:type="paragraph" w:styleId="Quote">
    <w:name w:val="Quote"/>
    <w:aliases w:val="Actions Intro Para"/>
    <w:basedOn w:val="Normal"/>
    <w:next w:val="Normal"/>
    <w:link w:val="QuoteChar"/>
    <w:uiPriority w:val="29"/>
    <w:qFormat/>
    <w:rsid w:val="00672899"/>
    <w:rPr>
      <w:i/>
      <w:iCs/>
    </w:rPr>
  </w:style>
  <w:style w:type="character" w:customStyle="1" w:styleId="QuoteChar">
    <w:name w:val="Quote Char"/>
    <w:aliases w:val="Actions Intro Para Char"/>
    <w:basedOn w:val="DefaultParagraphFont"/>
    <w:link w:val="Quote"/>
    <w:uiPriority w:val="29"/>
    <w:rsid w:val="0067289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899"/>
    <w:pPr>
      <w:pBdr>
        <w:top w:val="single" w:sz="4" w:space="10" w:color="auto"/>
        <w:bottom w:val="single" w:sz="4" w:space="10" w:color="auto"/>
      </w:pBdr>
      <w:spacing w:before="240" w:after="240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899"/>
    <w:rPr>
      <w:i/>
      <w:iCs/>
    </w:rPr>
  </w:style>
  <w:style w:type="character" w:styleId="SubtleReference">
    <w:name w:val="Subtle Reference"/>
    <w:basedOn w:val="DefaultParagraphFont"/>
    <w:uiPriority w:val="31"/>
    <w:rsid w:val="00672899"/>
    <w:rPr>
      <w:smallCaps/>
    </w:rPr>
  </w:style>
  <w:style w:type="character" w:styleId="IntenseReference">
    <w:name w:val="Intense Reference"/>
    <w:uiPriority w:val="32"/>
    <w:qFormat/>
    <w:rsid w:val="0067289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72899"/>
    <w:rPr>
      <w:i/>
      <w:iCs/>
      <w:smallCaps/>
      <w:spacing w:val="5"/>
    </w:rPr>
  </w:style>
  <w:style w:type="paragraph" w:customStyle="1" w:styleId="SubtitleCover">
    <w:name w:val="Subtitle Cover"/>
    <w:basedOn w:val="Normal"/>
    <w:next w:val="BodyText"/>
    <w:rsid w:val="004A32C3"/>
    <w:pPr>
      <w:keepNext/>
      <w:keepLines/>
      <w:spacing w:after="120" w:line="240" w:lineRule="auto"/>
    </w:pPr>
    <w:rPr>
      <w:kern w:val="20"/>
      <w:sz w:val="36"/>
      <w:szCs w:val="48"/>
      <w:lang w:eastAsia="en-US"/>
    </w:rPr>
  </w:style>
  <w:style w:type="paragraph" w:styleId="BodyText">
    <w:name w:val="Body Text"/>
    <w:basedOn w:val="Normal"/>
    <w:link w:val="BodyTextChar"/>
    <w:rsid w:val="00D331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3167"/>
    <w:rPr>
      <w:rFonts w:ascii="Arial" w:eastAsiaTheme="minorEastAsia" w:hAnsi="Arial" w:cstheme="minorBidi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D3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167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A6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82"/>
    <w:rPr>
      <w:rFonts w:ascii="Arial" w:eastAsiaTheme="minorEastAsia" w:hAnsi="Arial" w:cstheme="minorBidi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B4C13"/>
    <w:pPr>
      <w:tabs>
        <w:tab w:val="center" w:pos="4513"/>
        <w:tab w:val="right" w:pos="9026"/>
      </w:tabs>
      <w:spacing w:after="240" w:line="240" w:lineRule="auto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CB4C13"/>
    <w:rPr>
      <w:rFonts w:ascii="Arial" w:hAnsi="Arial" w:cs="Arial"/>
      <w:sz w:val="19"/>
      <w:szCs w:val="20"/>
    </w:rPr>
  </w:style>
  <w:style w:type="paragraph" w:customStyle="1" w:styleId="Bullet">
    <w:name w:val="Bullet"/>
    <w:basedOn w:val="Normal"/>
    <w:rsid w:val="00672899"/>
    <w:pPr>
      <w:numPr>
        <w:numId w:val="1"/>
      </w:numPr>
      <w:spacing w:after="120"/>
    </w:pPr>
  </w:style>
  <w:style w:type="paragraph" w:customStyle="1" w:styleId="Heading1Black">
    <w:name w:val="Heading 1 Black"/>
    <w:basedOn w:val="Heading1"/>
    <w:next w:val="Normal1stParaafterHeading1"/>
    <w:autoRedefine/>
    <w:qFormat/>
    <w:rsid w:val="00FF0F5E"/>
    <w:pPr>
      <w:pBdr>
        <w:left w:val="single" w:sz="48" w:space="8" w:color="57259F"/>
      </w:pBdr>
      <w:spacing w:after="120"/>
      <w:ind w:left="284"/>
    </w:pPr>
    <w:rPr>
      <w:bCs/>
      <w:caps/>
      <w:color w:val="000000" w:themeColor="text1"/>
      <w:sz w:val="32"/>
      <w:szCs w:val="32"/>
    </w:rPr>
  </w:style>
  <w:style w:type="paragraph" w:customStyle="1" w:styleId="QuoteRef">
    <w:name w:val="Quote Ref"/>
    <w:basedOn w:val="Normal"/>
    <w:rsid w:val="00672899"/>
    <w:pPr>
      <w:spacing w:before="120"/>
    </w:pPr>
    <w:rPr>
      <w:color w:val="000000" w:themeColor="text1"/>
    </w:rPr>
  </w:style>
  <w:style w:type="paragraph" w:customStyle="1" w:styleId="TableText">
    <w:name w:val="Table Text"/>
    <w:rsid w:val="00672899"/>
    <w:pPr>
      <w:spacing w:after="120"/>
    </w:pPr>
    <w:rPr>
      <w:rFonts w:ascii="Arial" w:hAnsi="Arial"/>
      <w:bCs/>
      <w:sz w:val="18"/>
      <w:szCs w:val="18"/>
    </w:rPr>
  </w:style>
  <w:style w:type="paragraph" w:customStyle="1" w:styleId="TableHeaderRow">
    <w:name w:val="Table Header Row"/>
    <w:basedOn w:val="Normal"/>
    <w:rsid w:val="00672899"/>
    <w:pPr>
      <w:spacing w:after="0" w:line="240" w:lineRule="auto"/>
    </w:pPr>
    <w:rPr>
      <w:rFonts w:cs="Times New Roman"/>
      <w:bCs/>
      <w:color w:val="FFFFFF" w:themeColor="background1"/>
    </w:rPr>
  </w:style>
  <w:style w:type="paragraph" w:customStyle="1" w:styleId="TableTextbullet">
    <w:name w:val="Table Text bullet"/>
    <w:basedOn w:val="TableText"/>
    <w:rsid w:val="00672899"/>
    <w:pPr>
      <w:numPr>
        <w:numId w:val="2"/>
      </w:numPr>
      <w:spacing w:after="60" w:line="240" w:lineRule="auto"/>
    </w:pPr>
  </w:style>
  <w:style w:type="paragraph" w:customStyle="1" w:styleId="TabletextfirstColumn">
    <w:name w:val="Table text first Column"/>
    <w:basedOn w:val="TableText"/>
    <w:rsid w:val="00672899"/>
    <w:pPr>
      <w:spacing w:line="300" w:lineRule="auto"/>
    </w:pPr>
    <w:rPr>
      <w:bCs w:val="0"/>
      <w:i/>
    </w:rPr>
  </w:style>
  <w:style w:type="paragraph" w:customStyle="1" w:styleId="Heading2PriorityIntro">
    <w:name w:val="Heading 2 Priority Intro"/>
    <w:basedOn w:val="Heading2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spacing w:before="240"/>
      <w:ind w:left="170" w:right="170"/>
    </w:pPr>
  </w:style>
  <w:style w:type="paragraph" w:customStyle="1" w:styleId="NormalPriorityIntro">
    <w:name w:val="Normal Priority Intro"/>
    <w:basedOn w:val="Normal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left="170" w:right="170"/>
    </w:pPr>
  </w:style>
  <w:style w:type="paragraph" w:customStyle="1" w:styleId="BulletPriorityIntro">
    <w:name w:val="Bullet Priority Intro"/>
    <w:basedOn w:val="Bullet"/>
    <w:rsid w:val="00672899"/>
    <w:pPr>
      <w:numPr>
        <w:numId w:val="0"/>
      </w:num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right="170"/>
    </w:pPr>
  </w:style>
  <w:style w:type="paragraph" w:customStyle="1" w:styleId="CaptionReversed">
    <w:name w:val="Caption Reversed"/>
    <w:basedOn w:val="Caption"/>
    <w:rsid w:val="00672899"/>
    <w:pPr>
      <w:pBdr>
        <w:top w:val="single" w:sz="4" w:space="5" w:color="00B0F0"/>
        <w:left w:val="single" w:sz="4" w:space="5" w:color="00B0F0"/>
        <w:bottom w:val="single" w:sz="4" w:space="5" w:color="00B0F0"/>
        <w:right w:val="single" w:sz="4" w:space="5" w:color="00B0F0"/>
      </w:pBdr>
      <w:shd w:val="clear" w:color="auto" w:fill="00B0F0"/>
      <w:ind w:left="113" w:right="113"/>
    </w:pPr>
    <w:rPr>
      <w:color w:val="FFFFFF" w:themeColor="background1"/>
    </w:rPr>
  </w:style>
  <w:style w:type="paragraph" w:styleId="Caption">
    <w:name w:val="caption"/>
    <w:basedOn w:val="Normal"/>
    <w:next w:val="Normal"/>
    <w:uiPriority w:val="35"/>
    <w:unhideWhenUsed/>
    <w:qFormat/>
    <w:rsid w:val="004A32C3"/>
    <w:rPr>
      <w:bCs/>
      <w:color w:val="000000" w:themeColor="text1"/>
      <w:sz w:val="16"/>
      <w:szCs w:val="16"/>
    </w:rPr>
  </w:style>
  <w:style w:type="paragraph" w:customStyle="1" w:styleId="Boxbullets">
    <w:name w:val="Box bullets"/>
    <w:basedOn w:val="Bullet"/>
    <w:rsid w:val="00672899"/>
    <w:pPr>
      <w:numPr>
        <w:numId w:val="0"/>
      </w:numPr>
      <w:pBdr>
        <w:top w:val="single" w:sz="4" w:space="8" w:color="00B0F0"/>
        <w:left w:val="single" w:sz="4" w:space="5" w:color="00B0F0"/>
        <w:bottom w:val="single" w:sz="4" w:space="5" w:color="00B0F0"/>
        <w:right w:val="single" w:sz="4" w:space="5" w:color="00B0F0"/>
      </w:pBdr>
      <w:ind w:right="142"/>
    </w:pPr>
  </w:style>
  <w:style w:type="paragraph" w:customStyle="1" w:styleId="BoxText">
    <w:name w:val="Box Text"/>
    <w:basedOn w:val="Boxbullets"/>
    <w:rsid w:val="00672899"/>
    <w:pPr>
      <w:pBdr>
        <w:left w:val="single" w:sz="4" w:space="8" w:color="00B0F0"/>
        <w:bottom w:val="single" w:sz="4" w:space="8" w:color="00B0F0"/>
        <w:right w:val="single" w:sz="4" w:space="8" w:color="00B0F0"/>
      </w:pBdr>
      <w:ind w:left="198" w:right="198"/>
    </w:pPr>
  </w:style>
  <w:style w:type="paragraph" w:customStyle="1" w:styleId="ActionBullet">
    <w:name w:val="Action Bullet"/>
    <w:basedOn w:val="Boxbullets"/>
    <w:rsid w:val="00672899"/>
    <w:pPr>
      <w:pBdr>
        <w:top w:val="none" w:sz="0" w:space="0" w:color="auto"/>
        <w:left w:val="none" w:sz="0" w:space="0" w:color="auto"/>
        <w:bottom w:val="single" w:sz="4" w:space="8" w:color="00B0F0"/>
        <w:right w:val="none" w:sz="0" w:space="0" w:color="auto"/>
      </w:pBdr>
      <w:ind w:right="57"/>
    </w:pPr>
  </w:style>
  <w:style w:type="paragraph" w:customStyle="1" w:styleId="Normal1stParaafterHeading1">
    <w:name w:val="Normal 1st Para after Heading 1"/>
    <w:basedOn w:val="Normal"/>
    <w:next w:val="Normal"/>
    <w:rsid w:val="005F4768"/>
    <w:pPr>
      <w:spacing w:before="480"/>
    </w:pPr>
  </w:style>
  <w:style w:type="character" w:customStyle="1" w:styleId="Heading1Char">
    <w:name w:val="Heading 1 Char"/>
    <w:aliases w:val="Blue Char"/>
    <w:basedOn w:val="DefaultParagraphFont"/>
    <w:link w:val="Heading1"/>
    <w:uiPriority w:val="9"/>
    <w:rsid w:val="004A32C3"/>
    <w:rPr>
      <w:rFonts w:ascii="Arial" w:hAnsi="Arial" w:cs="Arial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B4C13"/>
    <w:rPr>
      <w:rFonts w:ascii="Arial" w:hAnsi="Arial" w:cs="Arial"/>
      <w:b/>
      <w:color w:val="57259F"/>
      <w:sz w:val="25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4C13"/>
    <w:rPr>
      <w:rFonts w:ascii="Arial" w:hAnsi="Arial" w:cs="Arial"/>
      <w:iCs/>
      <w:color w:val="57259F"/>
      <w:spacing w:val="5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B4C13"/>
    <w:rPr>
      <w:rFonts w:ascii="Arial" w:hAnsi="Arial" w:cs="Arial"/>
      <w:bCs/>
      <w:caps/>
      <w:color w:val="57259F"/>
      <w:spacing w:val="5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89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89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89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89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899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7289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899"/>
    <w:pPr>
      <w:outlineLvl w:val="9"/>
    </w:pPr>
    <w:rPr>
      <w:lang w:bidi="en-US"/>
    </w:rPr>
  </w:style>
  <w:style w:type="paragraph" w:customStyle="1" w:styleId="NumberedList">
    <w:name w:val="Numbered List"/>
    <w:basedOn w:val="Normal"/>
    <w:qFormat/>
    <w:rsid w:val="004A32C3"/>
    <w:pPr>
      <w:numPr>
        <w:numId w:val="3"/>
      </w:numPr>
      <w:spacing w:after="100"/>
      <w:ind w:left="714" w:hanging="357"/>
    </w:pPr>
    <w:rPr>
      <w:lang w:val="en"/>
    </w:rPr>
  </w:style>
  <w:style w:type="paragraph" w:customStyle="1" w:styleId="BulletedList">
    <w:name w:val="Bulleted List"/>
    <w:basedOn w:val="Normal"/>
    <w:qFormat/>
    <w:rsid w:val="001F1297"/>
    <w:pPr>
      <w:numPr>
        <w:numId w:val="4"/>
      </w:numPr>
      <w:spacing w:after="0"/>
      <w:contextualSpacing/>
    </w:pPr>
    <w:rPr>
      <w:lang w:val="en"/>
    </w:rPr>
  </w:style>
  <w:style w:type="paragraph" w:customStyle="1" w:styleId="Heading2Numbered">
    <w:name w:val="Heading 2 Numbered"/>
    <w:basedOn w:val="Heading2"/>
    <w:qFormat/>
    <w:rsid w:val="006164C2"/>
    <w:pPr>
      <w:numPr>
        <w:numId w:val="5"/>
      </w:numPr>
    </w:pPr>
    <w:rPr>
      <w:lang w:val="en"/>
    </w:rPr>
  </w:style>
  <w:style w:type="paragraph" w:customStyle="1" w:styleId="Heading3Numbered">
    <w:name w:val="Heading 3 Numbered"/>
    <w:basedOn w:val="Heading3"/>
    <w:qFormat/>
    <w:rsid w:val="006164C2"/>
    <w:pPr>
      <w:numPr>
        <w:numId w:val="6"/>
      </w:numPr>
    </w:pPr>
  </w:style>
  <w:style w:type="paragraph" w:customStyle="1" w:styleId="Heading4Numbered">
    <w:name w:val="Heading 4 Numbered"/>
    <w:basedOn w:val="Heading4"/>
    <w:qFormat/>
    <w:rsid w:val="006164C2"/>
    <w:pPr>
      <w:numPr>
        <w:numId w:val="7"/>
      </w:numPr>
    </w:pPr>
  </w:style>
  <w:style w:type="paragraph" w:customStyle="1" w:styleId="Boxshadedcolourbackground">
    <w:name w:val="Box shaded colour background"/>
    <w:basedOn w:val="Normal"/>
    <w:qFormat/>
    <w:rsid w:val="00F9158F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CE5F5"/>
      <w:spacing w:before="300" w:line="276" w:lineRule="auto"/>
      <w:ind w:left="170" w:right="170"/>
    </w:pPr>
    <w:rPr>
      <w:rFonts w:eastAsia="Calibri" w:cs="Times New Roman"/>
      <w:bCs/>
      <w:szCs w:val="21"/>
      <w:lang w:val="en-GB" w:eastAsia="en-US"/>
    </w:rPr>
  </w:style>
  <w:style w:type="paragraph" w:customStyle="1" w:styleId="Boxshadedgreybackgroundwithcolouredstrokeaboveandbelow">
    <w:name w:val="Box shaded grey background with coloured stroke above and below"/>
    <w:basedOn w:val="Normal"/>
    <w:qFormat/>
    <w:rsid w:val="00F15390"/>
    <w:pPr>
      <w:pBdr>
        <w:top w:val="single" w:sz="4" w:space="8" w:color="573393"/>
        <w:bottom w:val="single" w:sz="4" w:space="8" w:color="573393"/>
      </w:pBdr>
      <w:shd w:val="pct5" w:color="auto" w:fill="auto"/>
      <w:spacing w:before="200" w:line="276" w:lineRule="auto"/>
    </w:pPr>
    <w:rPr>
      <w:rFonts w:eastAsia="Calibri" w:cs="Times New Roman"/>
      <w:szCs w:val="21"/>
      <w:lang w:val="en-GB" w:eastAsia="en-US"/>
    </w:rPr>
  </w:style>
  <w:style w:type="paragraph" w:customStyle="1" w:styleId="Boxwithcolouredkeyline">
    <w:name w:val="Box with coloured keyline"/>
    <w:basedOn w:val="Normal"/>
    <w:qFormat/>
    <w:rsid w:val="00F15390"/>
    <w:pPr>
      <w:pBdr>
        <w:top w:val="single" w:sz="4" w:space="8" w:color="573393"/>
        <w:left w:val="single" w:sz="4" w:space="8" w:color="573393"/>
        <w:bottom w:val="single" w:sz="4" w:space="8" w:color="573393"/>
        <w:right w:val="single" w:sz="4" w:space="8" w:color="573393"/>
      </w:pBdr>
      <w:spacing w:after="120" w:line="276" w:lineRule="auto"/>
      <w:ind w:left="198" w:right="198"/>
    </w:pPr>
    <w:rPr>
      <w:rFonts w:eastAsia="Calibri" w:cs="Times New Roman"/>
      <w:szCs w:val="21"/>
      <w:lang w:val="en-GB" w:eastAsia="en-US"/>
    </w:rPr>
  </w:style>
  <w:style w:type="paragraph" w:customStyle="1" w:styleId="Footerborderabove">
    <w:name w:val="Footer border above"/>
    <w:basedOn w:val="Footer"/>
    <w:qFormat/>
    <w:rsid w:val="00CD0C70"/>
    <w:pPr>
      <w:pBdr>
        <w:top w:val="single" w:sz="8" w:space="6" w:color="57259F"/>
      </w:pBdr>
    </w:pPr>
  </w:style>
  <w:style w:type="paragraph" w:styleId="TOC1">
    <w:name w:val="toc 1"/>
    <w:basedOn w:val="Normal"/>
    <w:next w:val="Normal"/>
    <w:autoRedefine/>
    <w:uiPriority w:val="39"/>
    <w:rsid w:val="00561352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561352"/>
    <w:pPr>
      <w:spacing w:after="100"/>
      <w:ind w:left="210"/>
    </w:pPr>
  </w:style>
  <w:style w:type="paragraph" w:customStyle="1" w:styleId="Heading1option2">
    <w:name w:val="Heading 1 option 2"/>
    <w:basedOn w:val="Heading1Black"/>
    <w:qFormat/>
    <w:rsid w:val="00561352"/>
    <w:pPr>
      <w:pBdr>
        <w:left w:val="none" w:sz="0" w:space="0" w:color="auto"/>
      </w:pBdr>
      <w:ind w:left="0"/>
    </w:pPr>
    <w:rPr>
      <w:caps w:val="0"/>
      <w:color w:val="57259F"/>
      <w:sz w:val="36"/>
    </w:rPr>
  </w:style>
  <w:style w:type="paragraph" w:styleId="TOC3">
    <w:name w:val="toc 3"/>
    <w:basedOn w:val="Normal"/>
    <w:next w:val="Normal"/>
    <w:autoRedefine/>
    <w:uiPriority w:val="39"/>
    <w:rsid w:val="00561352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561352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5E0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E0FAB"/>
    <w:rPr>
      <w:rFonts w:ascii="Arial" w:hAnsi="Arial" w:cs="Arial"/>
      <w:sz w:val="2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E0FAB"/>
    <w:pPr>
      <w:spacing w:after="0" w:line="240" w:lineRule="auto"/>
    </w:pPr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0FAB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5E0FAB"/>
    <w:rPr>
      <w:vertAlign w:val="superscript"/>
    </w:rPr>
  </w:style>
  <w:style w:type="table" w:styleId="TableGrid">
    <w:name w:val="Table Grid"/>
    <w:basedOn w:val="TableNormal"/>
    <w:rsid w:val="002A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suedateinfo">
    <w:name w:val="Issue date info"/>
    <w:basedOn w:val="Normal"/>
    <w:qFormat/>
    <w:rsid w:val="00B44123"/>
    <w:pPr>
      <w:spacing w:before="120" w:after="240" w:line="360" w:lineRule="auto"/>
      <w:jc w:val="right"/>
    </w:pPr>
  </w:style>
  <w:style w:type="paragraph" w:customStyle="1" w:styleId="Sub-bulletedlist">
    <w:name w:val="Sub-bulleted list"/>
    <w:basedOn w:val="BulletedList"/>
    <w:rsid w:val="0018425E"/>
    <w:pPr>
      <w:numPr>
        <w:numId w:val="8"/>
      </w:numPr>
      <w:spacing w:line="240" w:lineRule="auto"/>
      <w:ind w:left="1797" w:hanging="357"/>
    </w:pPr>
    <w:rPr>
      <w:lang w:eastAsia="en-US"/>
    </w:rPr>
  </w:style>
  <w:style w:type="paragraph" w:customStyle="1" w:styleId="Sub-bullettedlist">
    <w:name w:val="Sub-bulletted list"/>
    <w:basedOn w:val="BulletedList"/>
    <w:qFormat/>
    <w:rsid w:val="009F4C87"/>
    <w:pPr>
      <w:numPr>
        <w:numId w:val="9"/>
      </w:numPr>
      <w:spacing w:after="120"/>
      <w:contextualSpacing w:val="0"/>
    </w:pPr>
    <w:rPr>
      <w:i/>
    </w:rPr>
  </w:style>
  <w:style w:type="character" w:styleId="CommentReference">
    <w:name w:val="annotation reference"/>
    <w:basedOn w:val="DefaultParagraphFont"/>
    <w:rsid w:val="00E228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28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28B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22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28B6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28B6"/>
    <w:pPr>
      <w:spacing w:after="0" w:line="240" w:lineRule="auto"/>
    </w:pPr>
    <w:rPr>
      <w:rFonts w:ascii="Arial" w:hAnsi="Arial" w:cs="Arial"/>
      <w:sz w:val="21"/>
      <w:szCs w:val="20"/>
    </w:rPr>
  </w:style>
  <w:style w:type="paragraph" w:customStyle="1" w:styleId="Bodytext-bullet">
    <w:name w:val="Body text - bullet"/>
    <w:qFormat/>
    <w:rsid w:val="00826860"/>
    <w:pPr>
      <w:numPr>
        <w:numId w:val="10"/>
      </w:numPr>
      <w:tabs>
        <w:tab w:val="left" w:pos="709"/>
      </w:tabs>
      <w:spacing w:after="12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Figureheading">
    <w:name w:val="Figure heading"/>
    <w:next w:val="Normal"/>
    <w:qFormat/>
    <w:rsid w:val="00F8060C"/>
    <w:pPr>
      <w:tabs>
        <w:tab w:val="left" w:pos="1134"/>
      </w:tabs>
      <w:spacing w:before="240" w:after="240" w:line="240" w:lineRule="auto"/>
      <w:ind w:left="1134" w:hanging="1134"/>
    </w:pPr>
    <w:rPr>
      <w:rFonts w:ascii="Times New Roman" w:eastAsia="Times New Roman" w:hAnsi="Times New Roman" w:cs="Times New Roman"/>
      <w:b/>
      <w:szCs w:val="20"/>
    </w:rPr>
  </w:style>
  <w:style w:type="paragraph" w:customStyle="1" w:styleId="Tabletext0">
    <w:name w:val="Table text"/>
    <w:qFormat/>
    <w:rsid w:val="00F8060C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customStyle="1" w:styleId="Tablecolumnheading">
    <w:name w:val="Table column heading"/>
    <w:qFormat/>
    <w:rsid w:val="00F8060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Intropara">
    <w:name w:val="Intro para"/>
    <w:next w:val="BodyText"/>
    <w:qFormat/>
    <w:rsid w:val="006B5200"/>
    <w:pPr>
      <w:spacing w:before="240" w:after="240" w:line="240" w:lineRule="auto"/>
    </w:pPr>
    <w:rPr>
      <w:rFonts w:ascii="Times New Roman" w:eastAsia="Times New Roman" w:hAnsi="Times New Roman" w:cs="Times New Roman"/>
      <w:i/>
      <w:szCs w:val="20"/>
    </w:rPr>
  </w:style>
  <w:style w:type="paragraph" w:customStyle="1" w:styleId="Default">
    <w:name w:val="Default"/>
    <w:rsid w:val="003C07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07DA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4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7985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  <w:div w:id="212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589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484547412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922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551308265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.gov.au/resources/publications/atagi-clinical-advice-on-vaccination-recommendations-for-people-with-risk-conditions-from-1-july-202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munisationhandbook.govcms.gov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ty_x0020_Reviewer_x0028_s_x0029_ xmlns="2bd5d25a-ed67-4748-9d94-e4b1e4baa595">
      <UserInfo>
        <DisplayName>FERLITSCH, Sarah</DisplayName>
        <AccountId>17325</AccountId>
        <AccountType/>
      </UserInfo>
    </Quality_x0020_Reviewer_x0028_s_x0029_>
    <Content_x0020_Owner_x0020_Designation xmlns="2bd5d25a-ed67-4748-9d94-e4b1e4baa595">Assistant Secretary</Content_x0020_Owner_x0020_Designation>
    <Publishing_x0020_Required_x0020_By xmlns="2bd5d25a-ed67-4748-9d94-e4b1e4baa595" xsi:nil="true"/>
    <Approved_x0020_Date xmlns="2bd5d25a-ed67-4748-9d94-e4b1e4baa595">2020-06-02T14:00:00+00:00</Approved_x0020_Date>
    <IconOverlay xmlns="http://schemas.microsoft.com/sharepoint/v4" xsi:nil="true"/>
    <Content_x0020_Approver xmlns="2bd5d25a-ed67-4748-9d94-e4b1e4baa595">
      <UserInfo>
        <DisplayName>PEISLEY, Hope</DisplayName>
        <AccountId>4376</AccountId>
        <AccountType/>
      </UserInfo>
    </Content_x0020_Approver>
    <Content_x0020_Owner_x0020_Division xmlns="2bd5d25a-ed67-4748-9d94-e4b1e4baa595">Office of Health Protection DIV</Content_x0020_Owner_x0020_Division>
    <Content_x0020_Owner_x0020_Branch xmlns="2bd5d25a-ed67-4748-9d94-e4b1e4baa595">OHPD Immunisation BR</Content_x0020_Owner_x0020_Branch>
    <Package_x0020_Status xmlns="2bd5d25a-ed67-4748-9d94-e4b1e4baa595">Approved</Package_x0020_Status>
    <Content_x0020_Owner_x0020_Section xmlns="2bd5d25a-ed67-4748-9d94-e4b1e4baa595">OHPD IB Executive SN</Content_x0020_Owner_x0020_Section>
    <Peer_x0020_Review_x0020_Required_x0020_By xmlns="2bd5d25a-ed67-4748-9d94-e4b1e4baa595">
      <UserInfo>
        <DisplayName>HAWKINS, Louise</DisplayName>
        <AccountId>17803</AccountId>
        <AccountType/>
      </UserInfo>
    </Peer_x0020_Review_x0020_Required_x0020_By>
    <Content_x0020_Owner xmlns="2bd5d25a-ed67-4748-9d94-e4b1e4baa595">
      <UserInfo>
        <DisplayName>PEISLEY, Hope</DisplayName>
        <AccountId>4376</AccountId>
        <AccountType/>
      </UserInfo>
    </Content_x0020_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0361B2D965776F46A203A558DA3BDE9C010068A92C094D8C8E439A2AE59D29D483FC" ma:contentTypeVersion="11" ma:contentTypeDescription="" ma:contentTypeScope="" ma:versionID="fda28e8f4d81d3bda79cafce45542f99">
  <xsd:schema xmlns:xsd="http://www.w3.org/2001/XMLSchema" xmlns:xs="http://www.w3.org/2001/XMLSchema" xmlns:p="http://schemas.microsoft.com/office/2006/metadata/properties" xmlns:ns1="http://schemas.microsoft.com/sharepoint/v3" xmlns:ns2="2bd5d25a-ed67-4748-9d94-e4b1e4baa595" xmlns:ns4="http://schemas.microsoft.com/sharepoint/v4" targetNamespace="http://schemas.microsoft.com/office/2006/metadata/properties" ma:root="true" ma:fieldsID="d54c29beb52bb81063455bddecc952cc" ns1:_="" ns2:_="" ns4:_="">
    <xsd:import namespace="http://schemas.microsoft.com/sharepoint/v3"/>
    <xsd:import namespace="2bd5d25a-ed67-4748-9d94-e4b1e4baa59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ublishing_x0020_Required_x0020_By" minOccurs="0"/>
                <xsd:element ref="ns2:Package_x0020_Status" minOccurs="0"/>
                <xsd:element ref="ns2:Content_x0020_Owner_x0020_Designation" minOccurs="0"/>
                <xsd:element ref="ns2:Content_x0020_Owner_x0020_Section" minOccurs="0"/>
                <xsd:element ref="ns2:Content_x0020_Owner_x0020_Division" minOccurs="0"/>
                <xsd:element ref="ns2:Content_x0020_Owner_x0020_Branch" minOccurs="0"/>
                <xsd:element ref="ns2:Approved_x0020_Date" minOccurs="0"/>
                <xsd:element ref="ns2:Content_x0020_Owner"/>
                <xsd:element ref="ns2:Quality_x0020_Reviewer_x0028_s_x0029_"/>
                <xsd:element ref="ns2:Peer_x0020_Review_x0020_Required_x0020_By" minOccurs="0"/>
                <xsd:element ref="ns2:Content_x0020_Approver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d25a-ed67-4748-9d94-e4b1e4baa595" elementFormDefault="qualified">
    <xsd:import namespace="http://schemas.microsoft.com/office/2006/documentManagement/types"/>
    <xsd:import namespace="http://schemas.microsoft.com/office/infopath/2007/PartnerControls"/>
    <xsd:element name="Publishing_x0020_Required_x0020_By" ma:index="8" nillable="true" ma:displayName="Publishing Required By" ma:description="Select the date this web page is due to be published." ma:format="DateOnly" ma:internalName="Publishing_x0020_Required_x0020_By">
      <xsd:simpleType>
        <xsd:restriction base="dms:DateTime"/>
      </xsd:simpleType>
    </xsd:element>
    <xsd:element name="Package_x0020_Status" ma:index="9" nillable="true" ma:displayName="Package Status" ma:default="Draft" ma:description="Note: DO NOT ADD A VALUE TO THIS" ma:format="Dropdown" ma:internalName="Package_x0020_Status">
      <xsd:simpleType>
        <xsd:restriction base="dms:Choice">
          <xsd:enumeration value="Draft"/>
          <xsd:enumeration value="Peer Review In Progress"/>
          <xsd:enumeration value="Quality Review In Progress"/>
          <xsd:enumeration value="Content Approval In Progress"/>
          <xsd:enumeration value="Approved"/>
          <xsd:enumeration value="Published"/>
        </xsd:restriction>
      </xsd:simpleType>
    </xsd:element>
    <xsd:element name="Content_x0020_Owner_x0020_Designation" ma:index="10" nillable="true" ma:displayName="Content Owner Designation" ma:description="Note: Leave this field blank to have it automatically populated via workflow" ma:internalName="Content_x0020_Owner_x0020_Designation">
      <xsd:simpleType>
        <xsd:restriction base="dms:Text">
          <xsd:maxLength value="255"/>
        </xsd:restriction>
      </xsd:simpleType>
    </xsd:element>
    <xsd:element name="Content_x0020_Owner_x0020_Section" ma:index="11" nillable="true" ma:displayName="Content Owner Section" ma:description="Note: Leave this field blank to have it automatically populated via workflow" ma:internalName="Content_x0020_Owner_x0020_Section">
      <xsd:simpleType>
        <xsd:restriction base="dms:Text">
          <xsd:maxLength value="255"/>
        </xsd:restriction>
      </xsd:simpleType>
    </xsd:element>
    <xsd:element name="Content_x0020_Owner_x0020_Division" ma:index="12" nillable="true" ma:displayName="Content Owner Division" ma:description="Note: Leave this field blank to have it automatically populated via workflow" ma:internalName="Content_x0020_Owner_x0020_Division">
      <xsd:simpleType>
        <xsd:restriction base="dms:Text">
          <xsd:maxLength value="255"/>
        </xsd:restriction>
      </xsd:simpleType>
    </xsd:element>
    <xsd:element name="Content_x0020_Owner_x0020_Branch" ma:index="13" nillable="true" ma:displayName="Content Owner Branch" ma:description="Note: Leave this field blank to have it automatically populated via workflow" ma:internalName="Content_x0020_Owner_x0020_Branch">
      <xsd:simpleType>
        <xsd:restriction base="dms:Text">
          <xsd:maxLength value="255"/>
        </xsd:restriction>
      </xsd:simpleType>
    </xsd:element>
    <xsd:element name="Approved_x0020_Date" ma:index="14" nillable="true" ma:displayName="Approved Date" ma:description="Note: DO NOT ADD A VALUE TO THIS" ma:format="DateOnly" ma:internalName="Approved_x0020_Date">
      <xsd:simpleType>
        <xsd:restriction base="dms:DateTime"/>
      </xsd:simpleType>
    </xsd:element>
    <xsd:element name="Content_x0020_Owner" ma:index="17" ma:displayName="Content Owner" ma:description="Specify the owner (Branch Head) of the content" ma:list="UserInfo" ma:SharePointGroup="0" ma:internalName="Cont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uality_x0020_Reviewer_x0028_s_x0029_" ma:index="18" ma:displayName="Quality Reviewer(s)" ma:list="UserInfo" ma:SharePointGroup="0" ma:internalName="Quality_x0020_Reviewe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er_x0020_Review_x0020_Required_x0020_By" ma:index="19" nillable="true" ma:displayName="Peer Review Required By" ma:list="UserInfo" ma:SharePointGroup="0" ma:internalName="Peer_x0020_Review_x0020_Required_x0020_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Approver" ma:index="20" ma:displayName="Content Approver" ma:description="Specify the Content Approver (EL2 or above) to approve your content" ma:list="UserInfo" ma:SharePointGroup="0" ma:internalName="Content_x0020_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Aus162</b:Tag>
    <b:SourceType>InternetSite</b:SourceType>
    <b:Guid>{EBAC5F51-2B39-A24B-BEC6-C2CC1D021785}</b:Guid>
    <b:Title>4364.0.55.001 - National Health Survey: First Results, 2014-15</b:Title>
    <b:Year>2016</b:Year>
    <b:Month>March</b:Month>
    <b:Day>23</b:Day>
    <b:Author>
      <b:Author>
        <b:Corporate>Australian Bureau of Statistics</b:Corporate>
      </b:Author>
    </b:Author>
    <b:URL>http://www.abs.gov.au/ausstats/abs@.nsf/mf/4364.0.55.001</b:URL>
    <b:YearAccessed>2016</b:YearAccessed>
    <b:MonthAccessed>October</b:MonthAccessed>
    <b:DayAccessed>10</b:DayAccessed>
    <b:InternetSiteTitle>Australian Bureau of Statistics</b:InternetSiteTitle>
    <b:RefOrder>14</b:RefOrder>
  </b:Source>
</b:Sources>
</file>

<file path=customXml/itemProps1.xml><?xml version="1.0" encoding="utf-8"?>
<ds:datastoreItem xmlns:ds="http://schemas.openxmlformats.org/officeDocument/2006/customXml" ds:itemID="{9DA92DD6-81A4-4C7E-975D-40569B46A68D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bd5d25a-ed67-4748-9d94-e4b1e4baa595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D6C9B8-AE33-4BAF-AB16-A9B21FF0A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d5d25a-ed67-4748-9d94-e4b1e4baa59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A7748-49AE-40BC-B65D-21F1AC0CAB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CD75B4-2930-432F-A128-7F6F2385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2552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 Alicia</dc:creator>
  <cp:lastModifiedBy>Richardson, Janine</cp:lastModifiedBy>
  <cp:revision>2</cp:revision>
  <cp:lastPrinted>2020-06-03T03:38:00Z</cp:lastPrinted>
  <dcterms:created xsi:type="dcterms:W3CDTF">2020-06-03T03:39:00Z</dcterms:created>
  <dcterms:modified xsi:type="dcterms:W3CDTF">2020-06-03T03:39:00Z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0x0101000361B2D965776F46A203A558DA3BDE9C010068A92C094D8C8E439A2AE59D29D483FC</vt:lpwstr>
  </property>
  <property fmtid="{D5CDD505-2E9C-101B-9397-08002B2CF9AE}" pid="3" name="_docset_NoMedatataSyncRequired">
    <vt:lpwstr>False</vt:lpwstr>
  </property>
  <property fmtid="{D5CDD505-2E9C-101B-9397-08002B2CF9AE}" pid="4" name="WorkflowChangePath">
    <vt:lpwstr>b55235ed-5ca5-4ec6-8961-3a05ae543b2a,6;b55235ed-5ca5-4ec6-8961-3a05ae543b2a,6;b55235ed-5ca5-4ec6-8961-3a05ae543b2a,6;b55235ed-5ca5-4ec6-8961-3a05ae543b2a,6;b55235ed-5ca5-4ec6-8961-3a05ae543b2a,2;b55235ed-5ca5-4ec6-8961-3a05ae543b2a,2;b55235ed-5ca5-4ec6-89</vt:lpwstr>
  </property>
</Properties>
</file>