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 Gov and ATAGI header"/>
      </w:tblPr>
      <w:tblGrid>
        <w:gridCol w:w="3212"/>
        <w:gridCol w:w="6884"/>
      </w:tblGrid>
      <w:tr w:rsidR="004F3AA0" w14:paraId="4A499087" w14:textId="77777777" w:rsidTr="00083432">
        <w:trPr>
          <w:trHeight w:val="1831"/>
          <w:tblHeader/>
        </w:trPr>
        <w:tc>
          <w:tcPr>
            <w:tcW w:w="3226" w:type="dxa"/>
            <w:shd w:val="clear" w:color="auto" w:fill="55259E"/>
            <w:vAlign w:val="center"/>
          </w:tcPr>
          <w:p w14:paraId="4805375A" w14:textId="77777777" w:rsidR="004F3AA0" w:rsidRPr="004F3AA0" w:rsidRDefault="004F3AA0" w:rsidP="004F3AA0">
            <w:r w:rsidRPr="004F3AA0">
              <w:rPr>
                <w:noProof/>
              </w:rPr>
              <w:drawing>
                <wp:inline distT="0" distB="0" distL="0" distR="0" wp14:anchorId="4BBC4AFE" wp14:editId="1195CE4A">
                  <wp:extent cx="1477010" cy="979170"/>
                  <wp:effectExtent l="0" t="0" r="8890" b="0"/>
                  <wp:docPr id="1" name="Picture 1" title="Aus Gov -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white.png"/>
                          <pic:cNvPicPr/>
                        </pic:nvPicPr>
                        <pic:blipFill>
                          <a:blip r:embed="rId11">
                            <a:extLst>
                              <a:ext uri="{28A0092B-C50C-407E-A947-70E740481C1C}">
                                <a14:useLocalDpi xmlns:a14="http://schemas.microsoft.com/office/drawing/2010/main" val="0"/>
                              </a:ext>
                            </a:extLst>
                          </a:blip>
                          <a:stretch>
                            <a:fillRect/>
                          </a:stretch>
                        </pic:blipFill>
                        <pic:spPr>
                          <a:xfrm>
                            <a:off x="0" y="0"/>
                            <a:ext cx="1477010" cy="979170"/>
                          </a:xfrm>
                          <a:prstGeom prst="rect">
                            <a:avLst/>
                          </a:prstGeom>
                          <a:solidFill>
                            <a:srgbClr val="57259F"/>
                          </a:solidFill>
                        </pic:spPr>
                      </pic:pic>
                    </a:graphicData>
                  </a:graphic>
                </wp:inline>
              </w:drawing>
            </w:r>
          </w:p>
        </w:tc>
        <w:tc>
          <w:tcPr>
            <w:tcW w:w="6980" w:type="dxa"/>
            <w:shd w:val="clear" w:color="auto" w:fill="55259E"/>
            <w:vAlign w:val="center"/>
          </w:tcPr>
          <w:p w14:paraId="0B294BB2" w14:textId="77777777" w:rsidR="003021C5" w:rsidRPr="00573A25" w:rsidRDefault="003021C5" w:rsidP="00573A25">
            <w:pPr>
              <w:ind w:right="175"/>
              <w:jc w:val="right"/>
              <w:rPr>
                <w:color w:val="FFFFFF" w:themeColor="background1"/>
                <w:sz w:val="28"/>
              </w:rPr>
            </w:pPr>
            <w:r w:rsidRPr="003021C5">
              <w:rPr>
                <w:color w:val="FFFFFF" w:themeColor="background1"/>
                <w:sz w:val="28"/>
              </w:rPr>
              <w:t>AUST</w:t>
            </w:r>
            <w:r w:rsidR="00573A25">
              <w:rPr>
                <w:color w:val="FFFFFF" w:themeColor="background1"/>
                <w:sz w:val="28"/>
              </w:rPr>
              <w:t xml:space="preserve">RALIAN TECHNICAL ADVISORY GROUP </w:t>
            </w:r>
            <w:r w:rsidRPr="003021C5">
              <w:rPr>
                <w:color w:val="FFFFFF" w:themeColor="background1"/>
                <w:sz w:val="28"/>
              </w:rPr>
              <w:t>ON</w:t>
            </w:r>
            <w:r w:rsidR="00573A25">
              <w:rPr>
                <w:color w:val="FFFFFF" w:themeColor="background1"/>
                <w:sz w:val="28"/>
              </w:rPr>
              <w:t xml:space="preserve"> </w:t>
            </w:r>
            <w:r w:rsidRPr="003021C5">
              <w:rPr>
                <w:color w:val="FFFFFF" w:themeColor="background1"/>
                <w:sz w:val="28"/>
              </w:rPr>
              <w:t>IMMUNISATION (ATAGI) |</w:t>
            </w:r>
            <w:r w:rsidRPr="003021C5">
              <w:rPr>
                <w:b/>
                <w:color w:val="FFFFFF" w:themeColor="background1"/>
                <w:sz w:val="28"/>
              </w:rPr>
              <w:t xml:space="preserve"> CLINICAL ADVICE</w:t>
            </w:r>
          </w:p>
        </w:tc>
      </w:tr>
      <w:tr w:rsidR="004F3AA0" w14:paraId="257C5FC5" w14:textId="77777777" w:rsidTr="003021C5">
        <w:tc>
          <w:tcPr>
            <w:tcW w:w="3226" w:type="dxa"/>
            <w:shd w:val="clear" w:color="auto" w:fill="55259E"/>
          </w:tcPr>
          <w:p w14:paraId="033A72F9" w14:textId="77777777" w:rsidR="004F3AA0" w:rsidRPr="004F3AA0" w:rsidRDefault="004F3AA0" w:rsidP="004F3AA0"/>
        </w:tc>
        <w:tc>
          <w:tcPr>
            <w:tcW w:w="6980" w:type="dxa"/>
            <w:shd w:val="clear" w:color="auto" w:fill="55259E"/>
            <w:vAlign w:val="center"/>
          </w:tcPr>
          <w:p w14:paraId="74596B75" w14:textId="74F809B5" w:rsidR="004F3AA0" w:rsidRPr="003021C5" w:rsidRDefault="00EA47F0" w:rsidP="000A5062">
            <w:pPr>
              <w:pStyle w:val="BodyText"/>
              <w:ind w:right="175"/>
              <w:jc w:val="right"/>
              <w:rPr>
                <w:b/>
                <w:color w:val="FFFFFF" w:themeColor="background1"/>
              </w:rPr>
            </w:pPr>
            <w:r>
              <w:rPr>
                <w:b/>
                <w:color w:val="FFFFFF" w:themeColor="background1"/>
              </w:rPr>
              <w:t xml:space="preserve">Issue date: 1 </w:t>
            </w:r>
            <w:bookmarkStart w:id="0" w:name="_GoBack"/>
            <w:bookmarkEnd w:id="0"/>
            <w:r w:rsidR="008342CE">
              <w:rPr>
                <w:b/>
                <w:color w:val="FFFFFF" w:themeColor="background1"/>
              </w:rPr>
              <w:t>July</w:t>
            </w:r>
            <w:r w:rsidR="000A5062">
              <w:rPr>
                <w:b/>
                <w:color w:val="FFFFFF" w:themeColor="background1"/>
              </w:rPr>
              <w:t xml:space="preserve"> 2020</w:t>
            </w:r>
          </w:p>
        </w:tc>
      </w:tr>
      <w:tr w:rsidR="004F3AA0" w14:paraId="19A77114" w14:textId="77777777" w:rsidTr="003021C5">
        <w:trPr>
          <w:trHeight w:val="437"/>
        </w:trPr>
        <w:tc>
          <w:tcPr>
            <w:tcW w:w="3226" w:type="dxa"/>
            <w:shd w:val="clear" w:color="auto" w:fill="auto"/>
          </w:tcPr>
          <w:p w14:paraId="2F72C123" w14:textId="77777777" w:rsidR="004F3AA0" w:rsidRPr="004F3AA0" w:rsidRDefault="004F3AA0" w:rsidP="004F3AA0"/>
        </w:tc>
        <w:tc>
          <w:tcPr>
            <w:tcW w:w="6980" w:type="dxa"/>
            <w:shd w:val="clear" w:color="auto" w:fill="auto"/>
          </w:tcPr>
          <w:p w14:paraId="60683ADF" w14:textId="77777777" w:rsidR="004F3AA0" w:rsidRPr="004F3AA0" w:rsidRDefault="004F3AA0" w:rsidP="004F3AA0"/>
        </w:tc>
      </w:tr>
    </w:tbl>
    <w:p w14:paraId="47A9CD9A" w14:textId="77777777" w:rsidR="005E0FAB" w:rsidRPr="00AC23C0" w:rsidRDefault="00654562" w:rsidP="00826860">
      <w:pPr>
        <w:pStyle w:val="Heading1Black"/>
        <w:spacing w:after="0"/>
        <w:rPr>
          <w:sz w:val="28"/>
          <w:szCs w:val="30"/>
        </w:rPr>
      </w:pPr>
      <w:r>
        <w:rPr>
          <w:sz w:val="28"/>
          <w:szCs w:val="30"/>
        </w:rPr>
        <w:t xml:space="preserve">ATAGI </w:t>
      </w:r>
      <w:r w:rsidR="001D16EB">
        <w:rPr>
          <w:sz w:val="28"/>
          <w:szCs w:val="30"/>
        </w:rPr>
        <w:t>CLINICAL ADVICE</w:t>
      </w:r>
      <w:r w:rsidR="00826860" w:rsidRPr="00AC23C0">
        <w:rPr>
          <w:sz w:val="28"/>
          <w:szCs w:val="30"/>
        </w:rPr>
        <w:t xml:space="preserve"> </w:t>
      </w:r>
      <w:r w:rsidR="001D16EB">
        <w:rPr>
          <w:sz w:val="28"/>
          <w:szCs w:val="30"/>
        </w:rPr>
        <w:t xml:space="preserve">ON </w:t>
      </w:r>
      <w:r w:rsidR="00EB072F">
        <w:rPr>
          <w:sz w:val="28"/>
          <w:szCs w:val="30"/>
        </w:rPr>
        <w:t xml:space="preserve">CHANGES TO </w:t>
      </w:r>
      <w:r w:rsidR="00FE638B">
        <w:rPr>
          <w:sz w:val="28"/>
          <w:szCs w:val="30"/>
        </w:rPr>
        <w:t xml:space="preserve">vaccine </w:t>
      </w:r>
      <w:r w:rsidR="00286888">
        <w:rPr>
          <w:sz w:val="28"/>
          <w:szCs w:val="30"/>
        </w:rPr>
        <w:t xml:space="preserve">RECOMMENDATIONS </w:t>
      </w:r>
      <w:r w:rsidR="00FE638B">
        <w:rPr>
          <w:sz w:val="28"/>
          <w:szCs w:val="30"/>
        </w:rPr>
        <w:t xml:space="preserve">and funding </w:t>
      </w:r>
      <w:r w:rsidR="000354E7">
        <w:rPr>
          <w:sz w:val="28"/>
          <w:szCs w:val="30"/>
        </w:rPr>
        <w:t xml:space="preserve">for </w:t>
      </w:r>
      <w:r w:rsidR="00EB072F" w:rsidRPr="00EB072F">
        <w:rPr>
          <w:sz w:val="28"/>
          <w:szCs w:val="30"/>
        </w:rPr>
        <w:t xml:space="preserve">people </w:t>
      </w:r>
      <w:r w:rsidR="001E1987">
        <w:rPr>
          <w:sz w:val="28"/>
          <w:szCs w:val="30"/>
        </w:rPr>
        <w:t xml:space="preserve">with risk </w:t>
      </w:r>
      <w:r w:rsidR="00286888">
        <w:rPr>
          <w:sz w:val="28"/>
          <w:szCs w:val="30"/>
        </w:rPr>
        <w:t>CONDITIONs</w:t>
      </w:r>
      <w:r w:rsidR="00FE638B" w:rsidRPr="00FE638B">
        <w:t xml:space="preserve"> </w:t>
      </w:r>
      <w:r w:rsidR="00FE638B" w:rsidRPr="00FE638B">
        <w:rPr>
          <w:sz w:val="28"/>
          <w:szCs w:val="30"/>
        </w:rPr>
        <w:t xml:space="preserve">from </w:t>
      </w:r>
      <w:r w:rsidR="00EF04CE">
        <w:rPr>
          <w:sz w:val="28"/>
          <w:szCs w:val="30"/>
        </w:rPr>
        <w:t xml:space="preserve">1 </w:t>
      </w:r>
      <w:r w:rsidR="00FE638B" w:rsidRPr="00FE638B">
        <w:rPr>
          <w:sz w:val="28"/>
          <w:szCs w:val="30"/>
        </w:rPr>
        <w:t>July 2020</w:t>
      </w:r>
    </w:p>
    <w:p w14:paraId="58386991" w14:textId="77777777" w:rsidR="00CF52A5" w:rsidRDefault="00CF52A5" w:rsidP="009B1187">
      <w:pPr>
        <w:spacing w:after="0" w:line="240" w:lineRule="auto"/>
        <w:rPr>
          <w:szCs w:val="21"/>
        </w:rPr>
      </w:pPr>
    </w:p>
    <w:p w14:paraId="584175C5" w14:textId="4C22C313" w:rsidR="006B5200" w:rsidRPr="009C281E" w:rsidRDefault="006B5200" w:rsidP="009B1187">
      <w:pPr>
        <w:spacing w:after="0" w:line="240" w:lineRule="auto"/>
        <w:rPr>
          <w:rFonts w:ascii="Times New Roman" w:hAnsi="Times New Roman" w:cs="Times New Roman"/>
          <w:i/>
          <w:sz w:val="24"/>
          <w:szCs w:val="24"/>
        </w:rPr>
      </w:pPr>
      <w:r w:rsidRPr="009C281E">
        <w:rPr>
          <w:i/>
          <w:szCs w:val="21"/>
        </w:rPr>
        <w:t xml:space="preserve">It is important to read this statement in conjunction </w:t>
      </w:r>
      <w:r w:rsidR="00433A23" w:rsidRPr="009C281E">
        <w:rPr>
          <w:i/>
          <w:szCs w:val="21"/>
        </w:rPr>
        <w:t xml:space="preserve">with The Australian Immunisation Handbook available </w:t>
      </w:r>
      <w:r w:rsidR="004A1690" w:rsidRPr="009C281E">
        <w:rPr>
          <w:i/>
          <w:szCs w:val="21"/>
        </w:rPr>
        <w:t xml:space="preserve">at </w:t>
      </w:r>
      <w:r w:rsidR="00CF1008" w:rsidRPr="009C281E">
        <w:rPr>
          <w:i/>
          <w:szCs w:val="21"/>
        </w:rPr>
        <w:t>immunisationhandbook.</w:t>
      </w:r>
      <w:r w:rsidR="009A6FF4" w:rsidRPr="009C281E">
        <w:rPr>
          <w:i/>
          <w:szCs w:val="21"/>
        </w:rPr>
        <w:t>health</w:t>
      </w:r>
      <w:r w:rsidR="00CF1008" w:rsidRPr="009C281E">
        <w:rPr>
          <w:i/>
          <w:szCs w:val="21"/>
        </w:rPr>
        <w:t>.gov.au</w:t>
      </w:r>
      <w:r w:rsidR="009C281E" w:rsidRPr="009C281E">
        <w:rPr>
          <w:i/>
        </w:rPr>
        <w:t xml:space="preserve"> </w:t>
      </w:r>
      <w:r w:rsidR="009C281E" w:rsidRPr="009C281E">
        <w:rPr>
          <w:i/>
          <w:szCs w:val="21"/>
        </w:rPr>
        <w:t>and other related ATAGI statements on NIP schedule changes from 1 July 2020</w:t>
      </w:r>
    </w:p>
    <w:p w14:paraId="624FE4D3" w14:textId="77777777" w:rsidR="00A91F1F" w:rsidRPr="00A91F1F" w:rsidRDefault="00B64B14" w:rsidP="00A91F1F">
      <w:pPr>
        <w:pStyle w:val="Heading2"/>
        <w:rPr>
          <w:sz w:val="20"/>
          <w:szCs w:val="18"/>
          <w:lang w:eastAsia="en-US"/>
        </w:rPr>
      </w:pPr>
      <w:r w:rsidRPr="00AC23C0">
        <w:rPr>
          <w:sz w:val="20"/>
          <w:szCs w:val="18"/>
          <w:lang w:eastAsia="en-US"/>
        </w:rPr>
        <w:t>Overview of</w:t>
      </w:r>
      <w:r w:rsidR="005E0FAB" w:rsidRPr="00AC23C0">
        <w:rPr>
          <w:sz w:val="20"/>
          <w:szCs w:val="18"/>
          <w:lang w:eastAsia="en-US"/>
        </w:rPr>
        <w:t xml:space="preserve"> key </w:t>
      </w:r>
      <w:r w:rsidR="00B04C02">
        <w:rPr>
          <w:sz w:val="20"/>
          <w:szCs w:val="18"/>
          <w:lang w:eastAsia="en-US"/>
        </w:rPr>
        <w:t xml:space="preserve">changes to recommendations for </w:t>
      </w:r>
      <w:r w:rsidR="00E83AB0">
        <w:rPr>
          <w:sz w:val="20"/>
          <w:szCs w:val="18"/>
          <w:lang w:eastAsia="en-US"/>
        </w:rPr>
        <w:t xml:space="preserve">individuals </w:t>
      </w:r>
      <w:r w:rsidR="009255AF">
        <w:rPr>
          <w:sz w:val="20"/>
          <w:szCs w:val="18"/>
          <w:lang w:eastAsia="en-US"/>
        </w:rPr>
        <w:t>with</w:t>
      </w:r>
      <w:r w:rsidR="00E83AB0">
        <w:rPr>
          <w:sz w:val="20"/>
          <w:szCs w:val="18"/>
          <w:lang w:eastAsia="en-US"/>
        </w:rPr>
        <w:t xml:space="preserve"> risk </w:t>
      </w:r>
      <w:r w:rsidR="007B4B27">
        <w:rPr>
          <w:sz w:val="20"/>
          <w:szCs w:val="18"/>
          <w:lang w:eastAsia="en-US"/>
        </w:rPr>
        <w:t>conditions</w:t>
      </w:r>
    </w:p>
    <w:p w14:paraId="521C2278" w14:textId="77777777" w:rsidR="004D1C20" w:rsidRPr="004D1C20" w:rsidRDefault="007B4B27" w:rsidP="000348A6">
      <w:pPr>
        <w:pStyle w:val="ListParagraph"/>
        <w:numPr>
          <w:ilvl w:val="0"/>
          <w:numId w:val="17"/>
        </w:numPr>
        <w:rPr>
          <w:i/>
          <w:sz w:val="18"/>
          <w:szCs w:val="18"/>
          <w:lang w:eastAsia="en-US"/>
        </w:rPr>
      </w:pPr>
      <w:r w:rsidRPr="001B04CE">
        <w:rPr>
          <w:sz w:val="18"/>
          <w:szCs w:val="18"/>
          <w:lang w:eastAsia="en-US"/>
        </w:rPr>
        <w:t xml:space="preserve">From 1 July 2020, </w:t>
      </w:r>
      <w:r>
        <w:rPr>
          <w:sz w:val="18"/>
          <w:szCs w:val="18"/>
          <w:lang w:eastAsia="en-US"/>
        </w:rPr>
        <w:t xml:space="preserve">there </w:t>
      </w:r>
      <w:r w:rsidRPr="002F4047">
        <w:rPr>
          <w:sz w:val="18"/>
          <w:szCs w:val="18"/>
          <w:lang w:eastAsia="en-US"/>
        </w:rPr>
        <w:t xml:space="preserve">are changes to the recommendations and vaccine doses funded </w:t>
      </w:r>
      <w:r w:rsidR="003D4CAA">
        <w:rPr>
          <w:sz w:val="18"/>
          <w:szCs w:val="18"/>
          <w:lang w:eastAsia="en-US"/>
        </w:rPr>
        <w:t>through</w:t>
      </w:r>
      <w:r w:rsidRPr="002F4047">
        <w:rPr>
          <w:sz w:val="18"/>
          <w:szCs w:val="18"/>
          <w:lang w:eastAsia="en-US"/>
        </w:rPr>
        <w:t xml:space="preserve"> the </w:t>
      </w:r>
      <w:r w:rsidRPr="002F4047">
        <w:rPr>
          <w:sz w:val="18"/>
          <w:szCs w:val="18"/>
        </w:rPr>
        <w:t>National Immunisation Program (</w:t>
      </w:r>
      <w:r w:rsidRPr="002F4047">
        <w:rPr>
          <w:sz w:val="18"/>
          <w:szCs w:val="18"/>
          <w:lang w:eastAsia="en-US"/>
        </w:rPr>
        <w:t xml:space="preserve">NIP) for </w:t>
      </w:r>
      <w:r w:rsidR="00583761" w:rsidRPr="002F4047">
        <w:rPr>
          <w:sz w:val="18"/>
          <w:szCs w:val="18"/>
          <w:lang w:eastAsia="en-US"/>
        </w:rPr>
        <w:t>individuals with risk conditions</w:t>
      </w:r>
      <w:r w:rsidR="00776674">
        <w:rPr>
          <w:sz w:val="18"/>
          <w:szCs w:val="18"/>
          <w:lang w:eastAsia="en-US"/>
        </w:rPr>
        <w:t xml:space="preserve"> (</w:t>
      </w:r>
      <w:r w:rsidR="004D1C20">
        <w:rPr>
          <w:sz w:val="18"/>
          <w:szCs w:val="18"/>
          <w:lang w:eastAsia="en-US"/>
        </w:rPr>
        <w:t xml:space="preserve">refer to </w:t>
      </w:r>
      <w:r w:rsidR="008F277D">
        <w:rPr>
          <w:sz w:val="18"/>
          <w:szCs w:val="18"/>
          <w:lang w:eastAsia="en-US"/>
        </w:rPr>
        <w:t>Appendix</w:t>
      </w:r>
      <w:r w:rsidR="00776674">
        <w:rPr>
          <w:sz w:val="18"/>
          <w:szCs w:val="18"/>
          <w:lang w:eastAsia="en-US"/>
        </w:rPr>
        <w:t>)</w:t>
      </w:r>
      <w:r w:rsidRPr="002F4047">
        <w:rPr>
          <w:sz w:val="18"/>
          <w:szCs w:val="18"/>
          <w:lang w:eastAsia="en-US"/>
        </w:rPr>
        <w:t xml:space="preserve">. </w:t>
      </w:r>
    </w:p>
    <w:p w14:paraId="04A4FE47" w14:textId="5BB73FAF" w:rsidR="000348A6" w:rsidRDefault="00550765" w:rsidP="004D1C20">
      <w:pPr>
        <w:pStyle w:val="ListParagraph"/>
        <w:rPr>
          <w:i/>
          <w:sz w:val="18"/>
          <w:szCs w:val="18"/>
          <w:lang w:eastAsia="en-US"/>
        </w:rPr>
      </w:pPr>
      <w:r w:rsidRPr="004D1C20">
        <w:rPr>
          <w:iCs/>
          <w:sz w:val="18"/>
          <w:szCs w:val="18"/>
          <w:lang w:eastAsia="en-US"/>
        </w:rPr>
        <w:t>These changes are designed to</w:t>
      </w:r>
      <w:r w:rsidR="00FD2CEC">
        <w:rPr>
          <w:iCs/>
          <w:sz w:val="18"/>
          <w:szCs w:val="18"/>
          <w:lang w:eastAsia="en-US"/>
        </w:rPr>
        <w:t>:</w:t>
      </w:r>
    </w:p>
    <w:p w14:paraId="36D881AE" w14:textId="0736D35E" w:rsidR="00E4116F" w:rsidRDefault="000348A6" w:rsidP="000348A6">
      <w:pPr>
        <w:pStyle w:val="ListParagraph"/>
        <w:numPr>
          <w:ilvl w:val="1"/>
          <w:numId w:val="17"/>
        </w:numPr>
        <w:rPr>
          <w:i/>
          <w:sz w:val="18"/>
          <w:szCs w:val="18"/>
          <w:lang w:eastAsia="en-US"/>
        </w:rPr>
      </w:pPr>
      <w:r>
        <w:rPr>
          <w:i/>
          <w:sz w:val="18"/>
          <w:szCs w:val="18"/>
          <w:lang w:eastAsia="en-US"/>
        </w:rPr>
        <w:t>F</w:t>
      </w:r>
      <w:r w:rsidR="007B4B27" w:rsidRPr="000348A6">
        <w:rPr>
          <w:i/>
          <w:sz w:val="18"/>
          <w:szCs w:val="18"/>
          <w:lang w:eastAsia="en-US"/>
        </w:rPr>
        <w:t>urther improve protection against meningococcal</w:t>
      </w:r>
      <w:r w:rsidR="0020478F" w:rsidRPr="000348A6">
        <w:rPr>
          <w:i/>
          <w:sz w:val="18"/>
          <w:szCs w:val="18"/>
          <w:lang w:eastAsia="en-US"/>
        </w:rPr>
        <w:t xml:space="preserve">, </w:t>
      </w:r>
      <w:r w:rsidR="007B4B27" w:rsidRPr="000348A6">
        <w:rPr>
          <w:i/>
          <w:sz w:val="18"/>
          <w:szCs w:val="18"/>
          <w:lang w:eastAsia="en-US"/>
        </w:rPr>
        <w:t>pneumococcal</w:t>
      </w:r>
      <w:r w:rsidR="0020478F" w:rsidRPr="000348A6">
        <w:rPr>
          <w:i/>
          <w:sz w:val="18"/>
          <w:szCs w:val="18"/>
          <w:lang w:eastAsia="en-US"/>
        </w:rPr>
        <w:t xml:space="preserve"> and Haemophilus influenzae type b</w:t>
      </w:r>
      <w:r w:rsidR="007B4B27" w:rsidRPr="000348A6">
        <w:rPr>
          <w:i/>
          <w:sz w:val="18"/>
          <w:szCs w:val="18"/>
          <w:lang w:eastAsia="en-US"/>
        </w:rPr>
        <w:t xml:space="preserve"> disease</w:t>
      </w:r>
      <w:r w:rsidR="00CF52A5">
        <w:rPr>
          <w:i/>
          <w:sz w:val="18"/>
          <w:szCs w:val="18"/>
          <w:lang w:eastAsia="en-US"/>
        </w:rPr>
        <w:t>s</w:t>
      </w:r>
      <w:r w:rsidR="00583761" w:rsidRPr="000348A6">
        <w:rPr>
          <w:i/>
          <w:sz w:val="18"/>
          <w:szCs w:val="18"/>
          <w:lang w:eastAsia="en-US"/>
        </w:rPr>
        <w:t>, and</w:t>
      </w:r>
      <w:r w:rsidR="00E4116F">
        <w:rPr>
          <w:i/>
          <w:sz w:val="18"/>
          <w:szCs w:val="18"/>
          <w:lang w:eastAsia="en-US"/>
        </w:rPr>
        <w:t>;</w:t>
      </w:r>
    </w:p>
    <w:p w14:paraId="415C5998" w14:textId="26D7391C" w:rsidR="007B4B27" w:rsidRPr="000348A6" w:rsidRDefault="00E4116F" w:rsidP="00CF52A5">
      <w:pPr>
        <w:pStyle w:val="ListParagraph"/>
        <w:numPr>
          <w:ilvl w:val="1"/>
          <w:numId w:val="17"/>
        </w:numPr>
        <w:spacing w:after="0"/>
        <w:rPr>
          <w:i/>
          <w:sz w:val="18"/>
          <w:szCs w:val="18"/>
          <w:lang w:eastAsia="en-US"/>
        </w:rPr>
      </w:pPr>
      <w:r>
        <w:rPr>
          <w:i/>
          <w:sz w:val="18"/>
          <w:szCs w:val="18"/>
          <w:lang w:eastAsia="en-US"/>
        </w:rPr>
        <w:t>M</w:t>
      </w:r>
      <w:r w:rsidR="007B4B27" w:rsidRPr="000348A6">
        <w:rPr>
          <w:i/>
          <w:sz w:val="18"/>
          <w:szCs w:val="18"/>
          <w:lang w:eastAsia="en-US"/>
        </w:rPr>
        <w:t>ake these vaccines more readily available to those who are at increased risk of these diseases</w:t>
      </w:r>
      <w:r w:rsidR="00583761" w:rsidRPr="000348A6">
        <w:rPr>
          <w:i/>
          <w:sz w:val="18"/>
          <w:szCs w:val="18"/>
          <w:lang w:eastAsia="en-US"/>
        </w:rPr>
        <w:t>.</w:t>
      </w:r>
    </w:p>
    <w:p w14:paraId="0EE5FE61" w14:textId="6FCC45AB" w:rsidR="007B4B27" w:rsidRPr="0030585A" w:rsidRDefault="000348A6" w:rsidP="007B4B27">
      <w:pPr>
        <w:pStyle w:val="BulletedList"/>
        <w:rPr>
          <w:sz w:val="18"/>
          <w:szCs w:val="18"/>
        </w:rPr>
      </w:pPr>
      <w:r>
        <w:rPr>
          <w:sz w:val="18"/>
          <w:szCs w:val="18"/>
        </w:rPr>
        <w:t>The</w:t>
      </w:r>
      <w:r w:rsidR="007B4B27" w:rsidRPr="0030585A">
        <w:rPr>
          <w:sz w:val="18"/>
          <w:szCs w:val="18"/>
        </w:rPr>
        <w:t xml:space="preserve"> vaccines </w:t>
      </w:r>
      <w:r w:rsidR="00FD2CEC">
        <w:rPr>
          <w:sz w:val="18"/>
          <w:szCs w:val="18"/>
        </w:rPr>
        <w:t>that these changes apply to are:</w:t>
      </w:r>
    </w:p>
    <w:p w14:paraId="285C80C5" w14:textId="654F7E50" w:rsidR="007B4B27" w:rsidRPr="001856C2" w:rsidRDefault="007B4B27" w:rsidP="007B4B27">
      <w:pPr>
        <w:pStyle w:val="ListParagraph"/>
        <w:numPr>
          <w:ilvl w:val="1"/>
          <w:numId w:val="17"/>
        </w:numPr>
        <w:rPr>
          <w:i/>
          <w:sz w:val="18"/>
          <w:szCs w:val="18"/>
        </w:rPr>
      </w:pPr>
      <w:r w:rsidRPr="0030585A">
        <w:rPr>
          <w:i/>
          <w:sz w:val="18"/>
          <w:szCs w:val="18"/>
          <w:lang w:val="en"/>
        </w:rPr>
        <w:t>Meningococcal B</w:t>
      </w:r>
      <w:r w:rsidR="001E12BF">
        <w:rPr>
          <w:i/>
          <w:sz w:val="18"/>
          <w:szCs w:val="18"/>
          <w:lang w:val="en"/>
        </w:rPr>
        <w:t xml:space="preserve"> (MenB)</w:t>
      </w:r>
      <w:r w:rsidRPr="0030585A">
        <w:rPr>
          <w:i/>
          <w:sz w:val="18"/>
          <w:szCs w:val="18"/>
          <w:lang w:val="en"/>
        </w:rPr>
        <w:t xml:space="preserve"> vaccine</w:t>
      </w:r>
      <w:r w:rsidR="00DE762F">
        <w:rPr>
          <w:i/>
          <w:sz w:val="18"/>
          <w:szCs w:val="18"/>
          <w:lang w:val="en"/>
        </w:rPr>
        <w:t xml:space="preserve"> </w:t>
      </w:r>
      <w:r w:rsidR="008E3EBF">
        <w:rPr>
          <w:i/>
          <w:sz w:val="18"/>
          <w:szCs w:val="18"/>
          <w:lang w:val="en"/>
        </w:rPr>
        <w:t>(</w:t>
      </w:r>
      <w:r w:rsidR="008E3EBF" w:rsidRPr="0030585A">
        <w:rPr>
          <w:i/>
          <w:sz w:val="18"/>
          <w:szCs w:val="18"/>
          <w:lang w:val="en"/>
        </w:rPr>
        <w:t>Bexsero®</w:t>
      </w:r>
      <w:r w:rsidR="008E3EBF">
        <w:rPr>
          <w:i/>
          <w:sz w:val="18"/>
          <w:szCs w:val="18"/>
          <w:lang w:val="en"/>
        </w:rPr>
        <w:t>)</w:t>
      </w:r>
    </w:p>
    <w:p w14:paraId="7FC4BB83" w14:textId="5D578202" w:rsidR="007B4B27" w:rsidRDefault="007B4B27" w:rsidP="007B4B27">
      <w:pPr>
        <w:pStyle w:val="ListParagraph"/>
        <w:numPr>
          <w:ilvl w:val="1"/>
          <w:numId w:val="17"/>
        </w:numPr>
        <w:rPr>
          <w:i/>
          <w:sz w:val="18"/>
          <w:szCs w:val="18"/>
        </w:rPr>
      </w:pPr>
      <w:r w:rsidRPr="0030585A">
        <w:rPr>
          <w:i/>
          <w:sz w:val="18"/>
          <w:szCs w:val="18"/>
        </w:rPr>
        <w:t xml:space="preserve">Meningococcal ACWY </w:t>
      </w:r>
      <w:r w:rsidR="001E12BF">
        <w:rPr>
          <w:i/>
          <w:sz w:val="18"/>
          <w:szCs w:val="18"/>
        </w:rPr>
        <w:t>(MenACWY)</w:t>
      </w:r>
      <w:r w:rsidR="00992106">
        <w:rPr>
          <w:i/>
          <w:sz w:val="18"/>
          <w:szCs w:val="18"/>
        </w:rPr>
        <w:t xml:space="preserve"> </w:t>
      </w:r>
      <w:r w:rsidRPr="0030585A">
        <w:rPr>
          <w:i/>
          <w:sz w:val="18"/>
          <w:szCs w:val="18"/>
        </w:rPr>
        <w:t>vaccine</w:t>
      </w:r>
      <w:r w:rsidR="00583761">
        <w:rPr>
          <w:i/>
          <w:sz w:val="18"/>
          <w:szCs w:val="18"/>
        </w:rPr>
        <w:t xml:space="preserve"> </w:t>
      </w:r>
      <w:r w:rsidR="001E12BF">
        <w:rPr>
          <w:i/>
          <w:sz w:val="18"/>
          <w:szCs w:val="18"/>
        </w:rPr>
        <w:t>(</w:t>
      </w:r>
      <w:r w:rsidRPr="0030585A">
        <w:rPr>
          <w:i/>
          <w:sz w:val="18"/>
          <w:szCs w:val="18"/>
        </w:rPr>
        <w:t>Nimenrix®</w:t>
      </w:r>
      <w:r w:rsidR="001E12BF">
        <w:rPr>
          <w:i/>
          <w:sz w:val="18"/>
          <w:szCs w:val="18"/>
        </w:rPr>
        <w:t>)</w:t>
      </w:r>
    </w:p>
    <w:p w14:paraId="26BDFB6B" w14:textId="77777777" w:rsidR="004F5B8C" w:rsidRDefault="00DC54B3" w:rsidP="003D1AB5">
      <w:pPr>
        <w:pStyle w:val="ListParagraph"/>
        <w:numPr>
          <w:ilvl w:val="1"/>
          <w:numId w:val="17"/>
        </w:numPr>
        <w:rPr>
          <w:i/>
          <w:sz w:val="18"/>
          <w:szCs w:val="18"/>
        </w:rPr>
      </w:pPr>
      <w:r>
        <w:rPr>
          <w:i/>
          <w:sz w:val="18"/>
          <w:szCs w:val="18"/>
        </w:rPr>
        <w:t>13-valent pneumococcal conjugate vaccine (13vPCV,</w:t>
      </w:r>
      <w:r w:rsidRPr="004636C5">
        <w:rPr>
          <w:i/>
          <w:sz w:val="18"/>
          <w:szCs w:val="18"/>
        </w:rPr>
        <w:t xml:space="preserve"> </w:t>
      </w:r>
      <w:r>
        <w:rPr>
          <w:i/>
          <w:sz w:val="18"/>
          <w:szCs w:val="18"/>
        </w:rPr>
        <w:t>Prevenar 13®)</w:t>
      </w:r>
    </w:p>
    <w:p w14:paraId="395A8867" w14:textId="2639C29F" w:rsidR="00DC54B3" w:rsidRPr="00926ED1" w:rsidRDefault="00DC54B3" w:rsidP="003D1AB5">
      <w:pPr>
        <w:pStyle w:val="ListParagraph"/>
        <w:numPr>
          <w:ilvl w:val="1"/>
          <w:numId w:val="17"/>
        </w:numPr>
        <w:rPr>
          <w:i/>
          <w:sz w:val="18"/>
          <w:szCs w:val="18"/>
        </w:rPr>
      </w:pPr>
      <w:r>
        <w:rPr>
          <w:i/>
          <w:sz w:val="18"/>
          <w:szCs w:val="18"/>
        </w:rPr>
        <w:t>23-valent pneumococcal polysaccharide vaccine (23vPPV,</w:t>
      </w:r>
      <w:r w:rsidRPr="004636C5">
        <w:rPr>
          <w:i/>
          <w:sz w:val="18"/>
          <w:szCs w:val="18"/>
        </w:rPr>
        <w:t xml:space="preserve"> </w:t>
      </w:r>
      <w:r>
        <w:rPr>
          <w:i/>
          <w:sz w:val="18"/>
          <w:szCs w:val="18"/>
        </w:rPr>
        <w:t>Pneumovax 23®)</w:t>
      </w:r>
      <w:r w:rsidRPr="0030585A">
        <w:rPr>
          <w:i/>
          <w:sz w:val="18"/>
          <w:szCs w:val="18"/>
        </w:rPr>
        <w:t xml:space="preserve"> </w:t>
      </w:r>
    </w:p>
    <w:p w14:paraId="612F9BFA" w14:textId="35ADA106" w:rsidR="007B4B27" w:rsidRDefault="00583761" w:rsidP="00CF52A5">
      <w:pPr>
        <w:pStyle w:val="ListParagraph"/>
        <w:numPr>
          <w:ilvl w:val="1"/>
          <w:numId w:val="17"/>
        </w:numPr>
        <w:spacing w:after="0"/>
        <w:rPr>
          <w:i/>
          <w:sz w:val="18"/>
          <w:szCs w:val="18"/>
        </w:rPr>
      </w:pPr>
      <w:r w:rsidRPr="00583761">
        <w:rPr>
          <w:i/>
          <w:sz w:val="18"/>
          <w:szCs w:val="18"/>
        </w:rPr>
        <w:t xml:space="preserve">Haemophilus influenzae type b </w:t>
      </w:r>
      <w:r w:rsidR="001E12BF">
        <w:rPr>
          <w:i/>
          <w:sz w:val="18"/>
          <w:szCs w:val="18"/>
        </w:rPr>
        <w:t>(Hib)</w:t>
      </w:r>
      <w:r w:rsidR="001E12BF" w:rsidRPr="0030585A">
        <w:rPr>
          <w:i/>
          <w:sz w:val="18"/>
          <w:szCs w:val="18"/>
        </w:rPr>
        <w:t xml:space="preserve"> </w:t>
      </w:r>
      <w:r w:rsidRPr="00583761">
        <w:rPr>
          <w:i/>
          <w:sz w:val="18"/>
          <w:szCs w:val="18"/>
        </w:rPr>
        <w:t>va</w:t>
      </w:r>
      <w:r>
        <w:rPr>
          <w:i/>
          <w:sz w:val="18"/>
          <w:szCs w:val="18"/>
        </w:rPr>
        <w:t>ccines</w:t>
      </w:r>
      <w:r w:rsidRPr="0030585A">
        <w:rPr>
          <w:i/>
          <w:sz w:val="18"/>
          <w:szCs w:val="18"/>
        </w:rPr>
        <w:t xml:space="preserve"> </w:t>
      </w:r>
      <w:r w:rsidR="001E12BF">
        <w:rPr>
          <w:i/>
          <w:sz w:val="18"/>
          <w:szCs w:val="18"/>
        </w:rPr>
        <w:t>(</w:t>
      </w:r>
      <w:r>
        <w:rPr>
          <w:i/>
          <w:sz w:val="18"/>
          <w:szCs w:val="18"/>
        </w:rPr>
        <w:t>ActHIB®</w:t>
      </w:r>
      <w:r w:rsidR="001E12BF">
        <w:rPr>
          <w:i/>
          <w:sz w:val="18"/>
          <w:szCs w:val="18"/>
        </w:rPr>
        <w:t>)</w:t>
      </w:r>
    </w:p>
    <w:p w14:paraId="1513E7BD" w14:textId="2716FC7B" w:rsidR="000348A6" w:rsidRPr="004D1C20" w:rsidRDefault="000730BD" w:rsidP="000348A6">
      <w:pPr>
        <w:pStyle w:val="BulletedList"/>
        <w:numPr>
          <w:ilvl w:val="0"/>
          <w:numId w:val="17"/>
        </w:numPr>
        <w:rPr>
          <w:iCs/>
          <w:sz w:val="18"/>
          <w:szCs w:val="18"/>
        </w:rPr>
      </w:pPr>
      <w:r w:rsidRPr="004D1C20">
        <w:rPr>
          <w:iCs/>
          <w:sz w:val="18"/>
          <w:szCs w:val="18"/>
        </w:rPr>
        <w:t>For p</w:t>
      </w:r>
      <w:r w:rsidR="000348A6" w:rsidRPr="004D1C20">
        <w:rPr>
          <w:iCs/>
          <w:sz w:val="18"/>
          <w:szCs w:val="18"/>
        </w:rPr>
        <w:t xml:space="preserve">neumococcal </w:t>
      </w:r>
      <w:r w:rsidRPr="004D1C20">
        <w:rPr>
          <w:iCs/>
          <w:sz w:val="18"/>
          <w:szCs w:val="18"/>
        </w:rPr>
        <w:t xml:space="preserve">vaccination </w:t>
      </w:r>
      <w:r w:rsidR="000348A6" w:rsidRPr="004D1C20">
        <w:rPr>
          <w:iCs/>
          <w:sz w:val="18"/>
          <w:szCs w:val="18"/>
        </w:rPr>
        <w:t xml:space="preserve">risk </w:t>
      </w:r>
      <w:r w:rsidR="00FD2CEC" w:rsidRPr="004D1C20">
        <w:rPr>
          <w:iCs/>
          <w:sz w:val="18"/>
          <w:szCs w:val="18"/>
        </w:rPr>
        <w:t>categories,</w:t>
      </w:r>
      <w:r w:rsidR="000348A6" w:rsidRPr="004D1C20">
        <w:rPr>
          <w:iCs/>
          <w:sz w:val="18"/>
          <w:szCs w:val="18"/>
        </w:rPr>
        <w:t xml:space="preserve"> A and B have been replaced with a </w:t>
      </w:r>
      <w:r w:rsidR="000348A6" w:rsidRPr="004D1C20">
        <w:rPr>
          <w:iCs/>
          <w:sz w:val="18"/>
          <w:szCs w:val="18"/>
          <w:u w:val="single"/>
        </w:rPr>
        <w:t>single</w:t>
      </w:r>
      <w:r w:rsidR="000348A6" w:rsidRPr="004D1C20">
        <w:rPr>
          <w:iCs/>
          <w:sz w:val="18"/>
          <w:szCs w:val="18"/>
        </w:rPr>
        <w:t xml:space="preserve"> updated list of conditions</w:t>
      </w:r>
    </w:p>
    <w:p w14:paraId="3DB5A019" w14:textId="2D2DD0DE" w:rsidR="000348A6" w:rsidRPr="000348A6" w:rsidRDefault="000348A6" w:rsidP="000348A6">
      <w:pPr>
        <w:pStyle w:val="BulletedList"/>
        <w:numPr>
          <w:ilvl w:val="0"/>
          <w:numId w:val="17"/>
        </w:numPr>
        <w:rPr>
          <w:sz w:val="18"/>
          <w:szCs w:val="18"/>
        </w:rPr>
      </w:pPr>
      <w:r w:rsidRPr="004D1C20">
        <w:rPr>
          <w:iCs/>
          <w:sz w:val="18"/>
          <w:szCs w:val="18"/>
        </w:rPr>
        <w:t>Pneumococcal Polysaccharide vaccine (23vPPV</w:t>
      </w:r>
      <w:r w:rsidR="000A402E" w:rsidRPr="004D1C20">
        <w:rPr>
          <w:iCs/>
          <w:sz w:val="18"/>
          <w:szCs w:val="18"/>
        </w:rPr>
        <w:t>) recommendation</w:t>
      </w:r>
      <w:r w:rsidR="000730BD" w:rsidRPr="004D1C20">
        <w:rPr>
          <w:iCs/>
          <w:sz w:val="18"/>
          <w:szCs w:val="18"/>
        </w:rPr>
        <w:t xml:space="preserve"> </w:t>
      </w:r>
      <w:r w:rsidR="00D0427D" w:rsidRPr="004D1C20">
        <w:rPr>
          <w:iCs/>
          <w:sz w:val="18"/>
          <w:szCs w:val="18"/>
        </w:rPr>
        <w:t xml:space="preserve">for those with risk </w:t>
      </w:r>
      <w:r w:rsidR="000730BD" w:rsidRPr="004D1C20">
        <w:rPr>
          <w:iCs/>
          <w:sz w:val="18"/>
          <w:szCs w:val="18"/>
        </w:rPr>
        <w:t>conditions is now</w:t>
      </w:r>
      <w:r w:rsidRPr="004D1C20">
        <w:rPr>
          <w:iCs/>
          <w:sz w:val="18"/>
          <w:szCs w:val="18"/>
        </w:rPr>
        <w:t xml:space="preserve"> limited to two lifetime doses only, with doses already received counted towards the lifetime doses</w:t>
      </w:r>
      <w:r w:rsidRPr="000348A6">
        <w:rPr>
          <w:i/>
          <w:sz w:val="18"/>
          <w:szCs w:val="18"/>
        </w:rPr>
        <w:t>.</w:t>
      </w:r>
      <w:r w:rsidR="00D0427D">
        <w:rPr>
          <w:i/>
          <w:sz w:val="18"/>
          <w:szCs w:val="18"/>
        </w:rPr>
        <w:t xml:space="preserve">        </w:t>
      </w:r>
    </w:p>
    <w:p w14:paraId="7A7FA760" w14:textId="2A9832E8" w:rsidR="00DE705E" w:rsidRPr="00AC23C0" w:rsidRDefault="00F936AD" w:rsidP="00DE705E">
      <w:pPr>
        <w:pStyle w:val="Heading2"/>
        <w:rPr>
          <w:sz w:val="20"/>
          <w:szCs w:val="18"/>
          <w:lang w:eastAsia="en-US"/>
        </w:rPr>
      </w:pPr>
      <w:r>
        <w:rPr>
          <w:sz w:val="20"/>
          <w:szCs w:val="18"/>
          <w:lang w:eastAsia="en-US"/>
        </w:rPr>
        <w:t>Vaccine</w:t>
      </w:r>
      <w:r w:rsidR="00DE705E">
        <w:rPr>
          <w:sz w:val="20"/>
          <w:szCs w:val="18"/>
          <w:lang w:eastAsia="en-US"/>
        </w:rPr>
        <w:t xml:space="preserve"> specific recommendations</w:t>
      </w:r>
      <w:r w:rsidR="00E21505">
        <w:rPr>
          <w:sz w:val="20"/>
          <w:szCs w:val="18"/>
          <w:lang w:eastAsia="en-US"/>
        </w:rPr>
        <w:t xml:space="preserve"> for individuals with risk conditions</w:t>
      </w:r>
      <w:r w:rsidR="00DE705E" w:rsidRPr="00AC23C0">
        <w:rPr>
          <w:sz w:val="20"/>
          <w:szCs w:val="18"/>
          <w:lang w:eastAsia="en-US"/>
        </w:rPr>
        <w:t>:</w:t>
      </w:r>
    </w:p>
    <w:p w14:paraId="0E44FAC0" w14:textId="2E154E88" w:rsidR="00DC54B3" w:rsidRDefault="00DC54B3" w:rsidP="00DC54B3">
      <w:pPr>
        <w:pStyle w:val="Heading3"/>
        <w:spacing w:after="40"/>
        <w:rPr>
          <w:sz w:val="18"/>
          <w:szCs w:val="18"/>
        </w:rPr>
      </w:pPr>
      <w:r w:rsidRPr="00721E74">
        <w:rPr>
          <w:sz w:val="18"/>
          <w:szCs w:val="18"/>
        </w:rPr>
        <w:t xml:space="preserve">Meningococcal B </w:t>
      </w:r>
      <w:r>
        <w:rPr>
          <w:sz w:val="18"/>
          <w:szCs w:val="18"/>
        </w:rPr>
        <w:t xml:space="preserve">(Bexsero®) and </w:t>
      </w:r>
      <w:r w:rsidRPr="00721E74">
        <w:rPr>
          <w:sz w:val="18"/>
          <w:szCs w:val="18"/>
        </w:rPr>
        <w:t>Meningococcal ACWY (Nimenrix®</w:t>
      </w:r>
      <w:r>
        <w:rPr>
          <w:sz w:val="18"/>
          <w:szCs w:val="18"/>
        </w:rPr>
        <w:t>) vaccine</w:t>
      </w:r>
      <w:r w:rsidR="00455E5D">
        <w:rPr>
          <w:sz w:val="18"/>
          <w:szCs w:val="18"/>
        </w:rPr>
        <w:t>s</w:t>
      </w:r>
    </w:p>
    <w:p w14:paraId="07544862" w14:textId="4A041390" w:rsidR="00BB47DC" w:rsidRPr="00BB47DC" w:rsidRDefault="00BB47DC" w:rsidP="00BB47DC">
      <w:pPr>
        <w:pStyle w:val="BulletedList"/>
        <w:rPr>
          <w:sz w:val="18"/>
          <w:szCs w:val="18"/>
        </w:rPr>
      </w:pPr>
      <w:r w:rsidRPr="00BB47DC">
        <w:rPr>
          <w:sz w:val="18"/>
          <w:szCs w:val="18"/>
        </w:rPr>
        <w:t xml:space="preserve">Recommendations for the use of MenB and MenACWY vaccines, including scheduling and dose requirements, remain unchanged. However, some of the recommended doses will </w:t>
      </w:r>
      <w:r w:rsidR="00DD3538">
        <w:rPr>
          <w:sz w:val="18"/>
          <w:szCs w:val="18"/>
        </w:rPr>
        <w:t xml:space="preserve">now </w:t>
      </w:r>
      <w:r w:rsidRPr="00BB47DC">
        <w:rPr>
          <w:sz w:val="18"/>
          <w:szCs w:val="18"/>
        </w:rPr>
        <w:t xml:space="preserve">be </w:t>
      </w:r>
      <w:r w:rsidRPr="007F1EC6">
        <w:rPr>
          <w:b/>
          <w:sz w:val="18"/>
          <w:szCs w:val="18"/>
        </w:rPr>
        <w:t>funded under the NIP</w:t>
      </w:r>
      <w:r w:rsidRPr="00BB47DC">
        <w:rPr>
          <w:sz w:val="18"/>
          <w:szCs w:val="18"/>
        </w:rPr>
        <w:t>.</w:t>
      </w:r>
    </w:p>
    <w:p w14:paraId="476986A8" w14:textId="2A64EEBF" w:rsidR="00DC54B3" w:rsidRPr="003A29E6" w:rsidRDefault="00DC54B3" w:rsidP="00DC54B3">
      <w:pPr>
        <w:pStyle w:val="BulletedList"/>
        <w:rPr>
          <w:sz w:val="18"/>
          <w:szCs w:val="18"/>
          <w:lang w:val="en-AU"/>
        </w:rPr>
      </w:pPr>
      <w:r>
        <w:rPr>
          <w:sz w:val="18"/>
          <w:szCs w:val="18"/>
        </w:rPr>
        <w:t xml:space="preserve">MenB and </w:t>
      </w:r>
      <w:r w:rsidRPr="007F1E53">
        <w:rPr>
          <w:sz w:val="18"/>
          <w:szCs w:val="18"/>
        </w:rPr>
        <w:t xml:space="preserve">MenACWY </w:t>
      </w:r>
      <w:r>
        <w:rPr>
          <w:sz w:val="18"/>
          <w:szCs w:val="18"/>
        </w:rPr>
        <w:t xml:space="preserve">vaccines are now funded under the NIP for people of all ages with </w:t>
      </w:r>
      <w:r w:rsidRPr="00523491">
        <w:rPr>
          <w:sz w:val="18"/>
          <w:szCs w:val="18"/>
        </w:rPr>
        <w:t xml:space="preserve">medical </w:t>
      </w:r>
      <w:r>
        <w:rPr>
          <w:sz w:val="18"/>
          <w:szCs w:val="18"/>
        </w:rPr>
        <w:t xml:space="preserve">conditions </w:t>
      </w:r>
      <w:r w:rsidRPr="00F1115A">
        <w:rPr>
          <w:sz w:val="18"/>
          <w:szCs w:val="18"/>
        </w:rPr>
        <w:t>associated with</w:t>
      </w:r>
      <w:r>
        <w:rPr>
          <w:sz w:val="18"/>
          <w:szCs w:val="18"/>
        </w:rPr>
        <w:t xml:space="preserve"> the</w:t>
      </w:r>
      <w:r w:rsidRPr="00F1115A">
        <w:rPr>
          <w:sz w:val="18"/>
          <w:szCs w:val="18"/>
        </w:rPr>
        <w:t xml:space="preserve"> </w:t>
      </w:r>
      <w:r>
        <w:rPr>
          <w:sz w:val="18"/>
          <w:szCs w:val="18"/>
        </w:rPr>
        <w:t>highest</w:t>
      </w:r>
      <w:r w:rsidRPr="00F1115A">
        <w:rPr>
          <w:sz w:val="18"/>
          <w:szCs w:val="18"/>
        </w:rPr>
        <w:t xml:space="preserve"> risk of </w:t>
      </w:r>
      <w:r>
        <w:rPr>
          <w:sz w:val="18"/>
          <w:szCs w:val="18"/>
        </w:rPr>
        <w:t xml:space="preserve">invasive </w:t>
      </w:r>
      <w:r w:rsidRPr="00F1115A">
        <w:rPr>
          <w:sz w:val="18"/>
          <w:szCs w:val="18"/>
        </w:rPr>
        <w:t>meningococcal disease</w:t>
      </w:r>
      <w:r w:rsidR="00BA0E65">
        <w:rPr>
          <w:sz w:val="18"/>
          <w:szCs w:val="18"/>
        </w:rPr>
        <w:t>, namely</w:t>
      </w:r>
      <w:r>
        <w:rPr>
          <w:sz w:val="18"/>
          <w:szCs w:val="18"/>
        </w:rPr>
        <w:t xml:space="preserve">; </w:t>
      </w:r>
      <w:r w:rsidRPr="00CE1E37">
        <w:rPr>
          <w:b/>
          <w:sz w:val="18"/>
          <w:szCs w:val="18"/>
          <w:lang w:val="en-AU"/>
        </w:rPr>
        <w:t>asplenia and hyposplenia</w:t>
      </w:r>
      <w:r w:rsidRPr="00523491">
        <w:rPr>
          <w:sz w:val="18"/>
          <w:szCs w:val="18"/>
          <w:lang w:val="en-AU"/>
        </w:rPr>
        <w:t xml:space="preserve">, </w:t>
      </w:r>
      <w:r w:rsidRPr="00CE1E37">
        <w:rPr>
          <w:b/>
          <w:sz w:val="18"/>
          <w:szCs w:val="18"/>
          <w:lang w:val="en-AU"/>
        </w:rPr>
        <w:t>complement deficiency</w:t>
      </w:r>
      <w:r w:rsidRPr="00523491">
        <w:rPr>
          <w:sz w:val="18"/>
          <w:szCs w:val="18"/>
          <w:lang w:val="en-AU"/>
        </w:rPr>
        <w:t xml:space="preserve"> and those </w:t>
      </w:r>
      <w:r w:rsidR="008503E8">
        <w:rPr>
          <w:sz w:val="18"/>
          <w:szCs w:val="18"/>
          <w:lang w:val="en-AU"/>
        </w:rPr>
        <w:t xml:space="preserve">receiving </w:t>
      </w:r>
      <w:r>
        <w:rPr>
          <w:sz w:val="18"/>
          <w:szCs w:val="18"/>
          <w:lang w:val="en-AU"/>
        </w:rPr>
        <w:t xml:space="preserve">treatment with </w:t>
      </w:r>
      <w:r w:rsidRPr="00CE1E37">
        <w:rPr>
          <w:b/>
          <w:sz w:val="18"/>
          <w:szCs w:val="18"/>
          <w:lang w:val="en-AU"/>
        </w:rPr>
        <w:t>eculizuma</w:t>
      </w:r>
      <w:r w:rsidRPr="00475BE0">
        <w:rPr>
          <w:b/>
          <w:sz w:val="18"/>
          <w:szCs w:val="18"/>
          <w:lang w:val="en-AU"/>
        </w:rPr>
        <w:t>b</w:t>
      </w:r>
      <w:r>
        <w:rPr>
          <w:sz w:val="18"/>
          <w:szCs w:val="18"/>
        </w:rPr>
        <w:t xml:space="preserve">. </w:t>
      </w:r>
      <w:r w:rsidR="003F6D0E">
        <w:rPr>
          <w:sz w:val="18"/>
          <w:szCs w:val="18"/>
        </w:rPr>
        <w:t>People with</w:t>
      </w:r>
      <w:r w:rsidR="003F6D0E" w:rsidRPr="003F6D0E">
        <w:rPr>
          <w:sz w:val="18"/>
          <w:szCs w:val="18"/>
        </w:rPr>
        <w:t xml:space="preserve"> </w:t>
      </w:r>
      <w:r w:rsidR="003F6D0E" w:rsidRPr="002A45C2">
        <w:rPr>
          <w:sz w:val="18"/>
          <w:szCs w:val="18"/>
        </w:rPr>
        <w:t>ongoing increased risk of invasive meningococcal disease</w:t>
      </w:r>
      <w:r w:rsidR="003F6D0E">
        <w:rPr>
          <w:sz w:val="18"/>
          <w:szCs w:val="18"/>
        </w:rPr>
        <w:t xml:space="preserve"> due to these </w:t>
      </w:r>
      <w:r w:rsidR="00162961" w:rsidRPr="00162961">
        <w:rPr>
          <w:sz w:val="18"/>
          <w:szCs w:val="18"/>
          <w:lang w:val="en-AU"/>
        </w:rPr>
        <w:t>specified medical</w:t>
      </w:r>
      <w:r w:rsidR="00162961">
        <w:rPr>
          <w:sz w:val="18"/>
          <w:szCs w:val="18"/>
          <w:lang w:val="en-AU"/>
        </w:rPr>
        <w:t xml:space="preserve"> </w:t>
      </w:r>
      <w:r w:rsidR="00162961" w:rsidRPr="00162961">
        <w:rPr>
          <w:sz w:val="18"/>
          <w:szCs w:val="18"/>
          <w:lang w:val="en-AU"/>
        </w:rPr>
        <w:t xml:space="preserve">conditions </w:t>
      </w:r>
      <w:r w:rsidR="003F6D0E">
        <w:rPr>
          <w:sz w:val="18"/>
          <w:szCs w:val="18"/>
        </w:rPr>
        <w:t xml:space="preserve">are also eligible for NIP-funded booster doses of MenACWY vaccine as recommended in the Australian Immunisation Handbook. </w:t>
      </w:r>
      <w:r>
        <w:rPr>
          <w:sz w:val="18"/>
          <w:szCs w:val="18"/>
        </w:rPr>
        <w:t xml:space="preserve">Also refer to the </w:t>
      </w:r>
      <w:hyperlink r:id="rId12" w:history="1">
        <w:r w:rsidRPr="003B39BF">
          <w:rPr>
            <w:rStyle w:val="Hyperlink"/>
            <w:i/>
            <w:sz w:val="18"/>
            <w:szCs w:val="18"/>
          </w:rPr>
          <w:t xml:space="preserve">ATAGI </w:t>
        </w:r>
        <w:r w:rsidRPr="003B39BF">
          <w:rPr>
            <w:rStyle w:val="Hyperlink"/>
            <w:i/>
            <w:iCs/>
            <w:sz w:val="18"/>
            <w:szCs w:val="18"/>
            <w:lang w:val="en-AU"/>
          </w:rPr>
          <w:t xml:space="preserve">clinical </w:t>
        </w:r>
        <w:r w:rsidRPr="003B39BF">
          <w:rPr>
            <w:rStyle w:val="Hyperlink"/>
            <w:bCs/>
            <w:i/>
            <w:iCs/>
            <w:sz w:val="18"/>
            <w:szCs w:val="18"/>
          </w:rPr>
          <w:t>advice on changes to recommendations for the use and funding of meningococcal vaccines from 1 July 2020</w:t>
        </w:r>
      </w:hyperlink>
    </w:p>
    <w:p w14:paraId="365FB792" w14:textId="07AD0C76" w:rsidR="00DC54B3" w:rsidRDefault="00DC54B3" w:rsidP="00DC54B3">
      <w:pPr>
        <w:pStyle w:val="BulletedList"/>
        <w:rPr>
          <w:sz w:val="18"/>
          <w:szCs w:val="18"/>
        </w:rPr>
      </w:pPr>
      <w:r w:rsidRPr="005756A0">
        <w:rPr>
          <w:sz w:val="18"/>
          <w:szCs w:val="18"/>
        </w:rPr>
        <w:t xml:space="preserve">For a few </w:t>
      </w:r>
      <w:r>
        <w:rPr>
          <w:sz w:val="18"/>
          <w:szCs w:val="18"/>
        </w:rPr>
        <w:t xml:space="preserve">other medical </w:t>
      </w:r>
      <w:r w:rsidRPr="005756A0">
        <w:rPr>
          <w:sz w:val="18"/>
          <w:szCs w:val="18"/>
        </w:rPr>
        <w:t xml:space="preserve">conditions </w:t>
      </w:r>
      <w:r>
        <w:rPr>
          <w:sz w:val="18"/>
          <w:szCs w:val="18"/>
        </w:rPr>
        <w:t xml:space="preserve">that are associated with an increased risk of invasive meningococcal disease </w:t>
      </w:r>
      <w:r w:rsidRPr="005756A0">
        <w:rPr>
          <w:sz w:val="18"/>
          <w:szCs w:val="18"/>
        </w:rPr>
        <w:t>(human immunodeficiency virus</w:t>
      </w:r>
      <w:r>
        <w:rPr>
          <w:sz w:val="18"/>
          <w:szCs w:val="18"/>
        </w:rPr>
        <w:t xml:space="preserve"> infection</w:t>
      </w:r>
      <w:r w:rsidRPr="005756A0">
        <w:rPr>
          <w:sz w:val="18"/>
          <w:szCs w:val="18"/>
        </w:rPr>
        <w:t xml:space="preserve"> and haematopoietic </w:t>
      </w:r>
      <w:r w:rsidRPr="0092317C">
        <w:rPr>
          <w:sz w:val="18"/>
        </w:rPr>
        <w:t>stem cell transplant</w:t>
      </w:r>
      <w:r w:rsidRPr="0092317C">
        <w:rPr>
          <w:sz w:val="18"/>
          <w:szCs w:val="18"/>
        </w:rPr>
        <w:t>), cost-effectiveness thresholds</w:t>
      </w:r>
      <w:r>
        <w:rPr>
          <w:sz w:val="18"/>
          <w:szCs w:val="18"/>
        </w:rPr>
        <w:t xml:space="preserve"> for a nationally-funded population program </w:t>
      </w:r>
      <w:r w:rsidR="001E12BF">
        <w:rPr>
          <w:sz w:val="18"/>
          <w:szCs w:val="18"/>
        </w:rPr>
        <w:t>have</w:t>
      </w:r>
      <w:r>
        <w:rPr>
          <w:sz w:val="18"/>
          <w:szCs w:val="18"/>
        </w:rPr>
        <w:t xml:space="preserve"> not</w:t>
      </w:r>
      <w:r w:rsidR="001E12BF">
        <w:rPr>
          <w:sz w:val="18"/>
          <w:szCs w:val="18"/>
        </w:rPr>
        <w:t xml:space="preserve"> been</w:t>
      </w:r>
      <w:r>
        <w:rPr>
          <w:sz w:val="18"/>
          <w:szCs w:val="18"/>
        </w:rPr>
        <w:t xml:space="preserve"> met</w:t>
      </w:r>
      <w:r w:rsidR="00654A27">
        <w:rPr>
          <w:sz w:val="18"/>
          <w:szCs w:val="18"/>
        </w:rPr>
        <w:t xml:space="preserve"> to-date</w:t>
      </w:r>
      <w:r w:rsidRPr="0092317C">
        <w:rPr>
          <w:sz w:val="18"/>
          <w:szCs w:val="18"/>
        </w:rPr>
        <w:t xml:space="preserve">. People with these medical conditions </w:t>
      </w:r>
      <w:r>
        <w:rPr>
          <w:sz w:val="18"/>
          <w:szCs w:val="18"/>
        </w:rPr>
        <w:t xml:space="preserve">are still recommended to receive these vaccines, but </w:t>
      </w:r>
      <w:r>
        <w:rPr>
          <w:b/>
          <w:sz w:val="18"/>
          <w:szCs w:val="18"/>
        </w:rPr>
        <w:t>are</w:t>
      </w:r>
      <w:r w:rsidRPr="001D0399">
        <w:rPr>
          <w:b/>
          <w:sz w:val="18"/>
          <w:szCs w:val="18"/>
        </w:rPr>
        <w:t xml:space="preserve"> not</w:t>
      </w:r>
      <w:r w:rsidR="004714B8">
        <w:rPr>
          <w:b/>
          <w:sz w:val="18"/>
          <w:szCs w:val="18"/>
        </w:rPr>
        <w:t xml:space="preserve"> </w:t>
      </w:r>
      <w:r w:rsidRPr="0092317C">
        <w:rPr>
          <w:sz w:val="18"/>
          <w:szCs w:val="18"/>
        </w:rPr>
        <w:t>eligible to receive funded MenACWY and MenB vaccines</w:t>
      </w:r>
      <w:r w:rsidRPr="0092317C" w:rsidDel="00876991">
        <w:rPr>
          <w:sz w:val="18"/>
          <w:szCs w:val="18"/>
        </w:rPr>
        <w:t xml:space="preserve"> </w:t>
      </w:r>
      <w:r w:rsidRPr="0092317C">
        <w:rPr>
          <w:sz w:val="18"/>
          <w:szCs w:val="18"/>
        </w:rPr>
        <w:t>under the NIP</w:t>
      </w:r>
      <w:r w:rsidR="00FD0681">
        <w:rPr>
          <w:sz w:val="18"/>
          <w:szCs w:val="18"/>
        </w:rPr>
        <w:t>,</w:t>
      </w:r>
      <w:r w:rsidR="0087556F">
        <w:rPr>
          <w:sz w:val="18"/>
          <w:szCs w:val="18"/>
        </w:rPr>
        <w:t xml:space="preserve"> except </w:t>
      </w:r>
      <w:r w:rsidR="0087556F" w:rsidRPr="0087556F">
        <w:rPr>
          <w:sz w:val="18"/>
          <w:szCs w:val="18"/>
          <w:lang w:val="en-AU"/>
        </w:rPr>
        <w:t>Aboriginal and Torres Strait Islander infants with these conditions</w:t>
      </w:r>
      <w:r w:rsidR="0087556F">
        <w:rPr>
          <w:sz w:val="18"/>
          <w:szCs w:val="18"/>
          <w:lang w:val="en-AU"/>
        </w:rPr>
        <w:t xml:space="preserve"> who are eligible for NIP funded doses of MenB vaccine.</w:t>
      </w:r>
    </w:p>
    <w:p w14:paraId="683AFB0A" w14:textId="77777777" w:rsidR="00DC54B3" w:rsidRDefault="00DC54B3" w:rsidP="00DC54B3">
      <w:pPr>
        <w:pStyle w:val="BulletedList"/>
        <w:rPr>
          <w:sz w:val="18"/>
          <w:szCs w:val="18"/>
        </w:rPr>
      </w:pPr>
      <w:r>
        <w:rPr>
          <w:sz w:val="18"/>
          <w:szCs w:val="18"/>
        </w:rPr>
        <w:t xml:space="preserve">For infants &lt;12 months of age with risk conditions, the number and spacing of </w:t>
      </w:r>
      <w:r>
        <w:rPr>
          <w:iCs/>
          <w:sz w:val="18"/>
          <w:szCs w:val="18"/>
        </w:rPr>
        <w:t>M</w:t>
      </w:r>
      <w:r w:rsidRPr="00F936AD">
        <w:rPr>
          <w:iCs/>
          <w:sz w:val="18"/>
          <w:szCs w:val="18"/>
        </w:rPr>
        <w:t xml:space="preserve">enB </w:t>
      </w:r>
      <w:r>
        <w:rPr>
          <w:iCs/>
          <w:sz w:val="18"/>
          <w:szCs w:val="18"/>
        </w:rPr>
        <w:t xml:space="preserve">and MenACWY vaccine </w:t>
      </w:r>
      <w:r>
        <w:rPr>
          <w:sz w:val="18"/>
          <w:szCs w:val="18"/>
        </w:rPr>
        <w:t>doses required depends on the starting age for vaccination  (Table 1).</w:t>
      </w:r>
    </w:p>
    <w:p w14:paraId="39BD9416" w14:textId="348CDC21" w:rsidR="00DC54B3" w:rsidRPr="002A45C2" w:rsidRDefault="00DC54B3" w:rsidP="00DC54B3">
      <w:pPr>
        <w:pStyle w:val="BulletedList"/>
        <w:rPr>
          <w:sz w:val="18"/>
          <w:szCs w:val="18"/>
        </w:rPr>
      </w:pPr>
      <w:r w:rsidRPr="00F936AD">
        <w:rPr>
          <w:sz w:val="18"/>
          <w:szCs w:val="18"/>
        </w:rPr>
        <w:lastRenderedPageBreak/>
        <w:t>Adults and children &gt;12 months of age</w:t>
      </w:r>
      <w:r w:rsidRPr="00F936AD">
        <w:rPr>
          <w:sz w:val="18"/>
          <w:szCs w:val="18"/>
          <w:lang w:val="en-AU"/>
        </w:rPr>
        <w:t xml:space="preserve"> </w:t>
      </w:r>
      <w:r>
        <w:rPr>
          <w:sz w:val="18"/>
          <w:szCs w:val="18"/>
          <w:lang w:val="en-AU"/>
        </w:rPr>
        <w:t xml:space="preserve">should </w:t>
      </w:r>
      <w:r w:rsidRPr="00F936AD">
        <w:rPr>
          <w:sz w:val="18"/>
          <w:szCs w:val="18"/>
          <w:lang w:val="en-AU"/>
        </w:rPr>
        <w:t>receive 2 doses of</w:t>
      </w:r>
      <w:r w:rsidRPr="00F936AD">
        <w:rPr>
          <w:sz w:val="18"/>
          <w:szCs w:val="18"/>
        </w:rPr>
        <w:t xml:space="preserve"> </w:t>
      </w:r>
      <w:r>
        <w:rPr>
          <w:iCs/>
          <w:sz w:val="18"/>
          <w:szCs w:val="18"/>
        </w:rPr>
        <w:t>M</w:t>
      </w:r>
      <w:r w:rsidRPr="00F936AD">
        <w:rPr>
          <w:iCs/>
          <w:sz w:val="18"/>
          <w:szCs w:val="18"/>
        </w:rPr>
        <w:t xml:space="preserve">enB </w:t>
      </w:r>
      <w:r>
        <w:rPr>
          <w:iCs/>
          <w:sz w:val="18"/>
          <w:szCs w:val="18"/>
        </w:rPr>
        <w:t>vaccine and 2 doses</w:t>
      </w:r>
      <w:r w:rsidR="00425502">
        <w:rPr>
          <w:iCs/>
          <w:sz w:val="18"/>
          <w:szCs w:val="18"/>
        </w:rPr>
        <w:t xml:space="preserve"> of</w:t>
      </w:r>
      <w:r>
        <w:rPr>
          <w:iCs/>
          <w:sz w:val="18"/>
          <w:szCs w:val="18"/>
        </w:rPr>
        <w:t xml:space="preserve"> MenACWY </w:t>
      </w:r>
      <w:r w:rsidRPr="00F936AD">
        <w:rPr>
          <w:iCs/>
          <w:sz w:val="18"/>
          <w:szCs w:val="18"/>
        </w:rPr>
        <w:t>vaccine</w:t>
      </w:r>
      <w:r>
        <w:rPr>
          <w:iCs/>
          <w:sz w:val="18"/>
          <w:szCs w:val="18"/>
        </w:rPr>
        <w:t>. A minimum interval of 8 weeks is required between doses for each vaccine (Table 1).</w:t>
      </w:r>
    </w:p>
    <w:p w14:paraId="38E6E796" w14:textId="77777777" w:rsidR="00DC54B3" w:rsidRPr="002A45C2" w:rsidRDefault="00DC54B3" w:rsidP="00DC54B3">
      <w:pPr>
        <w:pStyle w:val="BulletedList"/>
        <w:rPr>
          <w:sz w:val="18"/>
          <w:szCs w:val="18"/>
        </w:rPr>
      </w:pPr>
      <w:r w:rsidRPr="002A45C2">
        <w:rPr>
          <w:sz w:val="18"/>
          <w:szCs w:val="18"/>
        </w:rPr>
        <w:t xml:space="preserve">Booster doses </w:t>
      </w:r>
      <w:r>
        <w:rPr>
          <w:sz w:val="18"/>
          <w:szCs w:val="18"/>
        </w:rPr>
        <w:t xml:space="preserve">of MenACWY </w:t>
      </w:r>
      <w:r w:rsidRPr="002A45C2">
        <w:rPr>
          <w:sz w:val="18"/>
          <w:szCs w:val="18"/>
        </w:rPr>
        <w:t>are recommended for people with ongoing increased risk of invasive meningococcal disease. The interval between boosters depends on the age at completion of primary course.</w:t>
      </w:r>
    </w:p>
    <w:p w14:paraId="0D4F25EF" w14:textId="77777777" w:rsidR="00DC54B3" w:rsidRPr="002A45C2" w:rsidRDefault="00DC54B3" w:rsidP="00DC54B3">
      <w:pPr>
        <w:pStyle w:val="BulletedList"/>
        <w:numPr>
          <w:ilvl w:val="1"/>
          <w:numId w:val="4"/>
        </w:numPr>
        <w:rPr>
          <w:i/>
          <w:sz w:val="18"/>
          <w:szCs w:val="18"/>
        </w:rPr>
      </w:pPr>
      <w:r w:rsidRPr="002A45C2">
        <w:rPr>
          <w:i/>
          <w:sz w:val="18"/>
          <w:szCs w:val="18"/>
        </w:rPr>
        <w:t xml:space="preserve">If completed at ≤6 years of age — give </w:t>
      </w:r>
      <w:r>
        <w:rPr>
          <w:i/>
          <w:sz w:val="18"/>
          <w:szCs w:val="18"/>
        </w:rPr>
        <w:t xml:space="preserve">a </w:t>
      </w:r>
      <w:r w:rsidRPr="002A45C2">
        <w:rPr>
          <w:i/>
          <w:sz w:val="18"/>
          <w:szCs w:val="18"/>
        </w:rPr>
        <w:t xml:space="preserve">booster </w:t>
      </w:r>
      <w:r>
        <w:rPr>
          <w:i/>
          <w:sz w:val="18"/>
          <w:szCs w:val="18"/>
        </w:rPr>
        <w:t xml:space="preserve">dose </w:t>
      </w:r>
      <w:r w:rsidRPr="002A45C2">
        <w:rPr>
          <w:i/>
          <w:sz w:val="18"/>
          <w:szCs w:val="18"/>
        </w:rPr>
        <w:t>3 years after completing the primary schedule, then every 5 years</w:t>
      </w:r>
      <w:r>
        <w:rPr>
          <w:i/>
          <w:sz w:val="18"/>
          <w:szCs w:val="18"/>
        </w:rPr>
        <w:t>.</w:t>
      </w:r>
    </w:p>
    <w:p w14:paraId="306EFD65" w14:textId="77777777" w:rsidR="00DC54B3" w:rsidRPr="002A45C2" w:rsidRDefault="00DC54B3" w:rsidP="00DC54B3">
      <w:pPr>
        <w:pStyle w:val="BulletedList"/>
        <w:numPr>
          <w:ilvl w:val="1"/>
          <w:numId w:val="4"/>
        </w:numPr>
        <w:spacing w:after="200"/>
        <w:ind w:left="1434" w:hanging="357"/>
        <w:contextualSpacing w:val="0"/>
        <w:rPr>
          <w:i/>
          <w:sz w:val="18"/>
          <w:szCs w:val="18"/>
        </w:rPr>
      </w:pPr>
      <w:r w:rsidRPr="002A45C2">
        <w:rPr>
          <w:i/>
          <w:sz w:val="18"/>
          <w:szCs w:val="18"/>
        </w:rPr>
        <w:t xml:space="preserve">If completed at </w:t>
      </w:r>
      <w:r w:rsidRPr="002A45C2">
        <w:rPr>
          <w:i/>
          <w:sz w:val="18"/>
          <w:szCs w:val="18"/>
          <w:lang w:val="en-AU"/>
        </w:rPr>
        <w:t xml:space="preserve">≥7 years of age — </w:t>
      </w:r>
      <w:r w:rsidRPr="002A45C2">
        <w:rPr>
          <w:i/>
          <w:sz w:val="18"/>
          <w:szCs w:val="18"/>
        </w:rPr>
        <w:t xml:space="preserve">give </w:t>
      </w:r>
      <w:r>
        <w:rPr>
          <w:i/>
          <w:sz w:val="18"/>
          <w:szCs w:val="18"/>
        </w:rPr>
        <w:t xml:space="preserve">a </w:t>
      </w:r>
      <w:r w:rsidRPr="002A45C2">
        <w:rPr>
          <w:i/>
          <w:sz w:val="18"/>
          <w:szCs w:val="18"/>
        </w:rPr>
        <w:t xml:space="preserve">booster </w:t>
      </w:r>
      <w:r>
        <w:rPr>
          <w:i/>
          <w:sz w:val="18"/>
          <w:szCs w:val="18"/>
        </w:rPr>
        <w:t xml:space="preserve">dose </w:t>
      </w:r>
      <w:r w:rsidRPr="002A45C2">
        <w:rPr>
          <w:i/>
          <w:sz w:val="18"/>
          <w:szCs w:val="18"/>
          <w:lang w:val="en-AU"/>
        </w:rPr>
        <w:t>every 5 years after completing the primary schedule</w:t>
      </w:r>
    </w:p>
    <w:p w14:paraId="2CFBCEAE" w14:textId="0DCBCE04" w:rsidR="00DC54B3" w:rsidRDefault="00DC54B3" w:rsidP="00DC54B3">
      <w:pPr>
        <w:pStyle w:val="BulletedList"/>
        <w:rPr>
          <w:sz w:val="18"/>
          <w:szCs w:val="18"/>
        </w:rPr>
      </w:pPr>
      <w:r>
        <w:rPr>
          <w:sz w:val="18"/>
          <w:szCs w:val="18"/>
        </w:rPr>
        <w:t xml:space="preserve">Booster doses of MenB vaccine are not recommended </w:t>
      </w:r>
      <w:r w:rsidR="00654A27">
        <w:rPr>
          <w:sz w:val="18"/>
          <w:szCs w:val="18"/>
        </w:rPr>
        <w:t>currently</w:t>
      </w:r>
      <w:r>
        <w:rPr>
          <w:sz w:val="18"/>
          <w:szCs w:val="18"/>
        </w:rPr>
        <w:t>.</w:t>
      </w:r>
    </w:p>
    <w:p w14:paraId="0EDE23B6" w14:textId="77777777" w:rsidR="00425502" w:rsidRPr="00E90559" w:rsidRDefault="00425502" w:rsidP="00425502">
      <w:pPr>
        <w:pStyle w:val="BulletedList"/>
        <w:rPr>
          <w:sz w:val="18"/>
          <w:szCs w:val="18"/>
        </w:rPr>
      </w:pPr>
      <w:r w:rsidRPr="00D12121">
        <w:rPr>
          <w:sz w:val="18"/>
          <w:szCs w:val="18"/>
        </w:rPr>
        <w:t>Children &lt;2 years of age are recommended to receive prophylactic paracetamol with every dose of Bexsero</w:t>
      </w:r>
      <w:r>
        <w:rPr>
          <w:sz w:val="18"/>
          <w:szCs w:val="18"/>
        </w:rPr>
        <w:t>®</w:t>
      </w:r>
      <w:r w:rsidRPr="00D12121">
        <w:rPr>
          <w:sz w:val="18"/>
          <w:szCs w:val="18"/>
        </w:rPr>
        <w:t>. This is because of the increased risk of fever</w:t>
      </w:r>
      <w:r>
        <w:rPr>
          <w:sz w:val="18"/>
          <w:szCs w:val="18"/>
        </w:rPr>
        <w:t xml:space="preserve"> associated with</w:t>
      </w:r>
      <w:r w:rsidRPr="00D12121">
        <w:rPr>
          <w:sz w:val="18"/>
          <w:szCs w:val="18"/>
        </w:rPr>
        <w:t xml:space="preserve"> receiving Bexsero</w:t>
      </w:r>
      <w:r>
        <w:rPr>
          <w:sz w:val="18"/>
          <w:szCs w:val="18"/>
        </w:rPr>
        <w:t>®.</w:t>
      </w:r>
    </w:p>
    <w:p w14:paraId="7B0CC38C" w14:textId="77777777" w:rsidR="00425502" w:rsidRPr="00E90559" w:rsidRDefault="00425502" w:rsidP="00425502">
      <w:pPr>
        <w:pStyle w:val="ListParagraph"/>
        <w:numPr>
          <w:ilvl w:val="1"/>
          <w:numId w:val="4"/>
        </w:numPr>
        <w:rPr>
          <w:i/>
          <w:sz w:val="18"/>
          <w:szCs w:val="18"/>
        </w:rPr>
      </w:pPr>
      <w:r w:rsidRPr="00E90559">
        <w:rPr>
          <w:i/>
          <w:sz w:val="18"/>
          <w:szCs w:val="18"/>
        </w:rPr>
        <w:t xml:space="preserve">Give first dose </w:t>
      </w:r>
      <w:r w:rsidRPr="00E90559">
        <w:rPr>
          <w:i/>
          <w:sz w:val="18"/>
          <w:szCs w:val="18"/>
          <w:lang w:val="en"/>
        </w:rPr>
        <w:t>(15 mg/kg/dose) of paracetamol within 30 minutes before, or as soon as practicable after, receiving the vaccine, regardless of whether the child has a fever</w:t>
      </w:r>
      <w:r>
        <w:rPr>
          <w:i/>
          <w:sz w:val="18"/>
          <w:szCs w:val="18"/>
          <w:lang w:val="en"/>
        </w:rPr>
        <w:t>.</w:t>
      </w:r>
    </w:p>
    <w:p w14:paraId="237D0965" w14:textId="25F1EF30" w:rsidR="00425502" w:rsidRPr="00C1084C" w:rsidRDefault="00425502" w:rsidP="00C1084C">
      <w:pPr>
        <w:pStyle w:val="ListParagraph"/>
        <w:numPr>
          <w:ilvl w:val="1"/>
          <w:numId w:val="4"/>
        </w:numPr>
        <w:rPr>
          <w:sz w:val="18"/>
          <w:szCs w:val="18"/>
        </w:rPr>
      </w:pPr>
      <w:r w:rsidRPr="00E90559">
        <w:rPr>
          <w:i/>
          <w:sz w:val="18"/>
          <w:szCs w:val="18"/>
          <w:lang w:val="en"/>
        </w:rPr>
        <w:t>This can be followed by 2 more doses of paracetamol given 6 hours apart</w:t>
      </w:r>
      <w:r>
        <w:rPr>
          <w:i/>
          <w:sz w:val="18"/>
          <w:szCs w:val="18"/>
          <w:lang w:val="en"/>
        </w:rPr>
        <w:t>.</w:t>
      </w:r>
    </w:p>
    <w:p w14:paraId="5334AB86" w14:textId="05EF95DC" w:rsidR="00DC54B3" w:rsidRPr="00EB25EE" w:rsidRDefault="000E647C" w:rsidP="00DC54B3">
      <w:pPr>
        <w:pStyle w:val="Heading2"/>
        <w:rPr>
          <w:bCs/>
          <w:sz w:val="20"/>
          <w:szCs w:val="18"/>
          <w:lang w:eastAsia="en-US"/>
        </w:rPr>
      </w:pPr>
      <w:r>
        <w:rPr>
          <w:sz w:val="20"/>
          <w:szCs w:val="18"/>
          <w:lang w:eastAsia="en-US"/>
        </w:rPr>
        <w:t>Table</w:t>
      </w:r>
      <w:r w:rsidR="00DC54B3">
        <w:rPr>
          <w:sz w:val="20"/>
          <w:szCs w:val="18"/>
          <w:lang w:eastAsia="en-US"/>
        </w:rPr>
        <w:t>1</w:t>
      </w:r>
      <w:r w:rsidR="00DC54B3" w:rsidRPr="00AC23C0">
        <w:rPr>
          <w:sz w:val="20"/>
          <w:szCs w:val="18"/>
          <w:lang w:eastAsia="en-US"/>
        </w:rPr>
        <w:t xml:space="preserve">. </w:t>
      </w:r>
      <w:r w:rsidR="00DC54B3">
        <w:rPr>
          <w:sz w:val="20"/>
          <w:szCs w:val="18"/>
          <w:lang w:eastAsia="en-US"/>
        </w:rPr>
        <w:t>Bexsero</w:t>
      </w:r>
      <w:r w:rsidR="007F1EC6">
        <w:rPr>
          <w:sz w:val="20"/>
          <w:szCs w:val="18"/>
          <w:lang w:eastAsia="en-US"/>
        </w:rPr>
        <w:t xml:space="preserve"> </w:t>
      </w:r>
      <w:r w:rsidR="00FD7A89">
        <w:rPr>
          <w:sz w:val="20"/>
          <w:szCs w:val="18"/>
          <w:lang w:eastAsia="en-US"/>
        </w:rPr>
        <w:t>(MenB)</w:t>
      </w:r>
      <w:r w:rsidR="00DC54B3">
        <w:rPr>
          <w:sz w:val="20"/>
          <w:szCs w:val="18"/>
          <w:lang w:eastAsia="en-US"/>
        </w:rPr>
        <w:t xml:space="preserve"> and Nimenrix</w:t>
      </w:r>
      <w:r w:rsidR="00FD7A89">
        <w:rPr>
          <w:sz w:val="20"/>
          <w:szCs w:val="18"/>
          <w:lang w:eastAsia="en-US"/>
        </w:rPr>
        <w:t xml:space="preserve"> (MenACWY)</w:t>
      </w:r>
      <w:r w:rsidR="00DC54B3">
        <w:rPr>
          <w:sz w:val="20"/>
          <w:szCs w:val="18"/>
          <w:lang w:eastAsia="en-US"/>
        </w:rPr>
        <w:t xml:space="preserve"> dose recommendations </w:t>
      </w:r>
      <w:r w:rsidR="00DC54B3" w:rsidRPr="00FE2F7C">
        <w:rPr>
          <w:sz w:val="20"/>
          <w:szCs w:val="18"/>
          <w:lang w:val="en" w:eastAsia="en-US"/>
        </w:rPr>
        <w:t>for people with a</w:t>
      </w:r>
      <w:r w:rsidR="00DC54B3">
        <w:rPr>
          <w:sz w:val="20"/>
          <w:szCs w:val="18"/>
          <w:lang w:val="en" w:eastAsia="en-US"/>
        </w:rPr>
        <w:t xml:space="preserve"> specified</w:t>
      </w:r>
      <w:r w:rsidR="00DC54B3" w:rsidRPr="00FE2F7C">
        <w:rPr>
          <w:sz w:val="20"/>
          <w:szCs w:val="18"/>
          <w:lang w:val="en" w:eastAsia="en-US"/>
        </w:rPr>
        <w:t xml:space="preserve"> medical condition</w:t>
      </w:r>
      <w:r w:rsidR="00DC54B3">
        <w:rPr>
          <w:sz w:val="20"/>
          <w:szCs w:val="18"/>
          <w:lang w:val="en" w:eastAsia="en-US"/>
        </w:rPr>
        <w:t xml:space="preserve"> </w:t>
      </w:r>
      <w:r w:rsidR="00DC54B3" w:rsidRPr="00BB1759">
        <w:rPr>
          <w:sz w:val="20"/>
          <w:szCs w:val="18"/>
          <w:lang w:val="en" w:eastAsia="en-US"/>
        </w:rPr>
        <w:t>that increases their risk of invasive meningococcal disease</w:t>
      </w:r>
      <w:r w:rsidR="00DC54B3">
        <w:rPr>
          <w:sz w:val="20"/>
          <w:szCs w:val="18"/>
          <w:lang w:val="en" w:eastAsia="en-US"/>
        </w:rPr>
        <w:t xml:space="preserve"> </w:t>
      </w:r>
    </w:p>
    <w:tbl>
      <w:tblPr>
        <w:tblStyle w:val="TableGrid"/>
        <w:tblW w:w="5217" w:type="pct"/>
        <w:tblInd w:w="10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Seasonal influenza vaccines available for use in Australia in 2018, by age"/>
        <w:tblDescription w:val="Six influenza vaccines are available in Australia in 2018. FluQuadri Junior can be used from 6 months to less than 3 years. FluQuadri can be used from 3 years of age. Fluarix Tetra can be used from 3 years of age. Afluria Quad can be used from 18 years of age. Fluzone High-Dose can be used only for those 65 years of age and older. Fluad can be used only for those 65 years of age and older."/>
      </w:tblPr>
      <w:tblGrid>
        <w:gridCol w:w="1806"/>
        <w:gridCol w:w="8841"/>
      </w:tblGrid>
      <w:tr w:rsidR="00DC54B3" w:rsidRPr="00D57407" w14:paraId="02B3D331" w14:textId="77777777" w:rsidTr="00926ED1">
        <w:trPr>
          <w:trHeight w:val="379"/>
          <w:tblHeader/>
        </w:trPr>
        <w:tc>
          <w:tcPr>
            <w:tcW w:w="848" w:type="pct"/>
            <w:tcBorders>
              <w:bottom w:val="single" w:sz="4" w:space="0" w:color="A6A6A6" w:themeColor="background1" w:themeShade="A6"/>
            </w:tcBorders>
            <w:shd w:val="clear" w:color="auto" w:fill="57259F"/>
            <w:vAlign w:val="center"/>
          </w:tcPr>
          <w:p w14:paraId="26A50401" w14:textId="77777777" w:rsidR="00DC54B3" w:rsidRPr="00B13CE4" w:rsidRDefault="00DC54B3" w:rsidP="00E91CA0">
            <w:pPr>
              <w:pStyle w:val="TableHeading"/>
              <w:rPr>
                <w:rFonts w:asciiTheme="minorHAnsi" w:hAnsiTheme="minorHAnsi" w:cstheme="minorHAnsi"/>
                <w:color w:val="FFFFFF" w:themeColor="background1"/>
                <w:sz w:val="18"/>
                <w:szCs w:val="18"/>
              </w:rPr>
            </w:pPr>
            <w:r w:rsidRPr="00B13CE4">
              <w:rPr>
                <w:rFonts w:asciiTheme="minorHAnsi" w:hAnsiTheme="minorHAnsi" w:cstheme="minorHAnsi"/>
                <w:color w:val="FFFFFF" w:themeColor="background1"/>
                <w:sz w:val="18"/>
                <w:szCs w:val="18"/>
              </w:rPr>
              <w:t>Age at start of vaccin</w:t>
            </w:r>
            <w:r>
              <w:rPr>
                <w:rFonts w:asciiTheme="minorHAnsi" w:hAnsiTheme="minorHAnsi" w:cstheme="minorHAnsi"/>
                <w:color w:val="FFFFFF" w:themeColor="background1"/>
                <w:sz w:val="18"/>
                <w:szCs w:val="18"/>
              </w:rPr>
              <w:t>ation</w:t>
            </w:r>
          </w:p>
        </w:tc>
        <w:tc>
          <w:tcPr>
            <w:tcW w:w="4152" w:type="pct"/>
            <w:shd w:val="clear" w:color="auto" w:fill="57259F"/>
            <w:vAlign w:val="center"/>
          </w:tcPr>
          <w:p w14:paraId="2397696A" w14:textId="77777777" w:rsidR="00DC54B3" w:rsidRPr="00B13CE4" w:rsidRDefault="00DC54B3" w:rsidP="00E91CA0">
            <w:pPr>
              <w:pStyle w:val="TableHeading"/>
              <w:rPr>
                <w:rFonts w:asciiTheme="minorHAnsi" w:hAnsiTheme="minorHAnsi" w:cstheme="minorHAnsi"/>
                <w:color w:val="FFFFFF" w:themeColor="background1"/>
                <w:sz w:val="18"/>
                <w:szCs w:val="18"/>
              </w:rPr>
            </w:pPr>
            <w:r w:rsidRPr="00B13CE4">
              <w:rPr>
                <w:rFonts w:asciiTheme="minorHAnsi" w:hAnsiTheme="minorHAnsi" w:cstheme="minorHAnsi"/>
                <w:color w:val="FFFFFF" w:themeColor="background1"/>
                <w:sz w:val="18"/>
                <w:szCs w:val="18"/>
              </w:rPr>
              <w:t>Dose requirements for people with a specified medical condition associated with increased risk of meningococcal disease*</w:t>
            </w:r>
          </w:p>
        </w:tc>
      </w:tr>
      <w:tr w:rsidR="00DC54B3" w:rsidRPr="00D57407" w14:paraId="64C20B04" w14:textId="77777777" w:rsidTr="00926ED1">
        <w:trPr>
          <w:trHeight w:val="379"/>
        </w:trPr>
        <w:tc>
          <w:tcPr>
            <w:tcW w:w="848" w:type="pct"/>
            <w:shd w:val="clear" w:color="auto" w:fill="CCC0D9"/>
            <w:vAlign w:val="center"/>
          </w:tcPr>
          <w:p w14:paraId="47B99D72" w14:textId="77777777" w:rsidR="00DC54B3" w:rsidRPr="000E5FE8" w:rsidRDefault="00DC54B3" w:rsidP="00E91CA0">
            <w:pPr>
              <w:keepNext/>
              <w:rPr>
                <w:rFonts w:asciiTheme="minorHAnsi" w:hAnsiTheme="minorHAnsi" w:cstheme="minorHAnsi"/>
                <w:sz w:val="18"/>
                <w:szCs w:val="18"/>
              </w:rPr>
            </w:pPr>
            <w:r w:rsidRPr="000E5FE8">
              <w:rPr>
                <w:rFonts w:asciiTheme="minorHAnsi" w:hAnsiTheme="minorHAnsi" w:cstheme="minorHAnsi"/>
                <w:sz w:val="18"/>
                <w:szCs w:val="18"/>
              </w:rPr>
              <w:t>6 weeks to 5 months</w:t>
            </w:r>
          </w:p>
        </w:tc>
        <w:tc>
          <w:tcPr>
            <w:tcW w:w="4152" w:type="pct"/>
            <w:shd w:val="clear" w:color="auto" w:fill="E8E8E8"/>
            <w:vAlign w:val="center"/>
          </w:tcPr>
          <w:p w14:paraId="36DA036C" w14:textId="77777777" w:rsidR="00DC54B3" w:rsidRPr="000E5FE8" w:rsidRDefault="00DC54B3" w:rsidP="00E91CA0">
            <w:pPr>
              <w:pStyle w:val="NormalWeb"/>
              <w:rPr>
                <w:rFonts w:asciiTheme="minorHAnsi" w:hAnsiTheme="minorHAnsi" w:cstheme="minorHAnsi"/>
                <w:sz w:val="18"/>
                <w:szCs w:val="18"/>
              </w:rPr>
            </w:pPr>
            <w:r w:rsidRPr="000E5FE8">
              <w:rPr>
                <w:rFonts w:asciiTheme="minorHAnsi" w:hAnsiTheme="minorHAnsi" w:cstheme="minorHAnsi"/>
                <w:sz w:val="18"/>
                <w:szCs w:val="18"/>
              </w:rPr>
              <w:t>4 doses</w:t>
            </w:r>
            <w:r>
              <w:rPr>
                <w:rFonts w:asciiTheme="minorHAnsi" w:hAnsiTheme="minorHAnsi" w:cstheme="minorHAnsi"/>
                <w:sz w:val="18"/>
                <w:szCs w:val="18"/>
              </w:rPr>
              <w:t>*</w:t>
            </w:r>
            <w:r w:rsidRPr="000E5FE8">
              <w:rPr>
                <w:rFonts w:asciiTheme="minorHAnsi" w:hAnsiTheme="minorHAnsi" w:cstheme="minorHAnsi"/>
                <w:sz w:val="18"/>
                <w:szCs w:val="18"/>
              </w:rPr>
              <w:t xml:space="preserve"> (8 weeks between doses; 4th dose at 12 months of age or 8 weeks after 3rd dose, whichever is later)</w:t>
            </w:r>
          </w:p>
        </w:tc>
      </w:tr>
      <w:tr w:rsidR="00DC54B3" w:rsidRPr="00D57407" w14:paraId="2BEBAAFF" w14:textId="77777777" w:rsidTr="00926ED1">
        <w:trPr>
          <w:trHeight w:val="379"/>
        </w:trPr>
        <w:tc>
          <w:tcPr>
            <w:tcW w:w="848" w:type="pct"/>
            <w:shd w:val="clear" w:color="auto" w:fill="CCC0D9"/>
            <w:vAlign w:val="center"/>
          </w:tcPr>
          <w:p w14:paraId="032D8EEB" w14:textId="77777777" w:rsidR="00DC54B3" w:rsidRPr="000E5FE8" w:rsidRDefault="00DC54B3" w:rsidP="00E91CA0">
            <w:pPr>
              <w:keepNext/>
              <w:rPr>
                <w:rFonts w:asciiTheme="minorHAnsi" w:hAnsiTheme="minorHAnsi" w:cstheme="minorHAnsi"/>
                <w:sz w:val="18"/>
                <w:szCs w:val="18"/>
              </w:rPr>
            </w:pPr>
            <w:r w:rsidRPr="000E5FE8">
              <w:rPr>
                <w:rFonts w:asciiTheme="minorHAnsi" w:hAnsiTheme="minorHAnsi" w:cstheme="minorHAnsi"/>
                <w:sz w:val="18"/>
                <w:szCs w:val="18"/>
              </w:rPr>
              <w:t>6–11 months</w:t>
            </w:r>
          </w:p>
        </w:tc>
        <w:tc>
          <w:tcPr>
            <w:tcW w:w="4152" w:type="pct"/>
            <w:shd w:val="clear" w:color="auto" w:fill="E8E8E8"/>
            <w:vAlign w:val="center"/>
          </w:tcPr>
          <w:p w14:paraId="05D08785" w14:textId="77777777" w:rsidR="00DC54B3" w:rsidRPr="000E5FE8" w:rsidRDefault="00DC54B3" w:rsidP="00E91CA0">
            <w:pPr>
              <w:pStyle w:val="TableText1"/>
              <w:rPr>
                <w:rFonts w:asciiTheme="minorHAnsi" w:hAnsiTheme="minorHAnsi" w:cstheme="minorHAnsi"/>
                <w:sz w:val="18"/>
                <w:szCs w:val="18"/>
              </w:rPr>
            </w:pPr>
            <w:r w:rsidRPr="000E5FE8">
              <w:rPr>
                <w:rFonts w:asciiTheme="minorHAnsi" w:hAnsiTheme="minorHAnsi" w:cstheme="minorHAnsi"/>
                <w:sz w:val="18"/>
                <w:szCs w:val="18"/>
              </w:rPr>
              <w:t>3 doses</w:t>
            </w:r>
            <w:r>
              <w:rPr>
                <w:rFonts w:asciiTheme="minorHAnsi" w:hAnsiTheme="minorHAnsi" w:cstheme="minorHAnsi"/>
                <w:sz w:val="18"/>
                <w:szCs w:val="18"/>
              </w:rPr>
              <w:t>*</w:t>
            </w:r>
            <w:r w:rsidRPr="000E5FE8">
              <w:rPr>
                <w:rFonts w:asciiTheme="minorHAnsi" w:hAnsiTheme="minorHAnsi" w:cstheme="minorHAnsi"/>
                <w:sz w:val="18"/>
                <w:szCs w:val="18"/>
              </w:rPr>
              <w:t xml:space="preserve"> (8 weeks between 1st and 2nd doses; 3rd dose at 12 months of age or 8 weeks after 2nd dose, whichever is later)</w:t>
            </w:r>
          </w:p>
        </w:tc>
      </w:tr>
      <w:tr w:rsidR="00DC54B3" w:rsidRPr="00D57407" w14:paraId="219839E2" w14:textId="77777777" w:rsidTr="00926ED1">
        <w:trPr>
          <w:trHeight w:val="379"/>
        </w:trPr>
        <w:tc>
          <w:tcPr>
            <w:tcW w:w="848" w:type="pct"/>
            <w:shd w:val="clear" w:color="auto" w:fill="CCC0D9"/>
            <w:vAlign w:val="center"/>
          </w:tcPr>
          <w:p w14:paraId="0B0BD385" w14:textId="77777777" w:rsidR="00DC54B3" w:rsidRPr="00D57407" w:rsidRDefault="00DC54B3" w:rsidP="00E91CA0">
            <w:pPr>
              <w:keepNext/>
              <w:rPr>
                <w:rFonts w:asciiTheme="minorHAnsi" w:hAnsiTheme="minorHAnsi" w:cstheme="minorHAnsi"/>
                <w:sz w:val="18"/>
                <w:szCs w:val="18"/>
              </w:rPr>
            </w:pPr>
            <w:r>
              <w:rPr>
                <w:rFonts w:asciiTheme="minorHAnsi" w:hAnsiTheme="minorHAnsi" w:cstheme="minorHAnsi"/>
                <w:sz w:val="18"/>
                <w:szCs w:val="18"/>
              </w:rPr>
              <w:t>≥12 months</w:t>
            </w:r>
          </w:p>
        </w:tc>
        <w:tc>
          <w:tcPr>
            <w:tcW w:w="4152" w:type="pct"/>
            <w:shd w:val="clear" w:color="auto" w:fill="E8E8E8"/>
            <w:vAlign w:val="center"/>
          </w:tcPr>
          <w:p w14:paraId="5FBE4635" w14:textId="77777777" w:rsidR="00DC54B3" w:rsidRPr="00D57407" w:rsidRDefault="00DC54B3" w:rsidP="00E91CA0">
            <w:pPr>
              <w:pStyle w:val="TableText1"/>
              <w:rPr>
                <w:rFonts w:asciiTheme="minorHAnsi" w:hAnsiTheme="minorHAnsi" w:cstheme="minorHAnsi"/>
                <w:sz w:val="18"/>
                <w:szCs w:val="18"/>
              </w:rPr>
            </w:pPr>
            <w:r w:rsidRPr="00561B88">
              <w:rPr>
                <w:rFonts w:asciiTheme="minorHAnsi" w:hAnsiTheme="minorHAnsi" w:cstheme="minorHAnsi"/>
                <w:sz w:val="18"/>
                <w:szCs w:val="18"/>
              </w:rPr>
              <w:t>2 doses</w:t>
            </w:r>
            <w:r>
              <w:rPr>
                <w:rFonts w:asciiTheme="minorHAnsi" w:hAnsiTheme="minorHAnsi" w:cstheme="minorHAnsi"/>
                <w:sz w:val="18"/>
                <w:szCs w:val="18"/>
              </w:rPr>
              <w:t>*</w:t>
            </w:r>
            <w:r w:rsidRPr="00561B88">
              <w:rPr>
                <w:rFonts w:asciiTheme="minorHAnsi" w:hAnsiTheme="minorHAnsi" w:cstheme="minorHAnsi"/>
                <w:sz w:val="18"/>
                <w:szCs w:val="18"/>
              </w:rPr>
              <w:t xml:space="preserve"> (8 weeks between doses)</w:t>
            </w:r>
          </w:p>
        </w:tc>
      </w:tr>
    </w:tbl>
    <w:p w14:paraId="67F14DFE" w14:textId="349245D5" w:rsidR="00DC54B3" w:rsidRPr="00433A23" w:rsidRDefault="00433A23" w:rsidP="00025A03">
      <w:pPr>
        <w:spacing w:after="0"/>
        <w:rPr>
          <w:rFonts w:ascii="Times New Roman" w:hAnsi="Times New Roman" w:cs="Times New Roman"/>
          <w:sz w:val="24"/>
          <w:szCs w:val="24"/>
        </w:rPr>
      </w:pPr>
      <w:r>
        <w:rPr>
          <w:sz w:val="14"/>
          <w:szCs w:val="14"/>
        </w:rPr>
        <w:t xml:space="preserve">*Specified medical conditions include inherited defects or deficiency of properdin or complement components, </w:t>
      </w:r>
      <w:r w:rsidR="00AA699A">
        <w:rPr>
          <w:sz w:val="14"/>
          <w:szCs w:val="14"/>
        </w:rPr>
        <w:t>receiving</w:t>
      </w:r>
      <w:r w:rsidR="00E21505">
        <w:rPr>
          <w:sz w:val="14"/>
          <w:szCs w:val="14"/>
        </w:rPr>
        <w:t xml:space="preserve"> </w:t>
      </w:r>
      <w:r>
        <w:rPr>
          <w:sz w:val="14"/>
          <w:szCs w:val="14"/>
        </w:rPr>
        <w:t xml:space="preserve">treatment with eculizumab, functional or anatomical asplenia, HIV infection and </w:t>
      </w:r>
      <w:r w:rsidR="0087556F">
        <w:rPr>
          <w:sz w:val="14"/>
          <w:szCs w:val="14"/>
        </w:rPr>
        <w:t>haematopoietic</w:t>
      </w:r>
      <w:r>
        <w:rPr>
          <w:sz w:val="14"/>
          <w:szCs w:val="14"/>
        </w:rPr>
        <w:t xml:space="preserve"> stem cell transplant.</w:t>
      </w:r>
      <w:r w:rsidR="00DD7A56" w:rsidRPr="00DD7A56">
        <w:t xml:space="preserve"> </w:t>
      </w:r>
      <w:r w:rsidR="00DD7A56" w:rsidRPr="00DD7A56">
        <w:rPr>
          <w:sz w:val="14"/>
          <w:szCs w:val="14"/>
        </w:rPr>
        <w:t>Bexsero is NIP-funded for Aboriginal and Torres Strait Islander infants with any of these conditions. Otherwise,</w:t>
      </w:r>
      <w:r>
        <w:rPr>
          <w:sz w:val="14"/>
          <w:szCs w:val="14"/>
          <w:lang w:eastAsia="en-US"/>
        </w:rPr>
        <w:t xml:space="preserve"> Bexsero and Nimenrix </w:t>
      </w:r>
      <w:r w:rsidR="0020771F">
        <w:rPr>
          <w:sz w:val="14"/>
          <w:szCs w:val="14"/>
          <w:lang w:eastAsia="en-US"/>
        </w:rPr>
        <w:t xml:space="preserve">are </w:t>
      </w:r>
      <w:r w:rsidR="00AB4B61">
        <w:rPr>
          <w:sz w:val="14"/>
          <w:szCs w:val="14"/>
          <w:lang w:eastAsia="en-US"/>
        </w:rPr>
        <w:t>NIP</w:t>
      </w:r>
      <w:r w:rsidR="00DC54B3" w:rsidRPr="003A1D88">
        <w:rPr>
          <w:sz w:val="14"/>
          <w:szCs w:val="14"/>
          <w:lang w:eastAsia="en-US"/>
        </w:rPr>
        <w:t xml:space="preserve"> funded</w:t>
      </w:r>
      <w:r w:rsidR="001E12BF">
        <w:rPr>
          <w:sz w:val="14"/>
          <w:szCs w:val="14"/>
          <w:lang w:eastAsia="en-US"/>
        </w:rPr>
        <w:t xml:space="preserve"> only</w:t>
      </w:r>
      <w:r w:rsidR="00DC54B3" w:rsidRPr="003A1D88">
        <w:rPr>
          <w:sz w:val="14"/>
          <w:szCs w:val="14"/>
          <w:lang w:eastAsia="en-US"/>
        </w:rPr>
        <w:t xml:space="preserve"> for people with </w:t>
      </w:r>
      <w:r w:rsidR="00DC54B3" w:rsidRPr="003A1D88">
        <w:rPr>
          <w:i/>
          <w:sz w:val="14"/>
          <w:szCs w:val="14"/>
          <w:lang w:eastAsia="en-US"/>
        </w:rPr>
        <w:t xml:space="preserve">asplenia and hyposplenia, complement deficiency and those </w:t>
      </w:r>
      <w:r w:rsidR="00F547DA">
        <w:rPr>
          <w:i/>
          <w:sz w:val="14"/>
          <w:szCs w:val="14"/>
          <w:lang w:eastAsia="en-US"/>
        </w:rPr>
        <w:t>receiving</w:t>
      </w:r>
      <w:r w:rsidR="00F547DA" w:rsidRPr="003A1D88">
        <w:rPr>
          <w:i/>
          <w:sz w:val="14"/>
          <w:szCs w:val="14"/>
          <w:lang w:eastAsia="en-US"/>
        </w:rPr>
        <w:t xml:space="preserve"> </w:t>
      </w:r>
      <w:r w:rsidR="00DC54B3" w:rsidRPr="003A1D88">
        <w:rPr>
          <w:i/>
          <w:sz w:val="14"/>
          <w:szCs w:val="14"/>
          <w:lang w:eastAsia="en-US"/>
        </w:rPr>
        <w:t>treatment with eculizumab</w:t>
      </w:r>
      <w:r w:rsidR="00DC54B3" w:rsidRPr="003A1D88">
        <w:rPr>
          <w:sz w:val="14"/>
          <w:szCs w:val="14"/>
          <w:lang w:eastAsia="en-US"/>
        </w:rPr>
        <w:t>.</w:t>
      </w:r>
    </w:p>
    <w:p w14:paraId="2F4A00A3" w14:textId="77777777" w:rsidR="00E2699D" w:rsidRDefault="00E2699D" w:rsidP="00E2699D">
      <w:pPr>
        <w:pStyle w:val="Heading3"/>
        <w:spacing w:after="40"/>
        <w:rPr>
          <w:sz w:val="18"/>
          <w:szCs w:val="18"/>
        </w:rPr>
      </w:pPr>
      <w:r>
        <w:rPr>
          <w:sz w:val="18"/>
          <w:szCs w:val="18"/>
        </w:rPr>
        <w:t>13-</w:t>
      </w:r>
      <w:r w:rsidRPr="00863722">
        <w:rPr>
          <w:sz w:val="18"/>
          <w:szCs w:val="18"/>
        </w:rPr>
        <w:t>valent pneumococcal conjugate vaccin</w:t>
      </w:r>
      <w:r>
        <w:rPr>
          <w:sz w:val="18"/>
          <w:szCs w:val="18"/>
        </w:rPr>
        <w:t>e (13vPCV; Prevenar 13®) and 23-</w:t>
      </w:r>
      <w:r w:rsidRPr="00863722">
        <w:rPr>
          <w:sz w:val="18"/>
          <w:szCs w:val="18"/>
        </w:rPr>
        <w:t>valent pneumococcal polysaccharide v</w:t>
      </w:r>
      <w:r>
        <w:rPr>
          <w:sz w:val="18"/>
          <w:szCs w:val="18"/>
        </w:rPr>
        <w:t>accine (23vPPV; Pneumovax 23®)</w:t>
      </w:r>
    </w:p>
    <w:p w14:paraId="45072E41" w14:textId="77777777" w:rsidR="00E2699D" w:rsidRPr="009C4D64" w:rsidRDefault="00E2699D" w:rsidP="00E2699D">
      <w:pPr>
        <w:pStyle w:val="BulletedList"/>
        <w:ind w:left="714" w:hanging="357"/>
        <w:rPr>
          <w:sz w:val="18"/>
          <w:szCs w:val="18"/>
        </w:rPr>
      </w:pPr>
      <w:r>
        <w:rPr>
          <w:sz w:val="18"/>
          <w:szCs w:val="18"/>
          <w:lang w:val="en-AU"/>
        </w:rPr>
        <w:t xml:space="preserve">The list of conditions </w:t>
      </w:r>
      <w:r w:rsidRPr="00492829">
        <w:rPr>
          <w:sz w:val="18"/>
          <w:szCs w:val="18"/>
          <w:lang w:val="en-AU"/>
        </w:rPr>
        <w:t xml:space="preserve">associated with an increased risk of pneumococcal disease </w:t>
      </w:r>
      <w:r>
        <w:rPr>
          <w:sz w:val="18"/>
          <w:szCs w:val="18"/>
          <w:lang w:val="en-AU"/>
        </w:rPr>
        <w:t xml:space="preserve">has been updated. There is now a </w:t>
      </w:r>
      <w:r w:rsidRPr="00475BE0">
        <w:rPr>
          <w:sz w:val="18"/>
          <w:szCs w:val="18"/>
          <w:u w:val="single"/>
          <w:lang w:val="en-AU"/>
        </w:rPr>
        <w:t>single</w:t>
      </w:r>
      <w:r>
        <w:rPr>
          <w:sz w:val="18"/>
          <w:szCs w:val="18"/>
          <w:lang w:val="en-AU"/>
        </w:rPr>
        <w:t xml:space="preserve"> list of risk conditions that replaces </w:t>
      </w:r>
      <w:r w:rsidRPr="00492829">
        <w:rPr>
          <w:sz w:val="18"/>
          <w:szCs w:val="18"/>
          <w:lang w:val="en-AU"/>
        </w:rPr>
        <w:t xml:space="preserve">the previous </w:t>
      </w:r>
      <w:r>
        <w:rPr>
          <w:sz w:val="18"/>
          <w:szCs w:val="18"/>
          <w:lang w:val="en-AU"/>
        </w:rPr>
        <w:t>‘</w:t>
      </w:r>
      <w:r w:rsidRPr="00492829">
        <w:rPr>
          <w:sz w:val="18"/>
          <w:szCs w:val="18"/>
          <w:lang w:val="en-AU"/>
        </w:rPr>
        <w:t>Category A</w:t>
      </w:r>
      <w:r>
        <w:rPr>
          <w:sz w:val="18"/>
          <w:szCs w:val="18"/>
          <w:lang w:val="en-AU"/>
        </w:rPr>
        <w:t>’</w:t>
      </w:r>
      <w:r w:rsidRPr="00492829">
        <w:rPr>
          <w:sz w:val="18"/>
          <w:szCs w:val="18"/>
          <w:lang w:val="en-AU"/>
        </w:rPr>
        <w:t xml:space="preserve"> and </w:t>
      </w:r>
      <w:r>
        <w:rPr>
          <w:sz w:val="18"/>
          <w:szCs w:val="18"/>
          <w:lang w:val="en-AU"/>
        </w:rPr>
        <w:t>‘</w:t>
      </w:r>
      <w:r w:rsidRPr="00492829">
        <w:rPr>
          <w:sz w:val="18"/>
          <w:szCs w:val="18"/>
          <w:lang w:val="en-AU"/>
        </w:rPr>
        <w:t>Category B</w:t>
      </w:r>
      <w:r>
        <w:rPr>
          <w:sz w:val="18"/>
          <w:szCs w:val="18"/>
          <w:lang w:val="en-AU"/>
        </w:rPr>
        <w:t>’</w:t>
      </w:r>
      <w:r w:rsidRPr="00492829">
        <w:rPr>
          <w:sz w:val="18"/>
          <w:szCs w:val="18"/>
          <w:lang w:val="en-AU"/>
        </w:rPr>
        <w:t xml:space="preserve"> </w:t>
      </w:r>
      <w:r>
        <w:rPr>
          <w:sz w:val="18"/>
          <w:szCs w:val="18"/>
          <w:lang w:val="en-AU"/>
        </w:rPr>
        <w:t>lists. The definitions of some risk conditions have been updated to improve their recognition and application.</w:t>
      </w:r>
    </w:p>
    <w:p w14:paraId="76DDE23B" w14:textId="761E4AF3" w:rsidR="001F2952" w:rsidRPr="001F2952" w:rsidRDefault="006D6937" w:rsidP="001F2952">
      <w:pPr>
        <w:pStyle w:val="BulletedList"/>
        <w:rPr>
          <w:sz w:val="18"/>
          <w:szCs w:val="18"/>
        </w:rPr>
      </w:pPr>
      <w:r w:rsidRPr="006D6937">
        <w:rPr>
          <w:sz w:val="18"/>
          <w:szCs w:val="18"/>
          <w:lang w:val="en-AU"/>
        </w:rPr>
        <w:t xml:space="preserve">The pneumococcal vaccines recommended for many of those with risk conditions </w:t>
      </w:r>
      <w:r w:rsidR="00D675E0">
        <w:rPr>
          <w:sz w:val="18"/>
          <w:szCs w:val="18"/>
          <w:lang w:val="en-AU"/>
        </w:rPr>
        <w:t>are</w:t>
      </w:r>
      <w:r w:rsidR="004B4C5F" w:rsidRPr="006D6937">
        <w:rPr>
          <w:sz w:val="18"/>
          <w:szCs w:val="18"/>
          <w:lang w:val="en-AU"/>
        </w:rPr>
        <w:t xml:space="preserve"> </w:t>
      </w:r>
      <w:r w:rsidRPr="006D6937">
        <w:rPr>
          <w:sz w:val="18"/>
          <w:szCs w:val="18"/>
          <w:lang w:val="en-AU"/>
        </w:rPr>
        <w:t>now funded under the NIP for children and adults. However, for some other conditions where the rate of disease is not sufficiently high enough to be cost-</w:t>
      </w:r>
      <w:r w:rsidR="00BB1759" w:rsidRPr="006D6937">
        <w:rPr>
          <w:sz w:val="18"/>
          <w:szCs w:val="18"/>
          <w:lang w:val="en-AU"/>
        </w:rPr>
        <w:t>effective</w:t>
      </w:r>
      <w:r w:rsidRPr="006D6937">
        <w:rPr>
          <w:sz w:val="18"/>
          <w:szCs w:val="18"/>
          <w:lang w:val="en-AU"/>
        </w:rPr>
        <w:t xml:space="preserve"> given the cost of vaccine purchase and delivery, people </w:t>
      </w:r>
      <w:r w:rsidR="004B4C5F">
        <w:rPr>
          <w:sz w:val="18"/>
          <w:szCs w:val="18"/>
          <w:lang w:val="en-AU"/>
        </w:rPr>
        <w:t>are</w:t>
      </w:r>
      <w:r w:rsidR="004B4C5F" w:rsidRPr="006D6937">
        <w:rPr>
          <w:sz w:val="18"/>
          <w:szCs w:val="18"/>
          <w:lang w:val="en-AU"/>
        </w:rPr>
        <w:t xml:space="preserve"> </w:t>
      </w:r>
      <w:r w:rsidRPr="006D6937">
        <w:rPr>
          <w:sz w:val="18"/>
          <w:szCs w:val="18"/>
          <w:lang w:val="en-AU"/>
        </w:rPr>
        <w:t>not eligible to receive the recommended pneumococcal vaccines under the NIP</w:t>
      </w:r>
      <w:r w:rsidR="000234F8">
        <w:rPr>
          <w:sz w:val="18"/>
          <w:szCs w:val="18"/>
          <w:lang w:val="en-AU"/>
        </w:rPr>
        <w:t xml:space="preserve"> (</w:t>
      </w:r>
      <w:r w:rsidR="00AA699A">
        <w:rPr>
          <w:sz w:val="18"/>
          <w:szCs w:val="18"/>
          <w:lang w:val="en-AU"/>
        </w:rPr>
        <w:t>refer to</w:t>
      </w:r>
      <w:r w:rsidR="000234F8">
        <w:rPr>
          <w:sz w:val="18"/>
          <w:szCs w:val="18"/>
          <w:lang w:val="en-AU"/>
        </w:rPr>
        <w:t xml:space="preserve"> Appendix).</w:t>
      </w:r>
      <w:r w:rsidR="00125EB7">
        <w:rPr>
          <w:sz w:val="18"/>
          <w:szCs w:val="18"/>
        </w:rPr>
        <w:t xml:space="preserve">  </w:t>
      </w:r>
    </w:p>
    <w:p w14:paraId="1C67C30F" w14:textId="77777777" w:rsidR="008F277D" w:rsidRPr="006D1046" w:rsidRDefault="008F277D" w:rsidP="008F277D">
      <w:pPr>
        <w:pStyle w:val="BulletedList"/>
        <w:rPr>
          <w:sz w:val="18"/>
          <w:szCs w:val="18"/>
        </w:rPr>
      </w:pPr>
      <w:r w:rsidRPr="006D1046">
        <w:rPr>
          <w:sz w:val="18"/>
          <w:szCs w:val="18"/>
        </w:rPr>
        <w:t xml:space="preserve">Children diagnosed with risk conditions at </w:t>
      </w:r>
      <w:r w:rsidRPr="006D1046">
        <w:rPr>
          <w:sz w:val="18"/>
          <w:szCs w:val="18"/>
        </w:rPr>
        <w:sym w:font="Symbol" w:char="F0A3"/>
      </w:r>
      <w:r w:rsidRPr="006D1046">
        <w:rPr>
          <w:sz w:val="18"/>
          <w:szCs w:val="18"/>
        </w:rPr>
        <w:t>12 months of age are recommended to receive 4 doses of 13vPCV and 2 doses of 23vPPV</w:t>
      </w:r>
      <w:r>
        <w:rPr>
          <w:sz w:val="18"/>
          <w:szCs w:val="18"/>
        </w:rPr>
        <w:t>.</w:t>
      </w:r>
    </w:p>
    <w:p w14:paraId="53B2DBC2" w14:textId="4E784D10" w:rsidR="008F277D" w:rsidRPr="00026818" w:rsidRDefault="008F277D" w:rsidP="008F277D">
      <w:pPr>
        <w:pStyle w:val="BulletedList"/>
        <w:numPr>
          <w:ilvl w:val="1"/>
          <w:numId w:val="4"/>
        </w:numPr>
        <w:rPr>
          <w:i/>
          <w:sz w:val="18"/>
          <w:szCs w:val="18"/>
          <w:lang w:val="en-AU"/>
        </w:rPr>
      </w:pPr>
      <w:r w:rsidRPr="00026818">
        <w:rPr>
          <w:i/>
          <w:sz w:val="18"/>
          <w:szCs w:val="18"/>
          <w:lang w:val="en-AU"/>
        </w:rPr>
        <w:t xml:space="preserve"> 13vPCV in a 4-dose schedule at 2, 4, 6 and 12 months of age</w:t>
      </w:r>
      <w:r w:rsidR="00F235D3">
        <w:rPr>
          <w:i/>
          <w:sz w:val="18"/>
          <w:szCs w:val="18"/>
          <w:lang w:val="en-AU"/>
        </w:rPr>
        <w:t xml:space="preserve"> (the first dose may be given as early as 6 weeks of age)</w:t>
      </w:r>
      <w:r w:rsidRPr="00026818">
        <w:rPr>
          <w:i/>
          <w:sz w:val="18"/>
          <w:szCs w:val="18"/>
          <w:lang w:val="en-AU"/>
        </w:rPr>
        <w:t xml:space="preserve">. </w:t>
      </w:r>
    </w:p>
    <w:p w14:paraId="0FA57BFE" w14:textId="77777777" w:rsidR="008F277D" w:rsidRDefault="008F277D" w:rsidP="008F277D">
      <w:pPr>
        <w:pStyle w:val="BulletedList"/>
        <w:numPr>
          <w:ilvl w:val="1"/>
          <w:numId w:val="4"/>
        </w:numPr>
        <w:rPr>
          <w:i/>
          <w:sz w:val="18"/>
          <w:szCs w:val="18"/>
          <w:lang w:val="en-AU"/>
        </w:rPr>
      </w:pPr>
      <w:r w:rsidRPr="00026818">
        <w:rPr>
          <w:i/>
          <w:sz w:val="18"/>
          <w:szCs w:val="18"/>
          <w:lang w:val="en-AU"/>
        </w:rPr>
        <w:t xml:space="preserve"> 2 doses of 23vPPV; </w:t>
      </w:r>
      <w:r w:rsidRPr="00026818">
        <w:rPr>
          <w:i/>
          <w:sz w:val="18"/>
          <w:szCs w:val="18"/>
        </w:rPr>
        <w:t xml:space="preserve">1 dose at 4years of age and </w:t>
      </w:r>
      <w:r w:rsidRPr="00026818">
        <w:rPr>
          <w:i/>
          <w:sz w:val="18"/>
          <w:szCs w:val="18"/>
          <w:lang w:val="en-AU"/>
        </w:rPr>
        <w:t xml:space="preserve">another dose </w:t>
      </w:r>
      <w:r>
        <w:rPr>
          <w:i/>
          <w:sz w:val="18"/>
          <w:szCs w:val="18"/>
          <w:lang w:val="en-AU"/>
        </w:rPr>
        <w:t>at least 5</w:t>
      </w:r>
      <w:r w:rsidRPr="00026818">
        <w:rPr>
          <w:i/>
          <w:sz w:val="18"/>
          <w:szCs w:val="18"/>
          <w:lang w:val="en-AU"/>
        </w:rPr>
        <w:t xml:space="preserve"> years later</w:t>
      </w:r>
      <w:r>
        <w:rPr>
          <w:i/>
          <w:sz w:val="18"/>
          <w:szCs w:val="18"/>
          <w:lang w:val="en-AU"/>
        </w:rPr>
        <w:t>.</w:t>
      </w:r>
    </w:p>
    <w:p w14:paraId="4A8F9EFA" w14:textId="77ED626C" w:rsidR="00124B1A" w:rsidRDefault="006B088B" w:rsidP="00BF2F11">
      <w:pPr>
        <w:pStyle w:val="BulletedList"/>
        <w:numPr>
          <w:ilvl w:val="1"/>
          <w:numId w:val="4"/>
        </w:numPr>
        <w:rPr>
          <w:i/>
          <w:sz w:val="18"/>
          <w:szCs w:val="18"/>
          <w:lang w:val="en-AU"/>
        </w:rPr>
      </w:pPr>
      <w:r>
        <w:rPr>
          <w:i/>
          <w:sz w:val="18"/>
          <w:szCs w:val="18"/>
          <w:lang w:val="en-AU"/>
        </w:rPr>
        <w:t xml:space="preserve">All </w:t>
      </w:r>
      <w:r w:rsidR="00124B1A" w:rsidRPr="00124B1A">
        <w:rPr>
          <w:i/>
          <w:sz w:val="18"/>
          <w:szCs w:val="18"/>
          <w:lang w:val="en-AU"/>
        </w:rPr>
        <w:t>Aboriginal and Torres Strait Islander children who live in the NT, Q</w:t>
      </w:r>
      <w:r w:rsidR="00203313">
        <w:rPr>
          <w:i/>
          <w:sz w:val="18"/>
          <w:szCs w:val="18"/>
          <w:lang w:val="en-AU"/>
        </w:rPr>
        <w:t>ld</w:t>
      </w:r>
      <w:r w:rsidR="00124B1A" w:rsidRPr="00124B1A">
        <w:rPr>
          <w:i/>
          <w:sz w:val="18"/>
          <w:szCs w:val="18"/>
          <w:lang w:val="en-AU"/>
        </w:rPr>
        <w:t xml:space="preserve">, SA and WA </w:t>
      </w:r>
      <w:r>
        <w:rPr>
          <w:i/>
          <w:sz w:val="18"/>
          <w:szCs w:val="18"/>
          <w:lang w:val="en-AU"/>
        </w:rPr>
        <w:t xml:space="preserve">will </w:t>
      </w:r>
      <w:r w:rsidR="00124B1A" w:rsidRPr="00124B1A">
        <w:rPr>
          <w:i/>
          <w:sz w:val="18"/>
          <w:szCs w:val="18"/>
          <w:lang w:val="en-AU"/>
        </w:rPr>
        <w:t>receive these extra doses as part of their routine schedule</w:t>
      </w:r>
      <w:r w:rsidRPr="006B088B">
        <w:rPr>
          <w:i/>
          <w:sz w:val="18"/>
          <w:szCs w:val="18"/>
          <w:lang w:val="en-AU"/>
        </w:rPr>
        <w:t xml:space="preserve"> </w:t>
      </w:r>
      <w:r w:rsidRPr="00124B1A">
        <w:rPr>
          <w:i/>
          <w:sz w:val="18"/>
          <w:szCs w:val="18"/>
          <w:lang w:val="en-AU"/>
        </w:rPr>
        <w:t>now</w:t>
      </w:r>
      <w:r>
        <w:rPr>
          <w:i/>
          <w:sz w:val="18"/>
          <w:szCs w:val="18"/>
          <w:lang w:val="en-AU"/>
        </w:rPr>
        <w:t xml:space="preserve"> (refer to </w:t>
      </w:r>
      <w:hyperlink r:id="rId13" w:history="1">
        <w:r w:rsidR="00BF2F11" w:rsidRPr="003B39BF">
          <w:rPr>
            <w:rStyle w:val="Hyperlink"/>
            <w:i/>
            <w:sz w:val="18"/>
            <w:szCs w:val="18"/>
            <w:lang w:val="en-AU"/>
          </w:rPr>
          <w:t>ATAGI clinical advice on changes to vaccine recommendations and funding for Aboriginal and Torres Strait Islander people from 1 July 2020</w:t>
        </w:r>
      </w:hyperlink>
      <w:r>
        <w:rPr>
          <w:i/>
          <w:sz w:val="18"/>
          <w:szCs w:val="18"/>
          <w:lang w:val="en-AU"/>
        </w:rPr>
        <w:t>).</w:t>
      </w:r>
    </w:p>
    <w:p w14:paraId="6DF1CD04" w14:textId="169426E1" w:rsidR="0006545B" w:rsidRPr="00523491" w:rsidRDefault="0006545B" w:rsidP="0006545B">
      <w:pPr>
        <w:pStyle w:val="BulletedList"/>
        <w:rPr>
          <w:sz w:val="18"/>
          <w:szCs w:val="18"/>
          <w:lang w:val="en-AU"/>
        </w:rPr>
      </w:pPr>
      <w:r w:rsidRPr="00523491">
        <w:rPr>
          <w:sz w:val="18"/>
          <w:szCs w:val="18"/>
        </w:rPr>
        <w:t xml:space="preserve">Individuals aged &gt;12 months with risk conditions (other than </w:t>
      </w:r>
      <w:r w:rsidRPr="004415B6">
        <w:rPr>
          <w:sz w:val="18"/>
          <w:szCs w:val="18"/>
        </w:rPr>
        <w:t>haematopoietic stem cell transplant</w:t>
      </w:r>
      <w:r>
        <w:rPr>
          <w:sz w:val="18"/>
          <w:szCs w:val="18"/>
        </w:rPr>
        <w:t xml:space="preserve"> recipients</w:t>
      </w:r>
      <w:r w:rsidRPr="00523491">
        <w:rPr>
          <w:sz w:val="18"/>
          <w:szCs w:val="18"/>
        </w:rPr>
        <w:t xml:space="preserve">) are recommended to receive 1 dose of 13vPCV and 2 doses of 23vPPV. </w:t>
      </w:r>
    </w:p>
    <w:p w14:paraId="70530398" w14:textId="77777777" w:rsidR="0006545B" w:rsidRPr="00407A4E" w:rsidRDefault="0006545B" w:rsidP="0006545B">
      <w:pPr>
        <w:pStyle w:val="BulletedList"/>
        <w:numPr>
          <w:ilvl w:val="1"/>
          <w:numId w:val="4"/>
        </w:numPr>
        <w:rPr>
          <w:i/>
          <w:sz w:val="18"/>
          <w:szCs w:val="18"/>
        </w:rPr>
      </w:pPr>
      <w:r w:rsidRPr="00026818">
        <w:rPr>
          <w:i/>
          <w:sz w:val="18"/>
          <w:szCs w:val="18"/>
          <w:lang w:val="en-AU"/>
        </w:rPr>
        <w:t xml:space="preserve">Give </w:t>
      </w:r>
      <w:r w:rsidRPr="00407A4E">
        <w:rPr>
          <w:i/>
          <w:sz w:val="18"/>
          <w:szCs w:val="18"/>
        </w:rPr>
        <w:t>1 dose of 13vPCV at diagnosis (at least 2 months after any previous doses of 13vPCV)</w:t>
      </w:r>
      <w:r>
        <w:rPr>
          <w:i/>
          <w:sz w:val="18"/>
          <w:szCs w:val="18"/>
        </w:rPr>
        <w:t>.</w:t>
      </w:r>
    </w:p>
    <w:p w14:paraId="3BBDC2B3" w14:textId="77777777" w:rsidR="0006545B" w:rsidRPr="00407A4E" w:rsidRDefault="0006545B" w:rsidP="0006545B">
      <w:pPr>
        <w:pStyle w:val="BulletedList"/>
        <w:numPr>
          <w:ilvl w:val="1"/>
          <w:numId w:val="4"/>
        </w:numPr>
        <w:rPr>
          <w:i/>
          <w:sz w:val="18"/>
          <w:szCs w:val="18"/>
        </w:rPr>
      </w:pPr>
      <w:r w:rsidRPr="00407A4E">
        <w:rPr>
          <w:i/>
          <w:sz w:val="18"/>
          <w:szCs w:val="18"/>
        </w:rPr>
        <w:t xml:space="preserve">1 dose of 23vPPV 12 months after 13vPCV (2–12 months later is acceptable) </w:t>
      </w:r>
      <w:r>
        <w:rPr>
          <w:i/>
          <w:sz w:val="18"/>
          <w:szCs w:val="18"/>
        </w:rPr>
        <w:t>or at</w:t>
      </w:r>
      <w:r w:rsidRPr="00407A4E">
        <w:rPr>
          <w:i/>
          <w:sz w:val="18"/>
          <w:szCs w:val="18"/>
        </w:rPr>
        <w:t xml:space="preserve"> 4 years of age</w:t>
      </w:r>
      <w:r>
        <w:rPr>
          <w:i/>
          <w:sz w:val="18"/>
          <w:szCs w:val="18"/>
        </w:rPr>
        <w:t xml:space="preserve"> whichever is later.</w:t>
      </w:r>
    </w:p>
    <w:p w14:paraId="79E316D4" w14:textId="77777777" w:rsidR="0006545B" w:rsidRPr="00191685" w:rsidRDefault="0006545B" w:rsidP="0006545B">
      <w:pPr>
        <w:pStyle w:val="ListParagraph"/>
        <w:numPr>
          <w:ilvl w:val="1"/>
          <w:numId w:val="4"/>
        </w:numPr>
        <w:rPr>
          <w:i/>
          <w:sz w:val="18"/>
          <w:szCs w:val="18"/>
        </w:rPr>
      </w:pPr>
      <w:r>
        <w:rPr>
          <w:i/>
          <w:sz w:val="18"/>
          <w:szCs w:val="18"/>
        </w:rPr>
        <w:t>A</w:t>
      </w:r>
      <w:r w:rsidRPr="00407A4E">
        <w:rPr>
          <w:i/>
          <w:sz w:val="18"/>
          <w:szCs w:val="18"/>
        </w:rPr>
        <w:t xml:space="preserve"> </w:t>
      </w:r>
      <w:r>
        <w:rPr>
          <w:i/>
          <w:sz w:val="18"/>
          <w:szCs w:val="18"/>
        </w:rPr>
        <w:t>second</w:t>
      </w:r>
      <w:r w:rsidRPr="00407A4E">
        <w:rPr>
          <w:i/>
          <w:sz w:val="18"/>
          <w:szCs w:val="18"/>
        </w:rPr>
        <w:t xml:space="preserve"> dose of 23vPPV </w:t>
      </w:r>
      <w:r>
        <w:rPr>
          <w:i/>
          <w:sz w:val="18"/>
          <w:szCs w:val="18"/>
        </w:rPr>
        <w:t xml:space="preserve">at least </w:t>
      </w:r>
      <w:r w:rsidRPr="00407A4E">
        <w:rPr>
          <w:i/>
          <w:sz w:val="18"/>
          <w:szCs w:val="18"/>
        </w:rPr>
        <w:t>5 years late</w:t>
      </w:r>
      <w:r>
        <w:rPr>
          <w:i/>
          <w:sz w:val="18"/>
          <w:szCs w:val="18"/>
        </w:rPr>
        <w:t>r.</w:t>
      </w:r>
    </w:p>
    <w:p w14:paraId="41B5E57D" w14:textId="4A7D593A" w:rsidR="009A67D6" w:rsidRPr="00BF3AE2" w:rsidRDefault="00C0753F" w:rsidP="009A67D6">
      <w:pPr>
        <w:pStyle w:val="BulletedList"/>
        <w:rPr>
          <w:bCs/>
          <w:i/>
          <w:sz w:val="18"/>
          <w:szCs w:val="18"/>
        </w:rPr>
      </w:pPr>
      <w:r w:rsidRPr="00C0753F">
        <w:rPr>
          <w:sz w:val="18"/>
          <w:szCs w:val="18"/>
        </w:rPr>
        <w:t xml:space="preserve">For children </w:t>
      </w:r>
      <w:r w:rsidRPr="00240850">
        <w:rPr>
          <w:sz w:val="18"/>
          <w:szCs w:val="18"/>
        </w:rPr>
        <w:t xml:space="preserve">&lt;5 years of age with </w:t>
      </w:r>
      <w:r>
        <w:rPr>
          <w:sz w:val="18"/>
          <w:szCs w:val="18"/>
        </w:rPr>
        <w:t>risk conditions who require</w:t>
      </w:r>
      <w:r w:rsidRPr="00C0753F">
        <w:rPr>
          <w:sz w:val="18"/>
          <w:szCs w:val="18"/>
        </w:rPr>
        <w:t xml:space="preserve"> catch-up doses</w:t>
      </w:r>
      <w:r w:rsidR="00125EB7">
        <w:rPr>
          <w:sz w:val="18"/>
          <w:szCs w:val="18"/>
        </w:rPr>
        <w:t xml:space="preserve"> of 13vPCV</w:t>
      </w:r>
      <w:r w:rsidRPr="00C0753F">
        <w:rPr>
          <w:sz w:val="18"/>
          <w:szCs w:val="18"/>
        </w:rPr>
        <w:t>, the number and spacing of doses  depends on the age</w:t>
      </w:r>
      <w:r w:rsidR="000A402E">
        <w:rPr>
          <w:sz w:val="18"/>
          <w:szCs w:val="18"/>
        </w:rPr>
        <w:t xml:space="preserve"> of presentation and  the number of doses already received</w:t>
      </w:r>
      <w:r w:rsidRPr="008A677F">
        <w:rPr>
          <w:i/>
          <w:sz w:val="18"/>
          <w:szCs w:val="18"/>
        </w:rPr>
        <w:t xml:space="preserve"> </w:t>
      </w:r>
      <w:r>
        <w:rPr>
          <w:sz w:val="18"/>
          <w:szCs w:val="18"/>
        </w:rPr>
        <w:t>(</w:t>
      </w:r>
      <w:r w:rsidR="006F1EDC">
        <w:rPr>
          <w:sz w:val="18"/>
          <w:szCs w:val="18"/>
        </w:rPr>
        <w:t xml:space="preserve">refer </w:t>
      </w:r>
      <w:r w:rsidR="00C1084C">
        <w:rPr>
          <w:sz w:val="18"/>
          <w:szCs w:val="18"/>
        </w:rPr>
        <w:t>to</w:t>
      </w:r>
      <w:r w:rsidR="006F1EDC">
        <w:rPr>
          <w:sz w:val="18"/>
          <w:szCs w:val="18"/>
        </w:rPr>
        <w:t xml:space="preserve"> </w:t>
      </w:r>
      <w:r w:rsidR="009A67D6">
        <w:rPr>
          <w:sz w:val="18"/>
          <w:szCs w:val="18"/>
        </w:rPr>
        <w:t xml:space="preserve">Table </w:t>
      </w:r>
      <w:r w:rsidR="00DC54B3">
        <w:rPr>
          <w:sz w:val="18"/>
          <w:szCs w:val="18"/>
        </w:rPr>
        <w:t>2</w:t>
      </w:r>
      <w:r>
        <w:rPr>
          <w:sz w:val="18"/>
          <w:szCs w:val="18"/>
        </w:rPr>
        <w:t>)</w:t>
      </w:r>
      <w:r w:rsidR="009A67D6">
        <w:rPr>
          <w:sz w:val="18"/>
          <w:szCs w:val="18"/>
        </w:rPr>
        <w:t>.</w:t>
      </w:r>
    </w:p>
    <w:p w14:paraId="789E5E5B" w14:textId="373D4747" w:rsidR="00143A4C" w:rsidRPr="00143A4C" w:rsidRDefault="00143A4C" w:rsidP="00143A4C">
      <w:pPr>
        <w:pStyle w:val="BulletedList"/>
        <w:rPr>
          <w:sz w:val="18"/>
          <w:szCs w:val="18"/>
        </w:rPr>
      </w:pPr>
      <w:r w:rsidRPr="00143A4C">
        <w:rPr>
          <w:sz w:val="18"/>
          <w:szCs w:val="18"/>
        </w:rPr>
        <w:lastRenderedPageBreak/>
        <w:t xml:space="preserve">Individuals </w:t>
      </w:r>
      <w:r w:rsidR="00BE1142">
        <w:rPr>
          <w:sz w:val="18"/>
          <w:szCs w:val="18"/>
        </w:rPr>
        <w:t xml:space="preserve">aged ≥5 years </w:t>
      </w:r>
      <w:r w:rsidR="000B69AF" w:rsidRPr="00523491">
        <w:rPr>
          <w:sz w:val="18"/>
          <w:szCs w:val="18"/>
        </w:rPr>
        <w:t xml:space="preserve">with risk conditions </w:t>
      </w:r>
      <w:r w:rsidRPr="00143A4C">
        <w:rPr>
          <w:sz w:val="18"/>
          <w:szCs w:val="18"/>
        </w:rPr>
        <w:t>who have previously received 23vPPV are recommended to receive 1 dose of 13vPCV 12 months after their last 23vPPV.</w:t>
      </w:r>
    </w:p>
    <w:p w14:paraId="6E96BE8B" w14:textId="1FCBF85E" w:rsidR="00143A4C" w:rsidRDefault="00143A4C" w:rsidP="000234F8">
      <w:pPr>
        <w:pStyle w:val="BulletedList"/>
        <w:rPr>
          <w:sz w:val="18"/>
          <w:szCs w:val="18"/>
          <w:lang w:val="en-AU"/>
        </w:rPr>
      </w:pPr>
      <w:r>
        <w:rPr>
          <w:sz w:val="18"/>
          <w:szCs w:val="18"/>
          <w:lang w:val="en-AU"/>
        </w:rPr>
        <w:t xml:space="preserve">The number </w:t>
      </w:r>
      <w:r w:rsidRPr="009A4393">
        <w:rPr>
          <w:sz w:val="18"/>
          <w:szCs w:val="18"/>
          <w:lang w:val="en-AU"/>
        </w:rPr>
        <w:t xml:space="preserve">of </w:t>
      </w:r>
      <w:r w:rsidRPr="00CE1E37">
        <w:rPr>
          <w:b/>
          <w:sz w:val="18"/>
          <w:szCs w:val="18"/>
          <w:lang w:val="en-AU"/>
        </w:rPr>
        <w:t>lifetime doses</w:t>
      </w:r>
      <w:r w:rsidR="00AA699A">
        <w:rPr>
          <w:b/>
          <w:sz w:val="18"/>
          <w:szCs w:val="18"/>
          <w:lang w:val="en-AU"/>
        </w:rPr>
        <w:t xml:space="preserve"> </w:t>
      </w:r>
      <w:r w:rsidRPr="006A259C">
        <w:rPr>
          <w:sz w:val="18"/>
          <w:szCs w:val="18"/>
          <w:lang w:val="en-AU"/>
        </w:rPr>
        <w:t xml:space="preserve">of 23vPPV </w:t>
      </w:r>
      <w:r w:rsidR="000234F8">
        <w:rPr>
          <w:sz w:val="18"/>
          <w:szCs w:val="18"/>
          <w:lang w:val="en-AU"/>
        </w:rPr>
        <w:t xml:space="preserve">is </w:t>
      </w:r>
      <w:r>
        <w:rPr>
          <w:sz w:val="18"/>
          <w:szCs w:val="18"/>
          <w:lang w:val="en-AU"/>
        </w:rPr>
        <w:t xml:space="preserve">now </w:t>
      </w:r>
      <w:r w:rsidRPr="00CE1E37">
        <w:rPr>
          <w:b/>
          <w:sz w:val="18"/>
          <w:szCs w:val="18"/>
          <w:lang w:val="en-AU"/>
        </w:rPr>
        <w:t>limited to 2 doses</w:t>
      </w:r>
      <w:r w:rsidR="000234F8">
        <w:rPr>
          <w:sz w:val="18"/>
          <w:szCs w:val="18"/>
          <w:lang w:val="en-AU"/>
        </w:rPr>
        <w:t xml:space="preserve"> for all people</w:t>
      </w:r>
      <w:r>
        <w:rPr>
          <w:sz w:val="18"/>
          <w:szCs w:val="18"/>
          <w:lang w:val="en-AU"/>
        </w:rPr>
        <w:t>.</w:t>
      </w:r>
      <w:r w:rsidR="000234F8" w:rsidRPr="000234F8">
        <w:t xml:space="preserve"> </w:t>
      </w:r>
      <w:r w:rsidR="000234F8" w:rsidRPr="000234F8">
        <w:rPr>
          <w:sz w:val="18"/>
          <w:szCs w:val="18"/>
          <w:lang w:val="en-AU"/>
        </w:rPr>
        <w:t>The doses of 23vPPV received in the past are also counted when deciding how many more are required.</w:t>
      </w:r>
      <w:r w:rsidR="009A4393">
        <w:rPr>
          <w:sz w:val="18"/>
          <w:szCs w:val="18"/>
          <w:lang w:val="en-AU"/>
        </w:rPr>
        <w:t xml:space="preserve"> Review of the Australian </w:t>
      </w:r>
      <w:r w:rsidR="007F1EC6">
        <w:rPr>
          <w:sz w:val="18"/>
          <w:szCs w:val="18"/>
          <w:lang w:val="en-AU"/>
        </w:rPr>
        <w:t>Immunisation</w:t>
      </w:r>
      <w:r w:rsidR="009A4393">
        <w:rPr>
          <w:sz w:val="18"/>
          <w:szCs w:val="18"/>
          <w:lang w:val="en-AU"/>
        </w:rPr>
        <w:t xml:space="preserve"> Register (AIR) is recommended.</w:t>
      </w:r>
    </w:p>
    <w:p w14:paraId="330C8916" w14:textId="38AB848D" w:rsidR="009D020E" w:rsidRPr="009D020E" w:rsidRDefault="00E2699D" w:rsidP="004731F5">
      <w:pPr>
        <w:pStyle w:val="BulletedList"/>
        <w:ind w:left="714" w:hanging="357"/>
        <w:rPr>
          <w:sz w:val="18"/>
          <w:szCs w:val="18"/>
        </w:rPr>
      </w:pPr>
      <w:r w:rsidRPr="009D020E">
        <w:rPr>
          <w:sz w:val="18"/>
          <w:szCs w:val="18"/>
          <w:lang w:val="en-AU"/>
        </w:rPr>
        <w:t xml:space="preserve">People who </w:t>
      </w:r>
      <w:r w:rsidR="009D020E" w:rsidRPr="009D020E">
        <w:rPr>
          <w:sz w:val="18"/>
          <w:szCs w:val="18"/>
        </w:rPr>
        <w:t>have received a haematopoietic stem cell transplant are recommended to receive 3 doses of 13vPCV after transplantation, followed by 23vPPV at the intervals described above (</w:t>
      </w:r>
      <w:r w:rsidR="00E47836">
        <w:rPr>
          <w:i/>
          <w:sz w:val="18"/>
          <w:szCs w:val="18"/>
        </w:rPr>
        <w:t>r</w:t>
      </w:r>
      <w:r w:rsidR="009D020E" w:rsidRPr="009D020E">
        <w:rPr>
          <w:i/>
          <w:sz w:val="18"/>
          <w:szCs w:val="18"/>
        </w:rPr>
        <w:t xml:space="preserve">efer to the Pneumococcal disease chapter in the </w:t>
      </w:r>
      <w:hyperlink r:id="rId14" w:history="1">
        <w:r w:rsidR="009D020E" w:rsidRPr="009A516A">
          <w:rPr>
            <w:rStyle w:val="Hyperlink"/>
            <w:i/>
            <w:sz w:val="18"/>
            <w:szCs w:val="18"/>
          </w:rPr>
          <w:t>Australian Immunisation Handbook</w:t>
        </w:r>
      </w:hyperlink>
      <w:r w:rsidR="009D020E" w:rsidRPr="009D020E">
        <w:rPr>
          <w:sz w:val="18"/>
          <w:szCs w:val="18"/>
        </w:rPr>
        <w:t xml:space="preserve">). </w:t>
      </w:r>
    </w:p>
    <w:p w14:paraId="7AF694C8" w14:textId="4442F806" w:rsidR="009A4393" w:rsidRPr="009D020E" w:rsidRDefault="00E2699D" w:rsidP="009D020E">
      <w:pPr>
        <w:pStyle w:val="BulletedList"/>
        <w:numPr>
          <w:ilvl w:val="0"/>
          <w:numId w:val="0"/>
        </w:numPr>
        <w:ind w:left="720" w:hanging="360"/>
        <w:rPr>
          <w:sz w:val="18"/>
          <w:szCs w:val="18"/>
        </w:rPr>
      </w:pPr>
      <w:r w:rsidRPr="009D020E">
        <w:rPr>
          <w:sz w:val="18"/>
          <w:szCs w:val="18"/>
        </w:rPr>
        <w:t xml:space="preserve"> </w:t>
      </w:r>
    </w:p>
    <w:p w14:paraId="60B6AF85" w14:textId="77777777" w:rsidR="00E2699D" w:rsidRPr="00EB25EE" w:rsidRDefault="000E647C" w:rsidP="00E2699D">
      <w:pPr>
        <w:pStyle w:val="Heading2"/>
        <w:rPr>
          <w:bCs/>
          <w:sz w:val="20"/>
          <w:szCs w:val="18"/>
          <w:lang w:eastAsia="en-US"/>
        </w:rPr>
      </w:pPr>
      <w:r>
        <w:rPr>
          <w:sz w:val="20"/>
          <w:szCs w:val="18"/>
          <w:lang w:eastAsia="en-US"/>
        </w:rPr>
        <w:t>Table</w:t>
      </w:r>
      <w:r w:rsidR="00DC54B3">
        <w:rPr>
          <w:sz w:val="20"/>
          <w:szCs w:val="18"/>
          <w:lang w:eastAsia="en-US"/>
        </w:rPr>
        <w:t>2</w:t>
      </w:r>
      <w:r w:rsidR="00E2699D" w:rsidRPr="00AC23C0">
        <w:rPr>
          <w:sz w:val="20"/>
          <w:szCs w:val="18"/>
          <w:lang w:eastAsia="en-US"/>
        </w:rPr>
        <w:t xml:space="preserve">. </w:t>
      </w:r>
      <w:r w:rsidR="00E2699D" w:rsidRPr="00EB25EE">
        <w:rPr>
          <w:sz w:val="20"/>
          <w:szCs w:val="18"/>
          <w:lang w:eastAsia="en-US"/>
        </w:rPr>
        <w:t xml:space="preserve">Catch-up schedule for 13vPCV for </w:t>
      </w:r>
      <w:r w:rsidR="00E2699D" w:rsidRPr="00EB25EE">
        <w:rPr>
          <w:bCs/>
          <w:sz w:val="20"/>
          <w:szCs w:val="18"/>
          <w:lang w:eastAsia="en-US"/>
        </w:rPr>
        <w:t xml:space="preserve">all children with any medical condition(s) associated with an increased risk of invasive pneumococcal disease, aged &lt;5 years </w:t>
      </w:r>
    </w:p>
    <w:tbl>
      <w:tblPr>
        <w:tblW w:w="5199" w:type="pct"/>
        <w:tblBorders>
          <w:top w:val="single" w:sz="2" w:space="0" w:color="A6A6A6" w:themeColor="background1" w:themeShade="A6"/>
          <w:bottom w:val="single" w:sz="2" w:space="0" w:color="A6A6A6" w:themeColor="background1" w:themeShade="A6"/>
          <w:insideH w:val="single" w:sz="2" w:space="0" w:color="A6A6A6" w:themeColor="background1" w:themeShade="A6"/>
          <w:insideV w:val="single" w:sz="2" w:space="0" w:color="auto"/>
        </w:tblBorders>
        <w:tblLook w:val="04A0" w:firstRow="1" w:lastRow="0" w:firstColumn="1" w:lastColumn="0" w:noHBand="0" w:noVBand="1"/>
        <w:tblCaption w:val="Table 2a - Catch-up schedule for 13vPCV for Aboriginal and Torres Strait Islander children living in NT, QLD, SA or WA ONLY, and all children with any medical condition(s)* associated with an increased risk of invasive pneumococcal disease (IPD), aged &lt;5 years "/>
        <w:tblDescription w:val="This table shows the proposed catch-up schedules for children with increased risk of invasive pneumococcal disease, aged less than 5 years, who have not received any doses or only received incomplete courses of pneumococcal conjugate vaccines recommended for their age. The population groups that the catch-up schedules in this table applies to are Aboriginal and Torres Strait Islander children living in the Northern Territory, Queensland, South Australia and Western Australia and children with any underlying medical conditions associated with an increased risk of IPD. The table gives the proposed catch up schedule recommendations according to the number and the timing of any PCV doses already received and the age the child would present to immunisation service provider. The revised recommendations for catch up vaccinations for 13vPCV in this table are based on the same principles as for the routine vaccinations using three primary doses and a booster dose.&#10;"/>
      </w:tblPr>
      <w:tblGrid>
        <w:gridCol w:w="1369"/>
        <w:gridCol w:w="1596"/>
        <w:gridCol w:w="1451"/>
        <w:gridCol w:w="1451"/>
        <w:gridCol w:w="1447"/>
        <w:gridCol w:w="1144"/>
        <w:gridCol w:w="2152"/>
      </w:tblGrid>
      <w:tr w:rsidR="009A67D6" w14:paraId="174526B3" w14:textId="77777777" w:rsidTr="00C90EA7">
        <w:trPr>
          <w:trHeight w:val="566"/>
          <w:tblHeader/>
        </w:trPr>
        <w:tc>
          <w:tcPr>
            <w:tcW w:w="645" w:type="pct"/>
            <w:tcBorders>
              <w:right w:val="single" w:sz="2" w:space="0" w:color="A6A6A6" w:themeColor="background1" w:themeShade="A6"/>
            </w:tcBorders>
            <w:shd w:val="clear" w:color="auto" w:fill="57259F"/>
            <w:vAlign w:val="center"/>
            <w:hideMark/>
          </w:tcPr>
          <w:p w14:paraId="5B786CB0" w14:textId="77777777" w:rsidR="009A67D6" w:rsidRPr="00E155AF" w:rsidRDefault="009A67D6" w:rsidP="00C90EA7">
            <w:pPr>
              <w:pStyle w:val="TableHeading"/>
              <w:rPr>
                <w:rFonts w:asciiTheme="minorHAnsi" w:hAnsiTheme="minorHAnsi" w:cstheme="minorHAnsi"/>
                <w:color w:val="FFFFFF" w:themeColor="background1"/>
                <w:sz w:val="18"/>
                <w:szCs w:val="18"/>
              </w:rPr>
            </w:pPr>
            <w:r w:rsidRPr="00E155AF">
              <w:rPr>
                <w:rFonts w:asciiTheme="minorHAnsi" w:hAnsiTheme="minorHAnsi" w:cstheme="minorHAnsi"/>
                <w:color w:val="FFFFFF" w:themeColor="background1"/>
                <w:sz w:val="18"/>
                <w:szCs w:val="18"/>
              </w:rPr>
              <w:t>Number of 13vPCV doses received previously</w:t>
            </w:r>
          </w:p>
        </w:tc>
        <w:tc>
          <w:tcPr>
            <w:tcW w:w="752" w:type="pct"/>
            <w:tcBorders>
              <w:left w:val="single" w:sz="2" w:space="0" w:color="A6A6A6" w:themeColor="background1" w:themeShade="A6"/>
              <w:right w:val="single" w:sz="2" w:space="0" w:color="A6A6A6" w:themeColor="background1" w:themeShade="A6"/>
            </w:tcBorders>
            <w:shd w:val="clear" w:color="auto" w:fill="57259F"/>
            <w:vAlign w:val="center"/>
            <w:hideMark/>
          </w:tcPr>
          <w:p w14:paraId="35EE80F1" w14:textId="77777777" w:rsidR="009A67D6" w:rsidRPr="00E155AF" w:rsidRDefault="009A67D6" w:rsidP="00AA699A">
            <w:pPr>
              <w:pStyle w:val="TableHeading"/>
              <w:rPr>
                <w:rFonts w:asciiTheme="minorHAnsi" w:hAnsiTheme="minorHAnsi" w:cstheme="minorHAnsi"/>
                <w:color w:val="FFFFFF" w:themeColor="background1"/>
                <w:sz w:val="18"/>
                <w:szCs w:val="18"/>
              </w:rPr>
            </w:pPr>
            <w:r w:rsidRPr="00E155AF">
              <w:rPr>
                <w:rFonts w:asciiTheme="minorHAnsi" w:hAnsiTheme="minorHAnsi" w:cstheme="minorHAnsi"/>
                <w:color w:val="FFFFFF" w:themeColor="background1"/>
                <w:sz w:val="18"/>
                <w:szCs w:val="18"/>
              </w:rPr>
              <w:t>Age at presentation</w:t>
            </w:r>
          </w:p>
        </w:tc>
        <w:tc>
          <w:tcPr>
            <w:tcW w:w="684" w:type="pct"/>
            <w:tcBorders>
              <w:left w:val="single" w:sz="2" w:space="0" w:color="A6A6A6" w:themeColor="background1" w:themeShade="A6"/>
              <w:right w:val="single" w:sz="2" w:space="0" w:color="A6A6A6" w:themeColor="background1" w:themeShade="A6"/>
            </w:tcBorders>
            <w:shd w:val="clear" w:color="auto" w:fill="57259F"/>
            <w:vAlign w:val="center"/>
            <w:hideMark/>
          </w:tcPr>
          <w:p w14:paraId="19D571B3" w14:textId="77777777" w:rsidR="009A67D6" w:rsidRPr="00E155AF" w:rsidRDefault="009A67D6" w:rsidP="00AA699A">
            <w:pPr>
              <w:pStyle w:val="TableHeading"/>
              <w:rPr>
                <w:rFonts w:asciiTheme="minorHAnsi" w:hAnsiTheme="minorHAnsi" w:cstheme="minorHAnsi"/>
                <w:color w:val="FFFFFF" w:themeColor="background1"/>
                <w:sz w:val="18"/>
                <w:szCs w:val="18"/>
              </w:rPr>
            </w:pPr>
            <w:r w:rsidRPr="00E155AF">
              <w:rPr>
                <w:rFonts w:asciiTheme="minorHAnsi" w:hAnsiTheme="minorHAnsi" w:cstheme="minorHAnsi"/>
                <w:color w:val="FFFFFF" w:themeColor="background1"/>
                <w:sz w:val="18"/>
                <w:szCs w:val="18"/>
              </w:rPr>
              <w:t>Age at 1st dose of PCV</w:t>
            </w:r>
          </w:p>
        </w:tc>
        <w:tc>
          <w:tcPr>
            <w:tcW w:w="684" w:type="pct"/>
            <w:tcBorders>
              <w:left w:val="single" w:sz="2" w:space="0" w:color="A6A6A6" w:themeColor="background1" w:themeShade="A6"/>
              <w:right w:val="single" w:sz="2" w:space="0" w:color="A6A6A6" w:themeColor="background1" w:themeShade="A6"/>
            </w:tcBorders>
            <w:shd w:val="clear" w:color="auto" w:fill="57259F"/>
            <w:vAlign w:val="center"/>
            <w:hideMark/>
          </w:tcPr>
          <w:p w14:paraId="2C7792D5" w14:textId="77777777" w:rsidR="009A67D6" w:rsidRPr="00E155AF" w:rsidRDefault="009A67D6" w:rsidP="00AA699A">
            <w:pPr>
              <w:pStyle w:val="TableHeading"/>
              <w:rPr>
                <w:rFonts w:asciiTheme="minorHAnsi" w:hAnsiTheme="minorHAnsi" w:cstheme="minorHAnsi"/>
                <w:color w:val="FFFFFF" w:themeColor="background1"/>
                <w:sz w:val="18"/>
                <w:szCs w:val="18"/>
              </w:rPr>
            </w:pPr>
            <w:r w:rsidRPr="00E155AF">
              <w:rPr>
                <w:rFonts w:asciiTheme="minorHAnsi" w:hAnsiTheme="minorHAnsi" w:cstheme="minorHAnsi"/>
                <w:color w:val="FFFFFF" w:themeColor="background1"/>
                <w:sz w:val="18"/>
                <w:szCs w:val="18"/>
              </w:rPr>
              <w:t>Age at 2nd dose of PCV</w:t>
            </w:r>
          </w:p>
        </w:tc>
        <w:tc>
          <w:tcPr>
            <w:tcW w:w="682" w:type="pct"/>
            <w:tcBorders>
              <w:left w:val="single" w:sz="2" w:space="0" w:color="A6A6A6" w:themeColor="background1" w:themeShade="A6"/>
              <w:right w:val="single" w:sz="2" w:space="0" w:color="A6A6A6" w:themeColor="background1" w:themeShade="A6"/>
            </w:tcBorders>
            <w:shd w:val="clear" w:color="auto" w:fill="57259F"/>
            <w:vAlign w:val="center"/>
            <w:hideMark/>
          </w:tcPr>
          <w:p w14:paraId="0248AEB4" w14:textId="77777777" w:rsidR="009A67D6" w:rsidRPr="00E155AF" w:rsidRDefault="009A67D6" w:rsidP="00AA699A">
            <w:pPr>
              <w:pStyle w:val="TableHeading"/>
              <w:rPr>
                <w:rFonts w:asciiTheme="minorHAnsi" w:hAnsiTheme="minorHAnsi" w:cstheme="minorHAnsi"/>
                <w:color w:val="FFFFFF" w:themeColor="background1"/>
                <w:sz w:val="18"/>
                <w:szCs w:val="18"/>
              </w:rPr>
            </w:pPr>
            <w:r w:rsidRPr="00E155AF">
              <w:rPr>
                <w:rFonts w:asciiTheme="minorHAnsi" w:hAnsiTheme="minorHAnsi" w:cstheme="minorHAnsi"/>
                <w:color w:val="FFFFFF" w:themeColor="background1"/>
                <w:sz w:val="18"/>
                <w:szCs w:val="18"/>
              </w:rPr>
              <w:t>Age at 3rd dose of PCV</w:t>
            </w:r>
          </w:p>
        </w:tc>
        <w:tc>
          <w:tcPr>
            <w:tcW w:w="539" w:type="pct"/>
            <w:tcBorders>
              <w:left w:val="single" w:sz="2" w:space="0" w:color="A6A6A6" w:themeColor="background1" w:themeShade="A6"/>
              <w:right w:val="single" w:sz="2" w:space="0" w:color="A6A6A6" w:themeColor="background1" w:themeShade="A6"/>
            </w:tcBorders>
            <w:shd w:val="clear" w:color="auto" w:fill="57259F"/>
            <w:vAlign w:val="center"/>
            <w:hideMark/>
          </w:tcPr>
          <w:p w14:paraId="3962E125" w14:textId="77777777" w:rsidR="009A67D6" w:rsidRPr="00E155AF" w:rsidRDefault="009A67D6" w:rsidP="00C90EA7">
            <w:pPr>
              <w:pStyle w:val="TableHeading"/>
              <w:rPr>
                <w:rFonts w:asciiTheme="minorHAnsi" w:hAnsiTheme="minorHAnsi" w:cstheme="minorHAnsi"/>
                <w:color w:val="FFFFFF" w:themeColor="background1"/>
                <w:sz w:val="18"/>
                <w:szCs w:val="18"/>
              </w:rPr>
            </w:pPr>
            <w:r w:rsidRPr="00E155AF">
              <w:rPr>
                <w:rFonts w:asciiTheme="minorHAnsi" w:hAnsiTheme="minorHAnsi" w:cstheme="minorHAnsi"/>
                <w:color w:val="FFFFFF" w:themeColor="background1"/>
                <w:sz w:val="18"/>
                <w:szCs w:val="18"/>
              </w:rPr>
              <w:t>Number of further primary PCV dose(s) needed</w:t>
            </w:r>
          </w:p>
        </w:tc>
        <w:tc>
          <w:tcPr>
            <w:tcW w:w="1014" w:type="pct"/>
            <w:tcBorders>
              <w:left w:val="single" w:sz="2" w:space="0" w:color="A6A6A6" w:themeColor="background1" w:themeShade="A6"/>
            </w:tcBorders>
            <w:shd w:val="clear" w:color="auto" w:fill="57259F"/>
            <w:vAlign w:val="center"/>
            <w:hideMark/>
          </w:tcPr>
          <w:p w14:paraId="2164134D" w14:textId="77777777" w:rsidR="009A67D6" w:rsidRPr="00E155AF" w:rsidRDefault="009A67D6" w:rsidP="00AA699A">
            <w:pPr>
              <w:pStyle w:val="TableHeading"/>
              <w:rPr>
                <w:rFonts w:asciiTheme="minorHAnsi" w:hAnsiTheme="minorHAnsi" w:cstheme="minorHAnsi"/>
                <w:color w:val="FFFFFF" w:themeColor="background1"/>
                <w:sz w:val="18"/>
                <w:szCs w:val="18"/>
              </w:rPr>
            </w:pPr>
            <w:r w:rsidRPr="00E155AF">
              <w:rPr>
                <w:rFonts w:asciiTheme="minorHAnsi" w:hAnsiTheme="minorHAnsi" w:cstheme="minorHAnsi"/>
                <w:color w:val="FFFFFF" w:themeColor="background1"/>
                <w:sz w:val="18"/>
                <w:szCs w:val="18"/>
              </w:rPr>
              <w:t>Number of PCV booster doses needed at age ≥12 months</w:t>
            </w:r>
          </w:p>
        </w:tc>
      </w:tr>
      <w:tr w:rsidR="009A67D6" w14:paraId="5B25A6AF" w14:textId="77777777" w:rsidTr="00A27DDB">
        <w:trPr>
          <w:trHeight w:val="240"/>
        </w:trPr>
        <w:tc>
          <w:tcPr>
            <w:tcW w:w="645" w:type="pct"/>
            <w:vMerge w:val="restart"/>
            <w:tcBorders>
              <w:right w:val="single" w:sz="2" w:space="0" w:color="A6A6A6" w:themeColor="background1" w:themeShade="A6"/>
            </w:tcBorders>
            <w:shd w:val="clear" w:color="auto" w:fill="CCC0D9"/>
            <w:hideMark/>
          </w:tcPr>
          <w:p w14:paraId="52EA5D92" w14:textId="33AFA10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None</w:t>
            </w: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04147AE4"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20BB2FEE" w14:textId="77777777" w:rsidR="009A67D6" w:rsidRPr="00E155AF" w:rsidRDefault="009A4393"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N</w:t>
            </w:r>
            <w:r w:rsidR="009A67D6" w:rsidRPr="00E155AF">
              <w:rPr>
                <w:rFonts w:asciiTheme="minorHAnsi" w:hAnsiTheme="minorHAnsi" w:cstheme="minorHAnsi"/>
                <w:sz w:val="18"/>
                <w:szCs w:val="18"/>
              </w:rPr>
              <w:t>a</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482A92A7"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na</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2448FEAA"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1F5E8C1D"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3</w:t>
            </w:r>
          </w:p>
        </w:tc>
        <w:tc>
          <w:tcPr>
            <w:tcW w:w="1014" w:type="pct"/>
            <w:tcBorders>
              <w:left w:val="single" w:sz="2" w:space="0" w:color="A6A6A6" w:themeColor="background1" w:themeShade="A6"/>
            </w:tcBorders>
            <w:shd w:val="clear" w:color="auto" w:fill="E8E8E8"/>
            <w:hideMark/>
          </w:tcPr>
          <w:p w14:paraId="0931EB89"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1</w:t>
            </w:r>
          </w:p>
        </w:tc>
      </w:tr>
      <w:tr w:rsidR="009A67D6" w14:paraId="153B9F3A" w14:textId="77777777" w:rsidTr="00A27DDB">
        <w:trPr>
          <w:trHeight w:val="258"/>
        </w:trPr>
        <w:tc>
          <w:tcPr>
            <w:tcW w:w="0" w:type="auto"/>
            <w:vMerge/>
            <w:tcBorders>
              <w:right w:val="single" w:sz="2" w:space="0" w:color="A6A6A6" w:themeColor="background1" w:themeShade="A6"/>
            </w:tcBorders>
            <w:shd w:val="clear" w:color="auto" w:fill="CCC0D9"/>
            <w:vAlign w:val="center"/>
            <w:hideMark/>
          </w:tcPr>
          <w:p w14:paraId="4E785F17" w14:textId="77777777" w:rsidR="009A67D6" w:rsidRPr="00C0753F" w:rsidRDefault="009A67D6" w:rsidP="00475BE0">
            <w:pPr>
              <w:spacing w:after="0"/>
              <w:jc w:val="center"/>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7AE4D52F"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37D3787E" w14:textId="77777777" w:rsidR="009A67D6" w:rsidRPr="00C0753F" w:rsidRDefault="009A4393"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w:t>
            </w:r>
            <w:r w:rsidR="009A67D6" w:rsidRPr="00C0753F">
              <w:rPr>
                <w:rFonts w:asciiTheme="minorHAnsi" w:hAnsiTheme="minorHAnsi" w:cstheme="minorHAnsi"/>
                <w:sz w:val="18"/>
                <w:szCs w:val="18"/>
              </w:rPr>
              <w:t>a</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46C23C89"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2499278B"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228EB5D2"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c>
          <w:tcPr>
            <w:tcW w:w="1014" w:type="pct"/>
            <w:tcBorders>
              <w:left w:val="single" w:sz="2" w:space="0" w:color="A6A6A6" w:themeColor="background1" w:themeShade="A6"/>
            </w:tcBorders>
            <w:shd w:val="clear" w:color="auto" w:fill="E8E8E8"/>
            <w:hideMark/>
          </w:tcPr>
          <w:p w14:paraId="57E20737"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r>
      <w:tr w:rsidR="009A67D6" w14:paraId="11844434" w14:textId="77777777" w:rsidTr="00A27DDB">
        <w:trPr>
          <w:trHeight w:val="258"/>
        </w:trPr>
        <w:tc>
          <w:tcPr>
            <w:tcW w:w="645" w:type="pct"/>
            <w:vMerge w:val="restart"/>
            <w:tcBorders>
              <w:right w:val="single" w:sz="2" w:space="0" w:color="A6A6A6" w:themeColor="background1" w:themeShade="A6"/>
            </w:tcBorders>
            <w:shd w:val="clear" w:color="auto" w:fill="CCC0D9"/>
            <w:hideMark/>
          </w:tcPr>
          <w:p w14:paraId="2B582A2C"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1</w:t>
            </w: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70569301"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44526FF8"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Any age</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299E586F"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na</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3AB35DE9"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0E268758"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2</w:t>
            </w:r>
          </w:p>
        </w:tc>
        <w:tc>
          <w:tcPr>
            <w:tcW w:w="1014" w:type="pct"/>
            <w:tcBorders>
              <w:left w:val="single" w:sz="2" w:space="0" w:color="A6A6A6" w:themeColor="background1" w:themeShade="A6"/>
            </w:tcBorders>
            <w:shd w:val="clear" w:color="auto" w:fill="E8E8E8"/>
            <w:hideMark/>
          </w:tcPr>
          <w:p w14:paraId="7722EA52"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1</w:t>
            </w:r>
          </w:p>
        </w:tc>
      </w:tr>
      <w:tr w:rsidR="009A67D6" w14:paraId="2502F0DC" w14:textId="77777777" w:rsidTr="00A27DDB">
        <w:trPr>
          <w:trHeight w:val="258"/>
        </w:trPr>
        <w:tc>
          <w:tcPr>
            <w:tcW w:w="0" w:type="auto"/>
            <w:vMerge/>
            <w:tcBorders>
              <w:right w:val="single" w:sz="2" w:space="0" w:color="A6A6A6" w:themeColor="background1" w:themeShade="A6"/>
            </w:tcBorders>
            <w:shd w:val="clear" w:color="auto" w:fill="CCC0D9"/>
            <w:vAlign w:val="center"/>
            <w:hideMark/>
          </w:tcPr>
          <w:p w14:paraId="1A392E79" w14:textId="77777777" w:rsidR="009A67D6" w:rsidRPr="00C0753F" w:rsidRDefault="009A67D6" w:rsidP="00475BE0">
            <w:pPr>
              <w:spacing w:after="0"/>
              <w:jc w:val="center"/>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1EB8988C"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2AC0FC5E"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489E5CE4"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7E5E8040"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0A6B06E6"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c>
          <w:tcPr>
            <w:tcW w:w="1014" w:type="pct"/>
            <w:tcBorders>
              <w:left w:val="single" w:sz="2" w:space="0" w:color="A6A6A6" w:themeColor="background1" w:themeShade="A6"/>
            </w:tcBorders>
            <w:shd w:val="clear" w:color="auto" w:fill="E8E8E8"/>
            <w:hideMark/>
          </w:tcPr>
          <w:p w14:paraId="46F44B8B"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r>
      <w:tr w:rsidR="009A67D6" w14:paraId="1316C803" w14:textId="77777777" w:rsidTr="00A27DDB">
        <w:trPr>
          <w:trHeight w:val="258"/>
        </w:trPr>
        <w:tc>
          <w:tcPr>
            <w:tcW w:w="0" w:type="auto"/>
            <w:vMerge/>
            <w:tcBorders>
              <w:right w:val="single" w:sz="2" w:space="0" w:color="A6A6A6" w:themeColor="background1" w:themeShade="A6"/>
            </w:tcBorders>
            <w:shd w:val="clear" w:color="auto" w:fill="CCC0D9"/>
            <w:vAlign w:val="center"/>
            <w:hideMark/>
          </w:tcPr>
          <w:p w14:paraId="7CDEE7D5" w14:textId="77777777" w:rsidR="009A67D6" w:rsidRPr="00C0753F" w:rsidRDefault="009A67D6" w:rsidP="00475BE0">
            <w:pPr>
              <w:spacing w:after="0"/>
              <w:jc w:val="center"/>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0E70D443"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198BC7D0"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227D3641"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38971E3A"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186F5CE8"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None</w:t>
            </w:r>
          </w:p>
        </w:tc>
        <w:tc>
          <w:tcPr>
            <w:tcW w:w="1014" w:type="pct"/>
            <w:tcBorders>
              <w:left w:val="single" w:sz="2" w:space="0" w:color="A6A6A6" w:themeColor="background1" w:themeShade="A6"/>
            </w:tcBorders>
            <w:shd w:val="clear" w:color="auto" w:fill="E8E8E8"/>
            <w:hideMark/>
          </w:tcPr>
          <w:p w14:paraId="034BEEDA"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r>
      <w:tr w:rsidR="009A67D6" w14:paraId="4398A317" w14:textId="77777777" w:rsidTr="00A27DDB">
        <w:trPr>
          <w:trHeight w:val="258"/>
        </w:trPr>
        <w:tc>
          <w:tcPr>
            <w:tcW w:w="645" w:type="pct"/>
            <w:vMerge w:val="restart"/>
            <w:tcBorders>
              <w:right w:val="single" w:sz="2" w:space="0" w:color="A6A6A6" w:themeColor="background1" w:themeShade="A6"/>
            </w:tcBorders>
            <w:shd w:val="clear" w:color="auto" w:fill="CCC0D9"/>
            <w:hideMark/>
          </w:tcPr>
          <w:p w14:paraId="6C03D203"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2</w:t>
            </w: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699CB366"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3B9B4911"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Any age</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4F4ED210"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Any age</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1DDD9531"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58B1496C"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1</w:t>
            </w:r>
          </w:p>
        </w:tc>
        <w:tc>
          <w:tcPr>
            <w:tcW w:w="1014" w:type="pct"/>
            <w:tcBorders>
              <w:left w:val="single" w:sz="2" w:space="0" w:color="A6A6A6" w:themeColor="background1" w:themeShade="A6"/>
            </w:tcBorders>
            <w:shd w:val="clear" w:color="auto" w:fill="E8E8E8"/>
            <w:hideMark/>
          </w:tcPr>
          <w:p w14:paraId="245A9F29"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1</w:t>
            </w:r>
          </w:p>
        </w:tc>
      </w:tr>
      <w:tr w:rsidR="009A67D6" w14:paraId="0684185A" w14:textId="77777777" w:rsidTr="00A27DDB">
        <w:trPr>
          <w:trHeight w:val="258"/>
        </w:trPr>
        <w:tc>
          <w:tcPr>
            <w:tcW w:w="0" w:type="auto"/>
            <w:vMerge/>
            <w:tcBorders>
              <w:right w:val="single" w:sz="2" w:space="0" w:color="A6A6A6" w:themeColor="background1" w:themeShade="A6"/>
            </w:tcBorders>
            <w:shd w:val="clear" w:color="auto" w:fill="CCC0D9"/>
            <w:vAlign w:val="center"/>
            <w:hideMark/>
          </w:tcPr>
          <w:p w14:paraId="51B56FDD" w14:textId="77777777" w:rsidR="009A67D6" w:rsidRPr="00C0753F" w:rsidRDefault="009A67D6" w:rsidP="00475BE0">
            <w:pPr>
              <w:spacing w:after="0"/>
              <w:jc w:val="center"/>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38914834"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388BC157"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64850743"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&lt;12 months</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5E747B51"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35ABB46F"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c>
          <w:tcPr>
            <w:tcW w:w="1014" w:type="pct"/>
            <w:tcBorders>
              <w:left w:val="single" w:sz="2" w:space="0" w:color="A6A6A6" w:themeColor="background1" w:themeShade="A6"/>
            </w:tcBorders>
            <w:shd w:val="clear" w:color="auto" w:fill="E8E8E8"/>
            <w:hideMark/>
          </w:tcPr>
          <w:p w14:paraId="1735D048"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r>
      <w:tr w:rsidR="009A67D6" w14:paraId="5814CE49" w14:textId="77777777" w:rsidTr="00A27DDB">
        <w:trPr>
          <w:trHeight w:val="259"/>
        </w:trPr>
        <w:tc>
          <w:tcPr>
            <w:tcW w:w="0" w:type="auto"/>
            <w:vMerge/>
            <w:tcBorders>
              <w:right w:val="single" w:sz="2" w:space="0" w:color="A6A6A6" w:themeColor="background1" w:themeShade="A6"/>
            </w:tcBorders>
            <w:shd w:val="clear" w:color="auto" w:fill="CCC0D9"/>
            <w:vAlign w:val="center"/>
            <w:hideMark/>
          </w:tcPr>
          <w:p w14:paraId="14A6DF08" w14:textId="77777777" w:rsidR="009A67D6" w:rsidRPr="00C0753F" w:rsidRDefault="009A67D6" w:rsidP="00475BE0">
            <w:pPr>
              <w:spacing w:after="0"/>
              <w:jc w:val="center"/>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60C7016F"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4D8EDCC2"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7CB7EBB8"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 months</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36DAEB9A"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078D533B"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None</w:t>
            </w:r>
          </w:p>
        </w:tc>
        <w:tc>
          <w:tcPr>
            <w:tcW w:w="1014" w:type="pct"/>
            <w:tcBorders>
              <w:left w:val="single" w:sz="2" w:space="0" w:color="A6A6A6" w:themeColor="background1" w:themeShade="A6"/>
            </w:tcBorders>
            <w:shd w:val="clear" w:color="auto" w:fill="E8E8E8"/>
            <w:hideMark/>
          </w:tcPr>
          <w:p w14:paraId="53BEC192"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r>
      <w:tr w:rsidR="009A67D6" w14:paraId="07127ACF" w14:textId="77777777" w:rsidTr="00A27DDB">
        <w:trPr>
          <w:trHeight w:val="258"/>
        </w:trPr>
        <w:tc>
          <w:tcPr>
            <w:tcW w:w="0" w:type="auto"/>
            <w:vMerge/>
            <w:tcBorders>
              <w:right w:val="single" w:sz="2" w:space="0" w:color="A6A6A6" w:themeColor="background1" w:themeShade="A6"/>
            </w:tcBorders>
            <w:shd w:val="clear" w:color="auto" w:fill="CCC0D9"/>
            <w:vAlign w:val="center"/>
            <w:hideMark/>
          </w:tcPr>
          <w:p w14:paraId="313AB4F7" w14:textId="77777777" w:rsidR="009A67D6" w:rsidRPr="00C0753F" w:rsidRDefault="009A67D6" w:rsidP="00475BE0">
            <w:pPr>
              <w:spacing w:after="0"/>
              <w:jc w:val="center"/>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343D3788"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2B88210B"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20686529"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 months</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5FFD9848"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na</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1EC7D973"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None</w:t>
            </w:r>
          </w:p>
        </w:tc>
        <w:tc>
          <w:tcPr>
            <w:tcW w:w="1014" w:type="pct"/>
            <w:tcBorders>
              <w:left w:val="single" w:sz="2" w:space="0" w:color="A6A6A6" w:themeColor="background1" w:themeShade="A6"/>
            </w:tcBorders>
            <w:shd w:val="clear" w:color="auto" w:fill="E8E8E8"/>
            <w:hideMark/>
          </w:tcPr>
          <w:p w14:paraId="73EDDBB4"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None</w:t>
            </w:r>
          </w:p>
        </w:tc>
      </w:tr>
      <w:tr w:rsidR="009A67D6" w14:paraId="41E1F3F4" w14:textId="77777777" w:rsidTr="00A27DDB">
        <w:trPr>
          <w:trHeight w:val="267"/>
        </w:trPr>
        <w:tc>
          <w:tcPr>
            <w:tcW w:w="645" w:type="pct"/>
            <w:vMerge w:val="restart"/>
            <w:tcBorders>
              <w:right w:val="single" w:sz="2" w:space="0" w:color="A6A6A6" w:themeColor="background1" w:themeShade="A6"/>
            </w:tcBorders>
            <w:shd w:val="clear" w:color="auto" w:fill="CCC0D9"/>
            <w:hideMark/>
          </w:tcPr>
          <w:p w14:paraId="6AFE18C2"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3</w:t>
            </w:r>
          </w:p>
        </w:tc>
        <w:tc>
          <w:tcPr>
            <w:tcW w:w="752" w:type="pct"/>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8E8E8"/>
            <w:hideMark/>
          </w:tcPr>
          <w:p w14:paraId="3108C835"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&lt;12 months</w:t>
            </w:r>
          </w:p>
        </w:tc>
        <w:tc>
          <w:tcPr>
            <w:tcW w:w="684" w:type="pct"/>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8E8E8"/>
            <w:hideMark/>
          </w:tcPr>
          <w:p w14:paraId="38F56B4D"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Any age</w:t>
            </w:r>
          </w:p>
        </w:tc>
        <w:tc>
          <w:tcPr>
            <w:tcW w:w="684" w:type="pct"/>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8E8E8"/>
            <w:hideMark/>
          </w:tcPr>
          <w:p w14:paraId="3A223ED7"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Any age</w:t>
            </w:r>
          </w:p>
        </w:tc>
        <w:tc>
          <w:tcPr>
            <w:tcW w:w="682" w:type="pct"/>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8E8E8"/>
            <w:hideMark/>
          </w:tcPr>
          <w:p w14:paraId="4ED19E17" w14:textId="77777777" w:rsidR="009A67D6" w:rsidRPr="00E155AF" w:rsidRDefault="009A67D6" w:rsidP="009A67D6">
            <w:pPr>
              <w:pStyle w:val="TableText1"/>
              <w:rPr>
                <w:rFonts w:asciiTheme="minorHAnsi" w:hAnsiTheme="minorHAnsi" w:cstheme="minorHAnsi"/>
                <w:sz w:val="18"/>
                <w:szCs w:val="18"/>
              </w:rPr>
            </w:pPr>
            <w:r w:rsidRPr="00E155AF">
              <w:rPr>
                <w:rFonts w:asciiTheme="minorHAnsi" w:hAnsiTheme="minorHAnsi" w:cstheme="minorHAnsi"/>
                <w:sz w:val="18"/>
                <w:szCs w:val="18"/>
              </w:rPr>
              <w:t>Any age</w:t>
            </w:r>
          </w:p>
        </w:tc>
        <w:tc>
          <w:tcPr>
            <w:tcW w:w="539" w:type="pct"/>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8E8E8"/>
            <w:hideMark/>
          </w:tcPr>
          <w:p w14:paraId="5AAAA5FB"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None</w:t>
            </w:r>
          </w:p>
        </w:tc>
        <w:tc>
          <w:tcPr>
            <w:tcW w:w="1014" w:type="pct"/>
            <w:tcBorders>
              <w:left w:val="single" w:sz="2" w:space="0" w:color="A6A6A6" w:themeColor="background1" w:themeShade="A6"/>
              <w:bottom w:val="single" w:sz="2" w:space="0" w:color="A6A6A6" w:themeColor="background1" w:themeShade="A6"/>
            </w:tcBorders>
            <w:shd w:val="clear" w:color="auto" w:fill="E8E8E8"/>
            <w:hideMark/>
          </w:tcPr>
          <w:p w14:paraId="5FAE6EEA" w14:textId="77777777" w:rsidR="009A67D6" w:rsidRPr="00E155AF" w:rsidRDefault="009A67D6" w:rsidP="00475BE0">
            <w:pPr>
              <w:pStyle w:val="TableText1"/>
              <w:jc w:val="center"/>
              <w:rPr>
                <w:rFonts w:asciiTheme="minorHAnsi" w:hAnsiTheme="minorHAnsi" w:cstheme="minorHAnsi"/>
                <w:sz w:val="18"/>
                <w:szCs w:val="18"/>
              </w:rPr>
            </w:pPr>
            <w:r w:rsidRPr="00E155AF">
              <w:rPr>
                <w:rFonts w:asciiTheme="minorHAnsi" w:hAnsiTheme="minorHAnsi" w:cstheme="minorHAnsi"/>
                <w:sz w:val="18"/>
                <w:szCs w:val="18"/>
              </w:rPr>
              <w:t>1</w:t>
            </w:r>
          </w:p>
        </w:tc>
      </w:tr>
      <w:tr w:rsidR="009A67D6" w14:paraId="29CA2B6B" w14:textId="77777777" w:rsidTr="00A27DDB">
        <w:trPr>
          <w:trHeight w:val="258"/>
        </w:trPr>
        <w:tc>
          <w:tcPr>
            <w:tcW w:w="0" w:type="auto"/>
            <w:vMerge/>
            <w:tcBorders>
              <w:right w:val="single" w:sz="2" w:space="0" w:color="A6A6A6" w:themeColor="background1" w:themeShade="A6"/>
            </w:tcBorders>
            <w:shd w:val="clear" w:color="auto" w:fill="CCC0D9"/>
            <w:vAlign w:val="center"/>
            <w:hideMark/>
          </w:tcPr>
          <w:p w14:paraId="1458B587" w14:textId="77777777" w:rsidR="009A67D6" w:rsidRPr="00C0753F" w:rsidRDefault="009A67D6" w:rsidP="009A67D6">
            <w:pPr>
              <w:spacing w:after="0"/>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2A38C660"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5F1F0B8B"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450AB5F4"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&lt;12 months</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46F31F0B"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Any age</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77FAB4D2"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None</w:t>
            </w:r>
          </w:p>
        </w:tc>
        <w:tc>
          <w:tcPr>
            <w:tcW w:w="1014" w:type="pct"/>
            <w:tcBorders>
              <w:left w:val="single" w:sz="2" w:space="0" w:color="A6A6A6" w:themeColor="background1" w:themeShade="A6"/>
            </w:tcBorders>
            <w:shd w:val="clear" w:color="auto" w:fill="E8E8E8"/>
            <w:hideMark/>
          </w:tcPr>
          <w:p w14:paraId="67F7D599"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1</w:t>
            </w:r>
          </w:p>
        </w:tc>
      </w:tr>
      <w:tr w:rsidR="009A67D6" w14:paraId="3D5D54AD" w14:textId="77777777" w:rsidTr="00A27DDB">
        <w:trPr>
          <w:trHeight w:val="277"/>
        </w:trPr>
        <w:tc>
          <w:tcPr>
            <w:tcW w:w="0" w:type="auto"/>
            <w:vMerge/>
            <w:tcBorders>
              <w:right w:val="single" w:sz="2" w:space="0" w:color="A6A6A6" w:themeColor="background1" w:themeShade="A6"/>
            </w:tcBorders>
            <w:shd w:val="clear" w:color="auto" w:fill="CCC0D9"/>
            <w:vAlign w:val="center"/>
            <w:hideMark/>
          </w:tcPr>
          <w:p w14:paraId="4BF083BC" w14:textId="77777777" w:rsidR="009A67D6" w:rsidRPr="00C0753F" w:rsidRDefault="009A67D6" w:rsidP="009A67D6">
            <w:pPr>
              <w:spacing w:after="0"/>
              <w:rPr>
                <w:rFonts w:asciiTheme="minorHAnsi" w:hAnsiTheme="minorHAnsi" w:cstheme="minorHAnsi"/>
                <w:sz w:val="18"/>
                <w:szCs w:val="18"/>
              </w:rPr>
            </w:pPr>
          </w:p>
        </w:tc>
        <w:tc>
          <w:tcPr>
            <w:tcW w:w="752" w:type="pct"/>
            <w:tcBorders>
              <w:left w:val="single" w:sz="2" w:space="0" w:color="A6A6A6" w:themeColor="background1" w:themeShade="A6"/>
              <w:right w:val="single" w:sz="2" w:space="0" w:color="A6A6A6" w:themeColor="background1" w:themeShade="A6"/>
            </w:tcBorders>
            <w:shd w:val="clear" w:color="auto" w:fill="E8E8E8"/>
            <w:hideMark/>
          </w:tcPr>
          <w:p w14:paraId="64FA914C"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12–59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7BA4EDD1"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&lt;12 months</w:t>
            </w:r>
          </w:p>
        </w:tc>
        <w:tc>
          <w:tcPr>
            <w:tcW w:w="684" w:type="pct"/>
            <w:tcBorders>
              <w:left w:val="single" w:sz="2" w:space="0" w:color="A6A6A6" w:themeColor="background1" w:themeShade="A6"/>
              <w:right w:val="single" w:sz="2" w:space="0" w:color="A6A6A6" w:themeColor="background1" w:themeShade="A6"/>
            </w:tcBorders>
            <w:shd w:val="clear" w:color="auto" w:fill="E8E8E8"/>
            <w:hideMark/>
          </w:tcPr>
          <w:p w14:paraId="014469A2"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 months</w:t>
            </w:r>
          </w:p>
        </w:tc>
        <w:tc>
          <w:tcPr>
            <w:tcW w:w="682" w:type="pct"/>
            <w:tcBorders>
              <w:left w:val="single" w:sz="2" w:space="0" w:color="A6A6A6" w:themeColor="background1" w:themeShade="A6"/>
              <w:right w:val="single" w:sz="2" w:space="0" w:color="A6A6A6" w:themeColor="background1" w:themeShade="A6"/>
            </w:tcBorders>
            <w:shd w:val="clear" w:color="auto" w:fill="E8E8E8"/>
            <w:hideMark/>
          </w:tcPr>
          <w:p w14:paraId="38952553" w14:textId="77777777" w:rsidR="009A67D6" w:rsidRPr="00C0753F" w:rsidRDefault="009A67D6" w:rsidP="009A67D6">
            <w:pPr>
              <w:pStyle w:val="TableText1"/>
              <w:rPr>
                <w:rFonts w:asciiTheme="minorHAnsi" w:hAnsiTheme="minorHAnsi" w:cstheme="minorHAnsi"/>
                <w:sz w:val="18"/>
                <w:szCs w:val="18"/>
              </w:rPr>
            </w:pPr>
            <w:r w:rsidRPr="00C0753F">
              <w:rPr>
                <w:rFonts w:asciiTheme="minorHAnsi" w:hAnsiTheme="minorHAnsi" w:cstheme="minorHAnsi"/>
                <w:sz w:val="18"/>
                <w:szCs w:val="18"/>
              </w:rPr>
              <w:t>≥12 months</w:t>
            </w:r>
          </w:p>
        </w:tc>
        <w:tc>
          <w:tcPr>
            <w:tcW w:w="539" w:type="pct"/>
            <w:tcBorders>
              <w:left w:val="single" w:sz="2" w:space="0" w:color="A6A6A6" w:themeColor="background1" w:themeShade="A6"/>
              <w:right w:val="single" w:sz="2" w:space="0" w:color="A6A6A6" w:themeColor="background1" w:themeShade="A6"/>
            </w:tcBorders>
            <w:shd w:val="clear" w:color="auto" w:fill="E8E8E8"/>
            <w:hideMark/>
          </w:tcPr>
          <w:p w14:paraId="4CC5A0D8"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None</w:t>
            </w:r>
          </w:p>
        </w:tc>
        <w:tc>
          <w:tcPr>
            <w:tcW w:w="1014" w:type="pct"/>
            <w:tcBorders>
              <w:left w:val="single" w:sz="2" w:space="0" w:color="A6A6A6" w:themeColor="background1" w:themeShade="A6"/>
            </w:tcBorders>
            <w:shd w:val="clear" w:color="auto" w:fill="E8E8E8"/>
            <w:hideMark/>
          </w:tcPr>
          <w:p w14:paraId="54B84C8B" w14:textId="77777777" w:rsidR="009A67D6" w:rsidRPr="00C0753F" w:rsidRDefault="009A67D6" w:rsidP="00475BE0">
            <w:pPr>
              <w:pStyle w:val="TableText1"/>
              <w:jc w:val="center"/>
              <w:rPr>
                <w:rFonts w:asciiTheme="minorHAnsi" w:hAnsiTheme="minorHAnsi" w:cstheme="minorHAnsi"/>
                <w:sz w:val="18"/>
                <w:szCs w:val="18"/>
              </w:rPr>
            </w:pPr>
            <w:r w:rsidRPr="00C0753F">
              <w:rPr>
                <w:rFonts w:asciiTheme="minorHAnsi" w:hAnsiTheme="minorHAnsi" w:cstheme="minorHAnsi"/>
                <w:sz w:val="18"/>
                <w:szCs w:val="18"/>
              </w:rPr>
              <w:t>None</w:t>
            </w:r>
          </w:p>
        </w:tc>
      </w:tr>
    </w:tbl>
    <w:p w14:paraId="40864511" w14:textId="495486C6" w:rsidR="00E2699D" w:rsidRPr="00BB1759" w:rsidRDefault="00E2699D" w:rsidP="00025A03">
      <w:pPr>
        <w:spacing w:after="0"/>
        <w:rPr>
          <w:sz w:val="14"/>
          <w:szCs w:val="18"/>
          <w:lang w:eastAsia="en-US"/>
        </w:rPr>
      </w:pPr>
      <w:r w:rsidRPr="00EB25EE">
        <w:rPr>
          <w:sz w:val="14"/>
          <w:szCs w:val="18"/>
          <w:lang w:eastAsia="en-US"/>
        </w:rPr>
        <w:t xml:space="preserve">This schedule does not apply to </w:t>
      </w:r>
      <w:r w:rsidRPr="00BB1759">
        <w:rPr>
          <w:sz w:val="14"/>
          <w:szCs w:val="18"/>
          <w:lang w:eastAsia="en-US"/>
        </w:rPr>
        <w:t xml:space="preserve">people who have had a haematopoietic stem cell transplant. </w:t>
      </w:r>
      <w:r w:rsidR="00654A27">
        <w:rPr>
          <w:sz w:val="14"/>
          <w:szCs w:val="18"/>
          <w:lang w:eastAsia="en-US"/>
        </w:rPr>
        <w:t>Please r</w:t>
      </w:r>
      <w:r w:rsidR="006F1EDC">
        <w:rPr>
          <w:sz w:val="14"/>
          <w:szCs w:val="18"/>
          <w:lang w:eastAsia="en-US"/>
        </w:rPr>
        <w:t>efer to the</w:t>
      </w:r>
      <w:r w:rsidR="006F1EDC" w:rsidRPr="00BB1759">
        <w:rPr>
          <w:sz w:val="14"/>
          <w:szCs w:val="18"/>
          <w:lang w:eastAsia="en-US"/>
        </w:rPr>
        <w:t xml:space="preserve"> </w:t>
      </w:r>
      <w:r w:rsidR="00D675E0" w:rsidRPr="00BB1759">
        <w:rPr>
          <w:sz w:val="14"/>
          <w:szCs w:val="18"/>
          <w:lang w:eastAsia="en-US"/>
        </w:rPr>
        <w:t xml:space="preserve">Vaccination for people who are immunocompromised chapter in the </w:t>
      </w:r>
      <w:hyperlink r:id="rId15" w:history="1">
        <w:r w:rsidR="00D675E0" w:rsidRPr="009A516A">
          <w:rPr>
            <w:rStyle w:val="Hyperlink"/>
            <w:sz w:val="14"/>
            <w:szCs w:val="18"/>
            <w:lang w:eastAsia="en-US"/>
          </w:rPr>
          <w:t>Australian immunisation handbook</w:t>
        </w:r>
      </w:hyperlink>
      <w:r w:rsidRPr="00BB1759">
        <w:rPr>
          <w:sz w:val="14"/>
          <w:szCs w:val="18"/>
          <w:lang w:eastAsia="en-US"/>
        </w:rPr>
        <w:t>.</w:t>
      </w:r>
    </w:p>
    <w:p w14:paraId="7A147D4E" w14:textId="77777777" w:rsidR="00E2699D" w:rsidRPr="00EF45CC" w:rsidRDefault="00E2699D" w:rsidP="00025A03">
      <w:pPr>
        <w:pStyle w:val="BulletedList"/>
        <w:numPr>
          <w:ilvl w:val="0"/>
          <w:numId w:val="0"/>
        </w:numPr>
        <w:rPr>
          <w:sz w:val="14"/>
          <w:szCs w:val="14"/>
        </w:rPr>
      </w:pPr>
      <w:r w:rsidRPr="00BB1759">
        <w:rPr>
          <w:sz w:val="14"/>
          <w:szCs w:val="14"/>
        </w:rPr>
        <w:t>The minimum interval between doses is 1 month if child aged &lt;12 months, and 2 months if aged ≥12 months</w:t>
      </w:r>
      <w:r w:rsidRPr="00EF45CC">
        <w:rPr>
          <w:sz w:val="14"/>
          <w:szCs w:val="14"/>
        </w:rPr>
        <w:t>.</w:t>
      </w:r>
    </w:p>
    <w:p w14:paraId="7F181B42" w14:textId="77777777" w:rsidR="00DE7CCF" w:rsidRDefault="0020478F" w:rsidP="00DE7CCF">
      <w:pPr>
        <w:pStyle w:val="Heading3"/>
        <w:spacing w:after="40"/>
        <w:rPr>
          <w:sz w:val="18"/>
          <w:szCs w:val="18"/>
        </w:rPr>
      </w:pPr>
      <w:bookmarkStart w:id="1" w:name="_Hlk40471568"/>
      <w:r w:rsidRPr="00776674">
        <w:rPr>
          <w:i/>
          <w:sz w:val="18"/>
          <w:szCs w:val="18"/>
        </w:rPr>
        <w:t>Haemophilus influenzae</w:t>
      </w:r>
      <w:r w:rsidRPr="0020478F">
        <w:rPr>
          <w:sz w:val="18"/>
          <w:szCs w:val="18"/>
        </w:rPr>
        <w:t xml:space="preserve"> type b </w:t>
      </w:r>
      <w:bookmarkEnd w:id="1"/>
      <w:r w:rsidRPr="0020478F">
        <w:rPr>
          <w:sz w:val="18"/>
          <w:szCs w:val="18"/>
        </w:rPr>
        <w:t>vaccines (Hib)</w:t>
      </w:r>
      <w:r>
        <w:rPr>
          <w:sz w:val="18"/>
          <w:szCs w:val="18"/>
        </w:rPr>
        <w:t xml:space="preserve"> vaccine</w:t>
      </w:r>
    </w:p>
    <w:p w14:paraId="5ADAB1FB" w14:textId="06E5E16C" w:rsidR="00C1367D" w:rsidRPr="005B667C" w:rsidRDefault="00C1367D" w:rsidP="00C1367D">
      <w:pPr>
        <w:pStyle w:val="BulletedList"/>
      </w:pPr>
      <w:r>
        <w:rPr>
          <w:sz w:val="18"/>
          <w:szCs w:val="18"/>
        </w:rPr>
        <w:t>The Hib vaccine, ActHIB</w:t>
      </w:r>
      <w:r w:rsidR="00266928">
        <w:rPr>
          <w:sz w:val="18"/>
          <w:szCs w:val="18"/>
        </w:rPr>
        <w:t xml:space="preserve">®, recommended </w:t>
      </w:r>
      <w:r w:rsidR="00266928" w:rsidRPr="00B13CE4">
        <w:rPr>
          <w:sz w:val="18"/>
          <w:szCs w:val="18"/>
        </w:rPr>
        <w:t xml:space="preserve">for adults </w:t>
      </w:r>
      <w:r w:rsidR="00DD568C">
        <w:rPr>
          <w:sz w:val="18"/>
          <w:szCs w:val="18"/>
        </w:rPr>
        <w:t xml:space="preserve">and children </w:t>
      </w:r>
      <w:r w:rsidR="00266928" w:rsidRPr="009A497E">
        <w:rPr>
          <w:sz w:val="18"/>
          <w:szCs w:val="18"/>
        </w:rPr>
        <w:t>&gt;5</w:t>
      </w:r>
      <w:r w:rsidR="0031665D">
        <w:rPr>
          <w:sz w:val="18"/>
          <w:szCs w:val="18"/>
        </w:rPr>
        <w:t xml:space="preserve"> </w:t>
      </w:r>
      <w:r w:rsidR="00266928" w:rsidRPr="009A497E">
        <w:rPr>
          <w:sz w:val="18"/>
          <w:szCs w:val="18"/>
        </w:rPr>
        <w:t>years of age</w:t>
      </w:r>
      <w:r w:rsidR="00266928">
        <w:rPr>
          <w:sz w:val="18"/>
          <w:szCs w:val="18"/>
        </w:rPr>
        <w:t xml:space="preserve"> </w:t>
      </w:r>
      <w:r w:rsidR="00266928" w:rsidRPr="00B13CE4">
        <w:rPr>
          <w:sz w:val="18"/>
          <w:szCs w:val="18"/>
        </w:rPr>
        <w:t xml:space="preserve">with </w:t>
      </w:r>
      <w:r w:rsidR="00266928">
        <w:rPr>
          <w:sz w:val="18"/>
          <w:szCs w:val="18"/>
          <w:lang w:val="en-AU"/>
        </w:rPr>
        <w:t>a</w:t>
      </w:r>
      <w:r w:rsidR="00266928" w:rsidRPr="00B13CE4">
        <w:rPr>
          <w:sz w:val="18"/>
          <w:szCs w:val="18"/>
          <w:lang w:val="en-AU"/>
        </w:rPr>
        <w:t>splenia and hyposplenia</w:t>
      </w:r>
      <w:r w:rsidR="00266928">
        <w:rPr>
          <w:sz w:val="18"/>
          <w:szCs w:val="18"/>
          <w:lang w:val="en-AU"/>
        </w:rPr>
        <w:t xml:space="preserve"> </w:t>
      </w:r>
      <w:r w:rsidR="004B4C5F">
        <w:rPr>
          <w:sz w:val="18"/>
          <w:szCs w:val="18"/>
          <w:lang w:val="en-AU"/>
        </w:rPr>
        <w:t xml:space="preserve">is </w:t>
      </w:r>
      <w:r w:rsidR="00654A27">
        <w:rPr>
          <w:sz w:val="18"/>
          <w:szCs w:val="18"/>
          <w:lang w:val="en-AU"/>
        </w:rPr>
        <w:t xml:space="preserve">also </w:t>
      </w:r>
      <w:r w:rsidR="004B4C5F">
        <w:rPr>
          <w:sz w:val="18"/>
          <w:szCs w:val="18"/>
          <w:lang w:val="en-AU"/>
        </w:rPr>
        <w:t xml:space="preserve">now </w:t>
      </w:r>
      <w:r w:rsidR="00266928">
        <w:rPr>
          <w:sz w:val="18"/>
          <w:szCs w:val="18"/>
          <w:lang w:val="en-AU"/>
        </w:rPr>
        <w:t>funded under the NIP.</w:t>
      </w:r>
    </w:p>
    <w:p w14:paraId="12EABF88" w14:textId="77777777" w:rsidR="005B667C" w:rsidRDefault="005B667C" w:rsidP="005B667C">
      <w:pPr>
        <w:pStyle w:val="BulletedList"/>
        <w:numPr>
          <w:ilvl w:val="1"/>
          <w:numId w:val="4"/>
        </w:numPr>
        <w:rPr>
          <w:i/>
          <w:sz w:val="18"/>
          <w:szCs w:val="18"/>
        </w:rPr>
      </w:pPr>
      <w:r>
        <w:rPr>
          <w:i/>
          <w:sz w:val="18"/>
          <w:szCs w:val="18"/>
        </w:rPr>
        <w:t>A single dose of Hib vaccine is required if the person was not vaccinated in infancy or was incompletely vaccinated</w:t>
      </w:r>
      <w:r w:rsidR="001D3365">
        <w:rPr>
          <w:i/>
          <w:sz w:val="18"/>
          <w:szCs w:val="18"/>
        </w:rPr>
        <w:t>.</w:t>
      </w:r>
    </w:p>
    <w:p w14:paraId="52C2739C" w14:textId="77777777" w:rsidR="005B667C" w:rsidRPr="00F1115A" w:rsidRDefault="005B667C" w:rsidP="005B667C">
      <w:pPr>
        <w:pStyle w:val="BulletedList"/>
        <w:numPr>
          <w:ilvl w:val="1"/>
          <w:numId w:val="4"/>
        </w:numPr>
        <w:rPr>
          <w:i/>
          <w:sz w:val="18"/>
          <w:szCs w:val="18"/>
        </w:rPr>
      </w:pPr>
      <w:r>
        <w:rPr>
          <w:i/>
          <w:sz w:val="18"/>
          <w:szCs w:val="18"/>
        </w:rPr>
        <w:t>Booster doses of H</w:t>
      </w:r>
      <w:r w:rsidR="001D3365">
        <w:rPr>
          <w:i/>
          <w:sz w:val="18"/>
          <w:szCs w:val="18"/>
        </w:rPr>
        <w:t>ib vaccine</w:t>
      </w:r>
      <w:r>
        <w:rPr>
          <w:i/>
          <w:sz w:val="18"/>
          <w:szCs w:val="18"/>
        </w:rPr>
        <w:t xml:space="preserve"> are </w:t>
      </w:r>
      <w:r w:rsidRPr="00475BE0">
        <w:rPr>
          <w:i/>
          <w:sz w:val="18"/>
          <w:szCs w:val="18"/>
          <w:u w:val="single"/>
        </w:rPr>
        <w:t>not</w:t>
      </w:r>
      <w:r>
        <w:rPr>
          <w:i/>
          <w:sz w:val="18"/>
          <w:szCs w:val="18"/>
        </w:rPr>
        <w:t xml:space="preserve"> required.</w:t>
      </w:r>
    </w:p>
    <w:p w14:paraId="08DA1226" w14:textId="1BB8D0EF" w:rsidR="005B667C" w:rsidRPr="005B667C" w:rsidRDefault="00AF6575" w:rsidP="005B667C">
      <w:pPr>
        <w:pStyle w:val="BulletedList"/>
        <w:rPr>
          <w:sz w:val="18"/>
          <w:szCs w:val="18"/>
        </w:rPr>
      </w:pPr>
      <w:r w:rsidRPr="005B667C">
        <w:rPr>
          <w:sz w:val="18"/>
          <w:szCs w:val="18"/>
        </w:rPr>
        <w:t xml:space="preserve">Hib vaccination is also recommended </w:t>
      </w:r>
      <w:r w:rsidR="004B4C5F">
        <w:rPr>
          <w:sz w:val="18"/>
          <w:szCs w:val="18"/>
        </w:rPr>
        <w:t xml:space="preserve">for </w:t>
      </w:r>
      <w:r w:rsidRPr="005B667C">
        <w:rPr>
          <w:sz w:val="18"/>
          <w:szCs w:val="18"/>
        </w:rPr>
        <w:t xml:space="preserve">adults </w:t>
      </w:r>
      <w:r w:rsidR="00DD568C">
        <w:rPr>
          <w:sz w:val="18"/>
          <w:szCs w:val="18"/>
        </w:rPr>
        <w:t xml:space="preserve">and children </w:t>
      </w:r>
      <w:r w:rsidRPr="005B667C">
        <w:rPr>
          <w:sz w:val="18"/>
          <w:szCs w:val="18"/>
        </w:rPr>
        <w:t xml:space="preserve">&gt;5 years of age who receive a haematopoietic stem cell transplants, but </w:t>
      </w:r>
      <w:r w:rsidR="000B69AF">
        <w:rPr>
          <w:sz w:val="18"/>
          <w:szCs w:val="18"/>
        </w:rPr>
        <w:t xml:space="preserve">this </w:t>
      </w:r>
      <w:r w:rsidR="004B4C5F">
        <w:rPr>
          <w:sz w:val="18"/>
          <w:szCs w:val="18"/>
        </w:rPr>
        <w:t>is</w:t>
      </w:r>
      <w:r w:rsidR="004B4C5F" w:rsidRPr="005B667C">
        <w:rPr>
          <w:sz w:val="18"/>
          <w:szCs w:val="18"/>
        </w:rPr>
        <w:t xml:space="preserve"> </w:t>
      </w:r>
      <w:r w:rsidRPr="005B667C">
        <w:rPr>
          <w:sz w:val="18"/>
          <w:szCs w:val="18"/>
        </w:rPr>
        <w:t>not funded under the NIP</w:t>
      </w:r>
      <w:r w:rsidR="005B667C" w:rsidRPr="005B667C">
        <w:rPr>
          <w:sz w:val="18"/>
          <w:szCs w:val="18"/>
        </w:rPr>
        <w:t xml:space="preserve"> (</w:t>
      </w:r>
      <w:r w:rsidR="006F1EDC">
        <w:rPr>
          <w:sz w:val="18"/>
          <w:szCs w:val="18"/>
        </w:rPr>
        <w:t>refer to</w:t>
      </w:r>
      <w:r w:rsidR="006F1EDC" w:rsidRPr="005B667C">
        <w:rPr>
          <w:sz w:val="18"/>
          <w:szCs w:val="18"/>
        </w:rPr>
        <w:t xml:space="preserve"> </w:t>
      </w:r>
      <w:r w:rsidR="005B667C" w:rsidRPr="005B667C">
        <w:rPr>
          <w:sz w:val="18"/>
          <w:szCs w:val="18"/>
        </w:rPr>
        <w:t xml:space="preserve">the </w:t>
      </w:r>
      <w:r w:rsidR="00C90EA7" w:rsidRPr="00C90EA7">
        <w:rPr>
          <w:sz w:val="18"/>
          <w:szCs w:val="18"/>
        </w:rPr>
        <w:t>Haemophilus influenzae type b</w:t>
      </w:r>
      <w:r w:rsidR="005B667C" w:rsidRPr="005B667C">
        <w:rPr>
          <w:sz w:val="18"/>
          <w:szCs w:val="18"/>
        </w:rPr>
        <w:t xml:space="preserve"> chapter in the </w:t>
      </w:r>
      <w:hyperlink r:id="rId16" w:history="1">
        <w:r w:rsidR="005B667C" w:rsidRPr="009A516A">
          <w:rPr>
            <w:rStyle w:val="Hyperlink"/>
            <w:sz w:val="18"/>
            <w:szCs w:val="18"/>
          </w:rPr>
          <w:t>Australian Immunisation Handbook</w:t>
        </w:r>
      </w:hyperlink>
      <w:r w:rsidR="005B667C" w:rsidRPr="005B667C">
        <w:rPr>
          <w:sz w:val="18"/>
          <w:szCs w:val="18"/>
        </w:rPr>
        <w:t xml:space="preserve">).  </w:t>
      </w:r>
    </w:p>
    <w:p w14:paraId="30F6F38D" w14:textId="77777777" w:rsidR="00E2699D" w:rsidRPr="00E2699D" w:rsidRDefault="00E2699D" w:rsidP="00E2699D">
      <w:pPr>
        <w:rPr>
          <w:sz w:val="18"/>
          <w:szCs w:val="18"/>
        </w:rPr>
      </w:pPr>
    </w:p>
    <w:p w14:paraId="0CEA4776" w14:textId="77777777" w:rsidR="00E2699D" w:rsidRPr="00E2699D" w:rsidRDefault="00E2699D" w:rsidP="00E2699D">
      <w:pPr>
        <w:rPr>
          <w:sz w:val="18"/>
          <w:szCs w:val="18"/>
        </w:rPr>
      </w:pPr>
    </w:p>
    <w:p w14:paraId="12C4282D" w14:textId="77777777" w:rsidR="00483C77" w:rsidRDefault="00483C77">
      <w:pPr>
        <w:spacing w:line="276" w:lineRule="auto"/>
        <w:rPr>
          <w:b/>
          <w:color w:val="57259F"/>
          <w:sz w:val="20"/>
          <w:szCs w:val="18"/>
          <w:lang w:eastAsia="en-US"/>
        </w:rPr>
      </w:pPr>
      <w:r>
        <w:rPr>
          <w:b/>
          <w:color w:val="57259F"/>
          <w:sz w:val="20"/>
          <w:szCs w:val="18"/>
          <w:lang w:eastAsia="en-US"/>
        </w:rPr>
        <w:br w:type="page"/>
      </w:r>
    </w:p>
    <w:p w14:paraId="0A460391" w14:textId="343D4D6C" w:rsidR="00483C77" w:rsidRPr="00EB25EE" w:rsidRDefault="00483C77" w:rsidP="00483C77">
      <w:pPr>
        <w:pStyle w:val="Heading2"/>
        <w:rPr>
          <w:bCs/>
          <w:sz w:val="20"/>
          <w:szCs w:val="18"/>
          <w:lang w:eastAsia="en-US"/>
        </w:rPr>
      </w:pPr>
      <w:r>
        <w:rPr>
          <w:sz w:val="20"/>
          <w:szCs w:val="18"/>
          <w:lang w:eastAsia="en-US"/>
        </w:rPr>
        <w:lastRenderedPageBreak/>
        <w:t>Appendix</w:t>
      </w:r>
      <w:r w:rsidRPr="00AC23C0">
        <w:rPr>
          <w:sz w:val="20"/>
          <w:szCs w:val="18"/>
          <w:lang w:eastAsia="en-US"/>
        </w:rPr>
        <w:t xml:space="preserve">. </w:t>
      </w:r>
      <w:r>
        <w:rPr>
          <w:sz w:val="20"/>
          <w:szCs w:val="18"/>
          <w:lang w:eastAsia="en-US"/>
        </w:rPr>
        <w:t>R</w:t>
      </w:r>
      <w:r w:rsidRPr="00776674">
        <w:rPr>
          <w:sz w:val="20"/>
          <w:szCs w:val="18"/>
          <w:lang w:eastAsia="en-US"/>
        </w:rPr>
        <w:t xml:space="preserve">isk conditions </w:t>
      </w:r>
      <w:r>
        <w:rPr>
          <w:sz w:val="20"/>
          <w:szCs w:val="18"/>
          <w:lang w:eastAsia="en-US"/>
        </w:rPr>
        <w:t xml:space="preserve">for which meningococcal, pneumococcal and </w:t>
      </w:r>
      <w:r w:rsidR="000E647C">
        <w:rPr>
          <w:i/>
          <w:sz w:val="20"/>
          <w:szCs w:val="18"/>
          <w:lang w:eastAsia="en-US"/>
        </w:rPr>
        <w:t>H</w:t>
      </w:r>
      <w:r w:rsidRPr="00776674">
        <w:rPr>
          <w:i/>
          <w:sz w:val="20"/>
          <w:szCs w:val="18"/>
          <w:lang w:eastAsia="en-US"/>
        </w:rPr>
        <w:t>aemophilus influenzae</w:t>
      </w:r>
      <w:r w:rsidRPr="00776674">
        <w:rPr>
          <w:sz w:val="20"/>
          <w:szCs w:val="18"/>
          <w:lang w:eastAsia="en-US"/>
        </w:rPr>
        <w:t xml:space="preserve"> type b </w:t>
      </w:r>
      <w:r>
        <w:rPr>
          <w:sz w:val="20"/>
          <w:szCs w:val="18"/>
          <w:lang w:eastAsia="en-US"/>
        </w:rPr>
        <w:t>vaccines are recommended</w:t>
      </w:r>
    </w:p>
    <w:tbl>
      <w:tblPr>
        <w:tblStyle w:val="TableGrid"/>
        <w:tblW w:w="5000" w:type="pct"/>
        <w:tblInd w:w="10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Seasonal influenza vaccines available for use in Australia in 2018, by age"/>
        <w:tblDescription w:val="Six influenza vaccines are available in Australia in 2018. FluQuadri Junior can be used from 6 months to less than 3 years. FluQuadri can be used from 3 years of age. Fluarix Tetra can be used from 3 years of age. Afluria Quad can be used from 18 years of age. Fluzone High-Dose can be used only for those 65 years of age and older. Fluad can be used only for those 65 years of age and older."/>
      </w:tblPr>
      <w:tblGrid>
        <w:gridCol w:w="5501"/>
        <w:gridCol w:w="1567"/>
        <w:gridCol w:w="1567"/>
        <w:gridCol w:w="1569"/>
      </w:tblGrid>
      <w:tr w:rsidR="005D5133" w:rsidRPr="00D57407" w14:paraId="2E61AF15" w14:textId="77777777" w:rsidTr="00C90EA7">
        <w:trPr>
          <w:trHeight w:val="263"/>
          <w:tblHeader/>
        </w:trPr>
        <w:tc>
          <w:tcPr>
            <w:tcW w:w="2695" w:type="pct"/>
            <w:vMerge w:val="restart"/>
            <w:shd w:val="clear" w:color="auto" w:fill="57259F"/>
            <w:vAlign w:val="center"/>
          </w:tcPr>
          <w:p w14:paraId="3B039483" w14:textId="77777777" w:rsidR="005D5133" w:rsidRPr="009E31CF" w:rsidRDefault="005D5133" w:rsidP="008F277D">
            <w:pPr>
              <w:pStyle w:val="TableHeading"/>
              <w:rPr>
                <w:rFonts w:asciiTheme="minorHAnsi" w:hAnsiTheme="minorHAnsi" w:cstheme="minorHAnsi"/>
                <w:color w:val="FFFFFF" w:themeColor="background1"/>
                <w:sz w:val="17"/>
                <w:szCs w:val="17"/>
              </w:rPr>
            </w:pPr>
            <w:r w:rsidRPr="009E31CF">
              <w:rPr>
                <w:rFonts w:asciiTheme="minorHAnsi" w:hAnsiTheme="minorHAnsi" w:cstheme="minorHAnsi"/>
                <w:color w:val="FFFFFF" w:themeColor="background1"/>
                <w:sz w:val="17"/>
                <w:szCs w:val="17"/>
              </w:rPr>
              <w:t>Condition</w:t>
            </w:r>
          </w:p>
        </w:tc>
        <w:tc>
          <w:tcPr>
            <w:tcW w:w="2305" w:type="pct"/>
            <w:gridSpan w:val="3"/>
            <w:shd w:val="clear" w:color="auto" w:fill="57259F"/>
            <w:vAlign w:val="center"/>
          </w:tcPr>
          <w:p w14:paraId="13654055" w14:textId="77777777" w:rsidR="005D5133" w:rsidRPr="009E31CF" w:rsidRDefault="005D5133" w:rsidP="008F277D">
            <w:pPr>
              <w:pStyle w:val="TableHeading"/>
              <w:jc w:val="center"/>
              <w:rPr>
                <w:rFonts w:asciiTheme="minorHAnsi" w:hAnsiTheme="minorHAnsi" w:cstheme="minorHAnsi"/>
                <w:color w:val="FFFFFF" w:themeColor="background1"/>
                <w:sz w:val="17"/>
                <w:szCs w:val="17"/>
              </w:rPr>
            </w:pPr>
            <w:r w:rsidRPr="009E31CF">
              <w:rPr>
                <w:rFonts w:asciiTheme="minorHAnsi" w:hAnsiTheme="minorHAnsi" w:cstheme="minorHAnsi"/>
                <w:color w:val="FFFFFF" w:themeColor="background1"/>
                <w:sz w:val="17"/>
                <w:szCs w:val="17"/>
              </w:rPr>
              <w:t>Recommended vaccine</w:t>
            </w:r>
          </w:p>
        </w:tc>
      </w:tr>
      <w:tr w:rsidR="005D5133" w:rsidRPr="00D57407" w14:paraId="355E9BFE" w14:textId="77777777" w:rsidTr="00C90EA7">
        <w:trPr>
          <w:trHeight w:val="495"/>
          <w:tblHeader/>
        </w:trPr>
        <w:tc>
          <w:tcPr>
            <w:tcW w:w="2695" w:type="pct"/>
            <w:vMerge/>
            <w:tcBorders>
              <w:bottom w:val="single" w:sz="4" w:space="0" w:color="A6A6A6" w:themeColor="background1" w:themeShade="A6"/>
            </w:tcBorders>
            <w:shd w:val="clear" w:color="auto" w:fill="57259F"/>
            <w:vAlign w:val="center"/>
          </w:tcPr>
          <w:p w14:paraId="748686ED" w14:textId="77777777" w:rsidR="00483C77" w:rsidRPr="009E31CF" w:rsidRDefault="00483C77" w:rsidP="008F277D">
            <w:pPr>
              <w:pStyle w:val="TableHeading"/>
              <w:rPr>
                <w:rFonts w:asciiTheme="minorHAnsi" w:hAnsiTheme="minorHAnsi" w:cstheme="minorHAnsi"/>
                <w:color w:val="FFFFFF" w:themeColor="background1"/>
                <w:sz w:val="17"/>
                <w:szCs w:val="17"/>
              </w:rPr>
            </w:pPr>
          </w:p>
        </w:tc>
        <w:tc>
          <w:tcPr>
            <w:tcW w:w="768" w:type="pct"/>
            <w:shd w:val="clear" w:color="auto" w:fill="57259F"/>
            <w:vAlign w:val="center"/>
          </w:tcPr>
          <w:p w14:paraId="67F32B2E" w14:textId="7EE0A5D8" w:rsidR="00483C77" w:rsidRPr="009E31CF" w:rsidRDefault="00483C77" w:rsidP="000B31AF">
            <w:pPr>
              <w:pStyle w:val="TableHeading"/>
              <w:jc w:val="center"/>
              <w:rPr>
                <w:rFonts w:asciiTheme="minorHAnsi" w:hAnsiTheme="minorHAnsi" w:cstheme="minorHAnsi"/>
                <w:color w:val="FFFFFF" w:themeColor="background1"/>
                <w:sz w:val="17"/>
                <w:szCs w:val="17"/>
              </w:rPr>
            </w:pPr>
            <w:r w:rsidRPr="009E31CF">
              <w:rPr>
                <w:rFonts w:asciiTheme="minorHAnsi" w:hAnsiTheme="minorHAnsi" w:cstheme="minorHAnsi"/>
                <w:color w:val="FFFFFF" w:themeColor="background1"/>
                <w:sz w:val="17"/>
                <w:szCs w:val="17"/>
              </w:rPr>
              <w:t>Pneumococcal vaccine</w:t>
            </w:r>
            <w:r w:rsidR="00E2699D" w:rsidRPr="009E31CF">
              <w:rPr>
                <w:rFonts w:asciiTheme="minorHAnsi" w:hAnsiTheme="minorHAnsi" w:cstheme="minorHAnsi"/>
                <w:color w:val="FFFFFF" w:themeColor="background1"/>
                <w:sz w:val="17"/>
                <w:szCs w:val="17"/>
              </w:rPr>
              <w:t>s</w:t>
            </w:r>
            <w:r w:rsidR="00C75D32" w:rsidRPr="009E31CF">
              <w:rPr>
                <w:rFonts w:asciiTheme="minorHAnsi" w:hAnsiTheme="minorHAnsi" w:cstheme="minorHAnsi"/>
                <w:color w:val="FFFFFF" w:themeColor="background1"/>
                <w:sz w:val="17"/>
                <w:szCs w:val="17"/>
              </w:rPr>
              <w:t xml:space="preserve"> –</w:t>
            </w:r>
            <w:r w:rsidR="000B31AF" w:rsidRPr="009E31CF">
              <w:rPr>
                <w:rFonts w:asciiTheme="minorHAnsi" w:hAnsiTheme="minorHAnsi" w:cstheme="minorHAnsi"/>
                <w:color w:val="FFFFFF" w:themeColor="background1"/>
                <w:sz w:val="17"/>
                <w:szCs w:val="17"/>
              </w:rPr>
              <w:t>13v</w:t>
            </w:r>
            <w:r w:rsidR="00C75D32" w:rsidRPr="009E31CF">
              <w:rPr>
                <w:rFonts w:asciiTheme="minorHAnsi" w:hAnsiTheme="minorHAnsi" w:cstheme="minorHAnsi"/>
                <w:color w:val="FFFFFF" w:themeColor="background1"/>
                <w:sz w:val="17"/>
                <w:szCs w:val="17"/>
              </w:rPr>
              <w:t xml:space="preserve">PCV and </w:t>
            </w:r>
            <w:r w:rsidR="000B31AF" w:rsidRPr="009E31CF">
              <w:rPr>
                <w:rFonts w:asciiTheme="minorHAnsi" w:hAnsiTheme="minorHAnsi" w:cstheme="minorHAnsi"/>
                <w:color w:val="FFFFFF" w:themeColor="background1"/>
                <w:sz w:val="17"/>
                <w:szCs w:val="17"/>
              </w:rPr>
              <w:br/>
              <w:t>23v</w:t>
            </w:r>
            <w:r w:rsidR="00C75D32" w:rsidRPr="009E31CF">
              <w:rPr>
                <w:rFonts w:asciiTheme="minorHAnsi" w:hAnsiTheme="minorHAnsi" w:cstheme="minorHAnsi"/>
                <w:color w:val="FFFFFF" w:themeColor="background1"/>
                <w:sz w:val="17"/>
                <w:szCs w:val="17"/>
              </w:rPr>
              <w:t>PPV</w:t>
            </w:r>
          </w:p>
        </w:tc>
        <w:tc>
          <w:tcPr>
            <w:tcW w:w="768" w:type="pct"/>
            <w:shd w:val="clear" w:color="auto" w:fill="57259F"/>
            <w:vAlign w:val="center"/>
          </w:tcPr>
          <w:p w14:paraId="76CC71ED" w14:textId="0B474A48" w:rsidR="00483C77" w:rsidRPr="009E31CF" w:rsidRDefault="00483C77" w:rsidP="000B31AF">
            <w:pPr>
              <w:pStyle w:val="TableHeading"/>
              <w:jc w:val="center"/>
              <w:rPr>
                <w:rFonts w:asciiTheme="minorHAnsi" w:hAnsiTheme="minorHAnsi" w:cstheme="minorHAnsi"/>
                <w:color w:val="FFFFFF" w:themeColor="background1"/>
                <w:sz w:val="17"/>
                <w:szCs w:val="17"/>
              </w:rPr>
            </w:pPr>
            <w:r w:rsidRPr="009E31CF">
              <w:rPr>
                <w:rFonts w:asciiTheme="minorHAnsi" w:hAnsiTheme="minorHAnsi" w:cstheme="minorHAnsi"/>
                <w:color w:val="FFFFFF" w:themeColor="background1"/>
                <w:sz w:val="17"/>
                <w:szCs w:val="17"/>
              </w:rPr>
              <w:t>Meningococcal vaccines</w:t>
            </w:r>
            <w:r w:rsidR="00C75D32" w:rsidRPr="009E31CF">
              <w:rPr>
                <w:rFonts w:asciiTheme="minorHAnsi" w:hAnsiTheme="minorHAnsi" w:cstheme="minorHAnsi"/>
                <w:color w:val="FFFFFF" w:themeColor="background1"/>
                <w:sz w:val="17"/>
                <w:szCs w:val="17"/>
              </w:rPr>
              <w:t xml:space="preserve"> – </w:t>
            </w:r>
            <w:r w:rsidR="000B31AF" w:rsidRPr="009E31CF">
              <w:rPr>
                <w:rFonts w:asciiTheme="minorHAnsi" w:hAnsiTheme="minorHAnsi" w:cstheme="minorHAnsi"/>
                <w:color w:val="FFFFFF" w:themeColor="background1"/>
                <w:sz w:val="17"/>
                <w:szCs w:val="17"/>
              </w:rPr>
              <w:br/>
            </w:r>
            <w:r w:rsidR="00C75D32" w:rsidRPr="009E31CF">
              <w:rPr>
                <w:rFonts w:asciiTheme="minorHAnsi" w:hAnsiTheme="minorHAnsi" w:cstheme="minorHAnsi"/>
                <w:color w:val="FFFFFF" w:themeColor="background1"/>
                <w:sz w:val="17"/>
                <w:szCs w:val="17"/>
              </w:rPr>
              <w:t xml:space="preserve">MenB and </w:t>
            </w:r>
            <w:r w:rsidR="000B31AF" w:rsidRPr="009E31CF">
              <w:rPr>
                <w:rFonts w:asciiTheme="minorHAnsi" w:hAnsiTheme="minorHAnsi" w:cstheme="minorHAnsi"/>
                <w:color w:val="FFFFFF" w:themeColor="background1"/>
                <w:sz w:val="17"/>
                <w:szCs w:val="17"/>
              </w:rPr>
              <w:br/>
            </w:r>
            <w:r w:rsidR="00C75D32" w:rsidRPr="009E31CF">
              <w:rPr>
                <w:rFonts w:asciiTheme="minorHAnsi" w:hAnsiTheme="minorHAnsi" w:cstheme="minorHAnsi"/>
                <w:color w:val="FFFFFF" w:themeColor="background1"/>
                <w:sz w:val="17"/>
                <w:szCs w:val="17"/>
              </w:rPr>
              <w:t>Men ACWY</w:t>
            </w:r>
          </w:p>
        </w:tc>
        <w:tc>
          <w:tcPr>
            <w:tcW w:w="768" w:type="pct"/>
            <w:shd w:val="clear" w:color="auto" w:fill="57259F"/>
            <w:vAlign w:val="center"/>
          </w:tcPr>
          <w:p w14:paraId="1C3B98B8" w14:textId="77777777" w:rsidR="00483C77" w:rsidRPr="009E31CF" w:rsidRDefault="00483C77" w:rsidP="008F277D">
            <w:pPr>
              <w:pStyle w:val="TableHeading"/>
              <w:jc w:val="center"/>
              <w:rPr>
                <w:rFonts w:asciiTheme="minorHAnsi" w:hAnsiTheme="minorHAnsi" w:cstheme="minorHAnsi"/>
                <w:color w:val="FFFFFF" w:themeColor="background1"/>
                <w:sz w:val="17"/>
                <w:szCs w:val="17"/>
              </w:rPr>
            </w:pPr>
            <w:r w:rsidRPr="009E31CF">
              <w:rPr>
                <w:rFonts w:asciiTheme="minorHAnsi" w:hAnsiTheme="minorHAnsi" w:cstheme="minorHAnsi"/>
                <w:color w:val="FFFFFF" w:themeColor="background1"/>
                <w:sz w:val="17"/>
                <w:szCs w:val="17"/>
              </w:rPr>
              <w:t>Hib vaccine</w:t>
            </w:r>
          </w:p>
        </w:tc>
      </w:tr>
      <w:tr w:rsidR="005D5133" w:rsidRPr="00D57407" w14:paraId="56869DDE" w14:textId="77777777" w:rsidTr="009E31CF">
        <w:trPr>
          <w:trHeight w:val="323"/>
        </w:trPr>
        <w:tc>
          <w:tcPr>
            <w:tcW w:w="2695" w:type="pct"/>
            <w:shd w:val="clear" w:color="auto" w:fill="CCC0D9"/>
            <w:vAlign w:val="center"/>
          </w:tcPr>
          <w:p w14:paraId="09932E40"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Previous episode of invasive pneumococcal disease</w:t>
            </w:r>
          </w:p>
        </w:tc>
        <w:tc>
          <w:tcPr>
            <w:tcW w:w="768" w:type="pct"/>
            <w:shd w:val="clear" w:color="auto" w:fill="E8E8E8"/>
            <w:vAlign w:val="center"/>
          </w:tcPr>
          <w:p w14:paraId="6E6211F5" w14:textId="77777777" w:rsidR="00483C77" w:rsidRPr="009E31CF" w:rsidRDefault="00483C77" w:rsidP="008F277D">
            <w:pPr>
              <w:pStyle w:val="NormalWeb"/>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4357D37F" w14:textId="77777777" w:rsidR="00483C77" w:rsidRPr="009E31CF" w:rsidRDefault="00483C77" w:rsidP="008F277D">
            <w:pPr>
              <w:pStyle w:val="NormalWeb"/>
              <w:jc w:val="center"/>
              <w:rPr>
                <w:rFonts w:asciiTheme="minorHAnsi" w:hAnsiTheme="minorHAnsi" w:cstheme="minorHAnsi"/>
                <w:sz w:val="16"/>
                <w:szCs w:val="16"/>
              </w:rPr>
            </w:pPr>
          </w:p>
        </w:tc>
        <w:tc>
          <w:tcPr>
            <w:tcW w:w="768" w:type="pct"/>
            <w:shd w:val="clear" w:color="auto" w:fill="auto"/>
            <w:vAlign w:val="center"/>
          </w:tcPr>
          <w:p w14:paraId="1B5993C5" w14:textId="77777777" w:rsidR="00483C77" w:rsidRPr="009E31CF" w:rsidRDefault="00483C77" w:rsidP="008F277D">
            <w:pPr>
              <w:pStyle w:val="NormalWeb"/>
              <w:jc w:val="center"/>
              <w:rPr>
                <w:rFonts w:asciiTheme="minorHAnsi" w:hAnsiTheme="minorHAnsi" w:cstheme="minorHAnsi"/>
                <w:sz w:val="16"/>
                <w:szCs w:val="16"/>
              </w:rPr>
            </w:pPr>
          </w:p>
        </w:tc>
      </w:tr>
      <w:tr w:rsidR="005D5133" w:rsidRPr="00D57407" w14:paraId="346A9EE7" w14:textId="77777777" w:rsidTr="009E31CF">
        <w:trPr>
          <w:trHeight w:val="20"/>
        </w:trPr>
        <w:tc>
          <w:tcPr>
            <w:tcW w:w="2695" w:type="pct"/>
            <w:shd w:val="clear" w:color="auto" w:fill="CCC0D9"/>
            <w:vAlign w:val="center"/>
          </w:tcPr>
          <w:p w14:paraId="05633B6C" w14:textId="77777777" w:rsidR="00483C77" w:rsidRPr="009E31CF" w:rsidRDefault="00483C77" w:rsidP="009E31CF">
            <w:pPr>
              <w:spacing w:line="240" w:lineRule="auto"/>
              <w:rPr>
                <w:rFonts w:asciiTheme="minorHAnsi" w:hAnsiTheme="minorHAnsi" w:cstheme="minorHAnsi"/>
                <w:b/>
                <w:color w:val="000000"/>
                <w:sz w:val="16"/>
                <w:szCs w:val="16"/>
              </w:rPr>
            </w:pPr>
            <w:r w:rsidRPr="009E31CF">
              <w:rPr>
                <w:rFonts w:asciiTheme="minorHAnsi" w:hAnsiTheme="minorHAnsi" w:cstheme="minorHAnsi"/>
                <w:b/>
                <w:color w:val="000000"/>
                <w:sz w:val="16"/>
                <w:szCs w:val="16"/>
              </w:rPr>
              <w:t>Functional or anatomical asplenia, including</w:t>
            </w:r>
          </w:p>
        </w:tc>
        <w:tc>
          <w:tcPr>
            <w:tcW w:w="768" w:type="pct"/>
            <w:shd w:val="clear" w:color="auto" w:fill="auto"/>
            <w:vAlign w:val="center"/>
          </w:tcPr>
          <w:p w14:paraId="4AEB55AE"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4142DDEF"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3D48FEFA"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04C2B511" w14:textId="77777777" w:rsidTr="009E31CF">
        <w:trPr>
          <w:trHeight w:val="64"/>
        </w:trPr>
        <w:tc>
          <w:tcPr>
            <w:tcW w:w="2695" w:type="pct"/>
            <w:shd w:val="clear" w:color="auto" w:fill="CCC0D9"/>
            <w:vAlign w:val="center"/>
          </w:tcPr>
          <w:p w14:paraId="795ED4D6"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sickle cell disease or other haemoglobinopathies</w:t>
            </w:r>
          </w:p>
        </w:tc>
        <w:tc>
          <w:tcPr>
            <w:tcW w:w="768" w:type="pct"/>
            <w:shd w:val="clear" w:color="auto" w:fill="E8E8E8"/>
            <w:vAlign w:val="center"/>
          </w:tcPr>
          <w:p w14:paraId="46181C8A"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E8E8E8"/>
            <w:vAlign w:val="center"/>
          </w:tcPr>
          <w:p w14:paraId="260BAB48"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E8E8E8"/>
            <w:vAlign w:val="center"/>
          </w:tcPr>
          <w:p w14:paraId="28B6B822" w14:textId="7DAC4445"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007D7EE7" w:rsidRPr="00CB5D06">
              <w:rPr>
                <w:rFonts w:asciiTheme="minorHAnsi" w:hAnsiTheme="minorHAnsi" w:cstheme="minorHAnsi"/>
                <w:sz w:val="16"/>
                <w:szCs w:val="16"/>
                <w:vertAlign w:val="superscript"/>
              </w:rPr>
              <w:t>§</w:t>
            </w:r>
          </w:p>
        </w:tc>
      </w:tr>
      <w:tr w:rsidR="005D5133" w:rsidRPr="00D57407" w14:paraId="6FD56CD3" w14:textId="77777777" w:rsidTr="009E31CF">
        <w:trPr>
          <w:trHeight w:val="20"/>
        </w:trPr>
        <w:tc>
          <w:tcPr>
            <w:tcW w:w="2695" w:type="pct"/>
            <w:shd w:val="clear" w:color="auto" w:fill="CCC0D9"/>
            <w:vAlign w:val="center"/>
          </w:tcPr>
          <w:p w14:paraId="3CA8EFF1"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congenital or acquired asplenia (for example, splenectomy) or hyposplenia</w:t>
            </w:r>
          </w:p>
        </w:tc>
        <w:tc>
          <w:tcPr>
            <w:tcW w:w="768" w:type="pct"/>
            <w:shd w:val="clear" w:color="auto" w:fill="E8E8E8"/>
            <w:vAlign w:val="center"/>
          </w:tcPr>
          <w:p w14:paraId="3809D52E" w14:textId="77777777" w:rsidR="00483C77" w:rsidRPr="009E31CF" w:rsidRDefault="00483C77" w:rsidP="008F277D">
            <w:pPr>
              <w:pStyle w:val="TableText1"/>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E8E8E8"/>
            <w:vAlign w:val="center"/>
          </w:tcPr>
          <w:p w14:paraId="6C441D60" w14:textId="77777777" w:rsidR="00483C77" w:rsidRPr="009E31CF" w:rsidRDefault="00483C77" w:rsidP="008F277D">
            <w:pPr>
              <w:pStyle w:val="TableText1"/>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E8E8E8"/>
            <w:vAlign w:val="center"/>
          </w:tcPr>
          <w:p w14:paraId="0C27D9A6" w14:textId="05A2B3C4" w:rsidR="00483C77" w:rsidRPr="009E31CF" w:rsidRDefault="00483C77" w:rsidP="008F277D">
            <w:pPr>
              <w:pStyle w:val="TableText1"/>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00C92C73" w:rsidRPr="00C37C7A">
              <w:rPr>
                <w:rFonts w:asciiTheme="minorHAnsi" w:hAnsiTheme="minorHAnsi" w:cstheme="minorHAnsi"/>
                <w:sz w:val="16"/>
                <w:szCs w:val="16"/>
                <w:vertAlign w:val="superscript"/>
              </w:rPr>
              <w:t>§</w:t>
            </w:r>
          </w:p>
        </w:tc>
      </w:tr>
      <w:tr w:rsidR="005D5133" w:rsidRPr="00D57407" w14:paraId="6462F31B" w14:textId="77777777" w:rsidTr="009E31CF">
        <w:trPr>
          <w:trHeight w:val="20"/>
        </w:trPr>
        <w:tc>
          <w:tcPr>
            <w:tcW w:w="2695" w:type="pct"/>
            <w:shd w:val="clear" w:color="auto" w:fill="CCC0D9"/>
            <w:vAlign w:val="center"/>
          </w:tcPr>
          <w:p w14:paraId="69BCCB58" w14:textId="4129B927" w:rsidR="00483C77" w:rsidRPr="009E31CF" w:rsidRDefault="00483C77" w:rsidP="008D7B20">
            <w:pPr>
              <w:spacing w:line="240" w:lineRule="auto"/>
              <w:rPr>
                <w:rFonts w:asciiTheme="minorHAnsi" w:hAnsiTheme="minorHAnsi" w:cstheme="minorHAnsi"/>
                <w:b/>
                <w:color w:val="000000"/>
                <w:sz w:val="16"/>
                <w:szCs w:val="16"/>
              </w:rPr>
            </w:pPr>
            <w:r w:rsidRPr="009E31CF">
              <w:rPr>
                <w:rFonts w:asciiTheme="minorHAnsi" w:hAnsiTheme="minorHAnsi" w:cstheme="minorHAnsi"/>
                <w:b/>
                <w:color w:val="000000"/>
                <w:sz w:val="16"/>
                <w:szCs w:val="16"/>
              </w:rPr>
              <w:t>Immunocompromising conditions, including</w:t>
            </w:r>
          </w:p>
        </w:tc>
        <w:tc>
          <w:tcPr>
            <w:tcW w:w="768" w:type="pct"/>
            <w:shd w:val="clear" w:color="auto" w:fill="auto"/>
            <w:vAlign w:val="center"/>
          </w:tcPr>
          <w:p w14:paraId="0AD1D001"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2E257275"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6DA4BFE7"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4135E333" w14:textId="77777777" w:rsidTr="009E31CF">
        <w:trPr>
          <w:trHeight w:val="20"/>
        </w:trPr>
        <w:tc>
          <w:tcPr>
            <w:tcW w:w="2695" w:type="pct"/>
            <w:shd w:val="clear" w:color="auto" w:fill="CCC0D9"/>
            <w:vAlign w:val="center"/>
          </w:tcPr>
          <w:p w14:paraId="43154C1E"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congenital or acquired immune deficiency, including symptomatic IgG subclass or isolated IgA deficiency</w:t>
            </w:r>
          </w:p>
        </w:tc>
        <w:tc>
          <w:tcPr>
            <w:tcW w:w="768" w:type="pct"/>
            <w:shd w:val="clear" w:color="auto" w:fill="E8E8E8"/>
            <w:vAlign w:val="center"/>
          </w:tcPr>
          <w:p w14:paraId="2315F7A9" w14:textId="77777777" w:rsidR="00483C77" w:rsidRPr="009E31CF" w:rsidRDefault="00483C77" w:rsidP="008F277D">
            <w:pPr>
              <w:pStyle w:val="TableText1"/>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1CCAE34A"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2E7E6001"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3435297B" w14:textId="77777777" w:rsidTr="009E31CF">
        <w:trPr>
          <w:trHeight w:val="198"/>
        </w:trPr>
        <w:tc>
          <w:tcPr>
            <w:tcW w:w="2695" w:type="pct"/>
            <w:shd w:val="clear" w:color="auto" w:fill="CCC0D9"/>
            <w:vAlign w:val="center"/>
          </w:tcPr>
          <w:p w14:paraId="4B59F764"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haematological malignancies</w:t>
            </w:r>
          </w:p>
        </w:tc>
        <w:tc>
          <w:tcPr>
            <w:tcW w:w="768" w:type="pct"/>
            <w:shd w:val="clear" w:color="auto" w:fill="E8E8E8"/>
            <w:vAlign w:val="center"/>
          </w:tcPr>
          <w:p w14:paraId="55748554"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722BC4B9"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1426EBEA"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61203135" w14:textId="77777777" w:rsidTr="009E31CF">
        <w:trPr>
          <w:trHeight w:val="64"/>
        </w:trPr>
        <w:tc>
          <w:tcPr>
            <w:tcW w:w="2695" w:type="pct"/>
            <w:shd w:val="clear" w:color="auto" w:fill="CCC0D9"/>
            <w:vAlign w:val="center"/>
          </w:tcPr>
          <w:p w14:paraId="7685135F"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solid organ transplant</w:t>
            </w:r>
          </w:p>
        </w:tc>
        <w:tc>
          <w:tcPr>
            <w:tcW w:w="768" w:type="pct"/>
            <w:shd w:val="clear" w:color="auto" w:fill="E8E8E8"/>
            <w:vAlign w:val="center"/>
          </w:tcPr>
          <w:p w14:paraId="6A450C7C"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75FCDD51"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00C35854"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7074F922" w14:textId="77777777" w:rsidTr="009E31CF">
        <w:trPr>
          <w:trHeight w:val="206"/>
        </w:trPr>
        <w:tc>
          <w:tcPr>
            <w:tcW w:w="2695" w:type="pct"/>
            <w:shd w:val="clear" w:color="auto" w:fill="CCC0D9"/>
            <w:vAlign w:val="center"/>
          </w:tcPr>
          <w:p w14:paraId="2B0C9BEB"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haematopoietic stem cell transplant</w:t>
            </w:r>
          </w:p>
        </w:tc>
        <w:tc>
          <w:tcPr>
            <w:tcW w:w="768" w:type="pct"/>
            <w:shd w:val="clear" w:color="auto" w:fill="E8E8E8"/>
            <w:vAlign w:val="center"/>
          </w:tcPr>
          <w:p w14:paraId="1DC64743"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5AA8945A"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105037AF"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r>
      <w:tr w:rsidR="005D5133" w:rsidRPr="00D57407" w14:paraId="5B828C1D" w14:textId="77777777" w:rsidTr="009E31CF">
        <w:trPr>
          <w:trHeight w:val="81"/>
        </w:trPr>
        <w:tc>
          <w:tcPr>
            <w:tcW w:w="2695" w:type="pct"/>
            <w:shd w:val="clear" w:color="auto" w:fill="CCC0D9"/>
            <w:vAlign w:val="center"/>
          </w:tcPr>
          <w:p w14:paraId="52866EE8" w14:textId="4C417DE7" w:rsidR="00483C77" w:rsidRPr="009E31CF" w:rsidRDefault="009D020E"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xml:space="preserve">– HIV infection </w:t>
            </w:r>
          </w:p>
        </w:tc>
        <w:tc>
          <w:tcPr>
            <w:tcW w:w="768" w:type="pct"/>
            <w:tcBorders>
              <w:bottom w:val="single" w:sz="4" w:space="0" w:color="A6A6A6" w:themeColor="background1" w:themeShade="A6"/>
            </w:tcBorders>
            <w:shd w:val="clear" w:color="auto" w:fill="E8E8E8"/>
            <w:vAlign w:val="center"/>
          </w:tcPr>
          <w:p w14:paraId="0A59A74E"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2C7419D4"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7D0FA038"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2207E02B" w14:textId="77777777" w:rsidTr="009E31CF">
        <w:trPr>
          <w:trHeight w:val="20"/>
        </w:trPr>
        <w:tc>
          <w:tcPr>
            <w:tcW w:w="2695" w:type="pct"/>
            <w:shd w:val="clear" w:color="auto" w:fill="CCC0D9"/>
            <w:vAlign w:val="center"/>
          </w:tcPr>
          <w:p w14:paraId="3A461378"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immunosuppressive therapy, where sufficient immune reconstitution for vaccine response is expected; this includes those with underlying conditions requiring but not yet receiving immunosuppressive therapy</w:t>
            </w:r>
          </w:p>
        </w:tc>
        <w:tc>
          <w:tcPr>
            <w:tcW w:w="768" w:type="pct"/>
            <w:shd w:val="clear" w:color="auto" w:fill="auto"/>
            <w:vAlign w:val="center"/>
          </w:tcPr>
          <w:p w14:paraId="2D65C1C1" w14:textId="77777777" w:rsidR="00483C77" w:rsidRPr="009E31CF" w:rsidRDefault="00483C77" w:rsidP="008F277D">
            <w:pPr>
              <w:pStyle w:val="TableText1"/>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33C6D6D1"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6E2BD143"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0E02611F" w14:textId="77777777" w:rsidTr="009E31CF">
        <w:trPr>
          <w:trHeight w:val="20"/>
        </w:trPr>
        <w:tc>
          <w:tcPr>
            <w:tcW w:w="2695" w:type="pct"/>
            <w:shd w:val="clear" w:color="auto" w:fill="CCC0D9"/>
            <w:vAlign w:val="center"/>
          </w:tcPr>
          <w:p w14:paraId="232F8998"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non-haematological malignancies receiving chemotherapy or radiotherapy (currently or anticipated)</w:t>
            </w:r>
          </w:p>
        </w:tc>
        <w:tc>
          <w:tcPr>
            <w:tcW w:w="768" w:type="pct"/>
            <w:tcBorders>
              <w:bottom w:val="single" w:sz="4" w:space="0" w:color="A6A6A6" w:themeColor="background1" w:themeShade="A6"/>
            </w:tcBorders>
            <w:shd w:val="clear" w:color="auto" w:fill="auto"/>
            <w:vAlign w:val="center"/>
          </w:tcPr>
          <w:p w14:paraId="71BE59FE"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2E8F53F2"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4B942954"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11C4D691" w14:textId="77777777" w:rsidTr="009E31CF">
        <w:trPr>
          <w:trHeight w:val="20"/>
        </w:trPr>
        <w:tc>
          <w:tcPr>
            <w:tcW w:w="2695" w:type="pct"/>
            <w:shd w:val="clear" w:color="auto" w:fill="CCC0D9"/>
            <w:vAlign w:val="center"/>
          </w:tcPr>
          <w:p w14:paraId="0C54A16E" w14:textId="77777777" w:rsidR="00483C77" w:rsidRPr="009E31CF" w:rsidRDefault="00483C77" w:rsidP="009E31CF">
            <w:pPr>
              <w:spacing w:line="240" w:lineRule="auto"/>
              <w:rPr>
                <w:rFonts w:asciiTheme="minorHAnsi" w:hAnsiTheme="minorHAnsi" w:cstheme="minorHAnsi"/>
                <w:b/>
                <w:color w:val="000000"/>
                <w:sz w:val="16"/>
                <w:szCs w:val="16"/>
              </w:rPr>
            </w:pPr>
            <w:r w:rsidRPr="009E31CF">
              <w:rPr>
                <w:rFonts w:asciiTheme="minorHAnsi" w:hAnsiTheme="minorHAnsi" w:cstheme="minorHAnsi"/>
                <w:b/>
                <w:color w:val="000000"/>
                <w:sz w:val="16"/>
                <w:szCs w:val="16"/>
              </w:rPr>
              <w:t>Proven or presumptive cerebrospinal fluid (CSF) leak, including</w:t>
            </w:r>
          </w:p>
        </w:tc>
        <w:tc>
          <w:tcPr>
            <w:tcW w:w="768" w:type="pct"/>
            <w:shd w:val="clear" w:color="auto" w:fill="auto"/>
            <w:vAlign w:val="center"/>
          </w:tcPr>
          <w:p w14:paraId="25C1B129"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12B62E37"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7217AFEC"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1EC426F6" w14:textId="77777777" w:rsidTr="009E31CF">
        <w:trPr>
          <w:trHeight w:val="20"/>
        </w:trPr>
        <w:tc>
          <w:tcPr>
            <w:tcW w:w="2695" w:type="pct"/>
            <w:shd w:val="clear" w:color="auto" w:fill="CCC0D9"/>
            <w:vAlign w:val="center"/>
          </w:tcPr>
          <w:p w14:paraId="47682675"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cochlear implants</w:t>
            </w:r>
          </w:p>
        </w:tc>
        <w:tc>
          <w:tcPr>
            <w:tcW w:w="768" w:type="pct"/>
            <w:shd w:val="clear" w:color="auto" w:fill="E8E8E8"/>
            <w:vAlign w:val="center"/>
          </w:tcPr>
          <w:p w14:paraId="01982FAC"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466992CE"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5B31C0F4"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37FD5446" w14:textId="77777777" w:rsidTr="009E31CF">
        <w:trPr>
          <w:trHeight w:val="113"/>
        </w:trPr>
        <w:tc>
          <w:tcPr>
            <w:tcW w:w="2695" w:type="pct"/>
            <w:shd w:val="clear" w:color="auto" w:fill="CCC0D9"/>
            <w:vAlign w:val="center"/>
          </w:tcPr>
          <w:p w14:paraId="6617686F"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intracranial shunts</w:t>
            </w:r>
          </w:p>
        </w:tc>
        <w:tc>
          <w:tcPr>
            <w:tcW w:w="768" w:type="pct"/>
            <w:tcBorders>
              <w:bottom w:val="single" w:sz="4" w:space="0" w:color="A6A6A6" w:themeColor="background1" w:themeShade="A6"/>
            </w:tcBorders>
            <w:shd w:val="clear" w:color="auto" w:fill="E8E8E8"/>
            <w:vAlign w:val="center"/>
          </w:tcPr>
          <w:p w14:paraId="2B0E4597"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5D906E79"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08EAEFC7"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23062113" w14:textId="77777777" w:rsidTr="009E31CF">
        <w:trPr>
          <w:trHeight w:val="20"/>
        </w:trPr>
        <w:tc>
          <w:tcPr>
            <w:tcW w:w="2695" w:type="pct"/>
            <w:shd w:val="clear" w:color="auto" w:fill="CCC0D9"/>
            <w:vAlign w:val="center"/>
          </w:tcPr>
          <w:p w14:paraId="0C96D700" w14:textId="78B0F398" w:rsidR="00483C77" w:rsidRPr="009E31CF" w:rsidRDefault="00483C77" w:rsidP="009E31CF">
            <w:pPr>
              <w:spacing w:line="240" w:lineRule="auto"/>
              <w:rPr>
                <w:rFonts w:asciiTheme="minorHAnsi" w:hAnsiTheme="minorHAnsi" w:cstheme="minorHAnsi"/>
                <w:b/>
                <w:color w:val="000000"/>
                <w:sz w:val="16"/>
                <w:szCs w:val="16"/>
              </w:rPr>
            </w:pPr>
            <w:r w:rsidRPr="009E31CF">
              <w:rPr>
                <w:rFonts w:asciiTheme="minorHAnsi" w:hAnsiTheme="minorHAnsi" w:cstheme="minorHAnsi"/>
                <w:b/>
                <w:color w:val="000000"/>
                <w:sz w:val="16"/>
                <w:szCs w:val="16"/>
              </w:rPr>
              <w:t>Chronic respiratory disease, including</w:t>
            </w:r>
            <w:r w:rsidR="008D7B20" w:rsidRPr="00F31F73">
              <w:rPr>
                <w:rFonts w:asciiTheme="minorHAnsi" w:hAnsiTheme="minorHAnsi" w:cstheme="minorHAnsi"/>
                <w:sz w:val="14"/>
                <w:szCs w:val="14"/>
                <w:vertAlign w:val="superscript"/>
              </w:rPr>
              <w:t>¶</w:t>
            </w:r>
          </w:p>
        </w:tc>
        <w:tc>
          <w:tcPr>
            <w:tcW w:w="768" w:type="pct"/>
            <w:shd w:val="clear" w:color="auto" w:fill="auto"/>
            <w:vAlign w:val="center"/>
          </w:tcPr>
          <w:p w14:paraId="11C2DF1D"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7BF61347"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2A4E9064"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6F25193F" w14:textId="77777777" w:rsidTr="009E31CF">
        <w:trPr>
          <w:trHeight w:val="20"/>
        </w:trPr>
        <w:tc>
          <w:tcPr>
            <w:tcW w:w="2695" w:type="pct"/>
            <w:shd w:val="clear" w:color="auto" w:fill="CCC0D9"/>
            <w:vAlign w:val="center"/>
          </w:tcPr>
          <w:p w14:paraId="3D2F9A16"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 suppurative lung disease, bronchiectasis and cystic fibrosis</w:t>
            </w:r>
          </w:p>
        </w:tc>
        <w:tc>
          <w:tcPr>
            <w:tcW w:w="768" w:type="pct"/>
            <w:shd w:val="clear" w:color="auto" w:fill="E8E8E8"/>
            <w:vAlign w:val="center"/>
          </w:tcPr>
          <w:p w14:paraId="66372312"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6C4944A6"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51DB8FB6"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4A8D6C42" w14:textId="77777777" w:rsidTr="009E31CF">
        <w:trPr>
          <w:trHeight w:val="20"/>
        </w:trPr>
        <w:tc>
          <w:tcPr>
            <w:tcW w:w="2695" w:type="pct"/>
            <w:shd w:val="clear" w:color="auto" w:fill="CCC0D9"/>
            <w:vAlign w:val="center"/>
          </w:tcPr>
          <w:p w14:paraId="7D4687CF"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chronic lung disease in preterm infants</w:t>
            </w:r>
          </w:p>
        </w:tc>
        <w:tc>
          <w:tcPr>
            <w:tcW w:w="768" w:type="pct"/>
            <w:tcBorders>
              <w:bottom w:val="single" w:sz="4" w:space="0" w:color="A6A6A6" w:themeColor="background1" w:themeShade="A6"/>
            </w:tcBorders>
            <w:shd w:val="clear" w:color="auto" w:fill="E8E8E8"/>
            <w:vAlign w:val="center"/>
          </w:tcPr>
          <w:p w14:paraId="15D50F35"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29B5133C"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22AFBA5E"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60F14D5C" w14:textId="77777777" w:rsidTr="009E31CF">
        <w:trPr>
          <w:trHeight w:val="20"/>
        </w:trPr>
        <w:tc>
          <w:tcPr>
            <w:tcW w:w="2695" w:type="pct"/>
            <w:shd w:val="clear" w:color="auto" w:fill="CCC0D9"/>
            <w:vAlign w:val="center"/>
          </w:tcPr>
          <w:p w14:paraId="2E7EFE17"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chronic obstructive pulmonary disease (COPD) and chronic emphysema</w:t>
            </w:r>
          </w:p>
        </w:tc>
        <w:tc>
          <w:tcPr>
            <w:tcW w:w="768" w:type="pct"/>
            <w:tcBorders>
              <w:bottom w:val="single" w:sz="4" w:space="0" w:color="A6A6A6" w:themeColor="background1" w:themeShade="A6"/>
            </w:tcBorders>
            <w:shd w:val="clear" w:color="auto" w:fill="auto"/>
            <w:vAlign w:val="center"/>
          </w:tcPr>
          <w:p w14:paraId="58E6713A"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1B9292BE"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6114403D"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641DEED3" w14:textId="77777777" w:rsidTr="009E31CF">
        <w:trPr>
          <w:trHeight w:val="20"/>
        </w:trPr>
        <w:tc>
          <w:tcPr>
            <w:tcW w:w="2695" w:type="pct"/>
            <w:shd w:val="clear" w:color="auto" w:fill="CCC0D9"/>
            <w:vAlign w:val="center"/>
          </w:tcPr>
          <w:p w14:paraId="24319D29"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severe asthma (defined as requiring frequent hospital visits or the use of multiple medications)</w:t>
            </w:r>
          </w:p>
        </w:tc>
        <w:tc>
          <w:tcPr>
            <w:tcW w:w="768" w:type="pct"/>
            <w:tcBorders>
              <w:bottom w:val="single" w:sz="4" w:space="0" w:color="A6A6A6" w:themeColor="background1" w:themeShade="A6"/>
            </w:tcBorders>
            <w:shd w:val="clear" w:color="auto" w:fill="auto"/>
            <w:vAlign w:val="center"/>
          </w:tcPr>
          <w:p w14:paraId="1E670676" w14:textId="77777777" w:rsidR="00483C77" w:rsidRPr="009E31CF" w:rsidRDefault="00483C77" w:rsidP="00C90EA7">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716FAB2A" w14:textId="77777777" w:rsidR="00483C77" w:rsidRPr="009E31CF" w:rsidRDefault="00483C77" w:rsidP="00C90EA7">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64066357" w14:textId="77777777" w:rsidR="00483C77" w:rsidRPr="009E31CF" w:rsidRDefault="00483C77" w:rsidP="00C90EA7">
            <w:pPr>
              <w:pStyle w:val="TableText1"/>
              <w:spacing w:after="0"/>
              <w:jc w:val="center"/>
              <w:rPr>
                <w:rFonts w:asciiTheme="minorHAnsi" w:hAnsiTheme="minorHAnsi" w:cstheme="minorHAnsi"/>
                <w:sz w:val="16"/>
                <w:szCs w:val="16"/>
              </w:rPr>
            </w:pPr>
          </w:p>
        </w:tc>
      </w:tr>
      <w:tr w:rsidR="005D5133" w:rsidRPr="00D57407" w14:paraId="3FD468FD" w14:textId="77777777" w:rsidTr="009E31CF">
        <w:trPr>
          <w:trHeight w:val="20"/>
        </w:trPr>
        <w:tc>
          <w:tcPr>
            <w:tcW w:w="2695" w:type="pct"/>
            <w:shd w:val="clear" w:color="auto" w:fill="CCC0D9"/>
            <w:vAlign w:val="center"/>
          </w:tcPr>
          <w:p w14:paraId="6B5FF5E8"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interstitial and fibrotic lung disease</w:t>
            </w:r>
          </w:p>
        </w:tc>
        <w:tc>
          <w:tcPr>
            <w:tcW w:w="768" w:type="pct"/>
            <w:tcBorders>
              <w:bottom w:val="single" w:sz="4" w:space="0" w:color="A6A6A6" w:themeColor="background1" w:themeShade="A6"/>
            </w:tcBorders>
            <w:shd w:val="clear" w:color="auto" w:fill="auto"/>
            <w:vAlign w:val="center"/>
          </w:tcPr>
          <w:p w14:paraId="5B69BCA4"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0276C70F"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21BF3802"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596C9E78" w14:textId="77777777" w:rsidTr="009E31CF">
        <w:trPr>
          <w:trHeight w:val="20"/>
        </w:trPr>
        <w:tc>
          <w:tcPr>
            <w:tcW w:w="2695" w:type="pct"/>
            <w:shd w:val="clear" w:color="auto" w:fill="CCC0D9"/>
            <w:vAlign w:val="center"/>
          </w:tcPr>
          <w:p w14:paraId="52CC8E98" w14:textId="17D4CD2D" w:rsidR="00483C77" w:rsidRPr="009E31CF" w:rsidRDefault="00483C77" w:rsidP="009E31CF">
            <w:pPr>
              <w:spacing w:line="240" w:lineRule="auto"/>
              <w:rPr>
                <w:rFonts w:asciiTheme="minorHAnsi" w:hAnsiTheme="minorHAnsi" w:cstheme="minorHAnsi"/>
                <w:b/>
                <w:color w:val="000000"/>
                <w:sz w:val="16"/>
                <w:szCs w:val="16"/>
              </w:rPr>
            </w:pPr>
            <w:r w:rsidRPr="009E31CF">
              <w:rPr>
                <w:rFonts w:asciiTheme="minorHAnsi" w:hAnsiTheme="minorHAnsi" w:cstheme="minorHAnsi"/>
                <w:b/>
                <w:color w:val="000000"/>
                <w:sz w:val="16"/>
                <w:szCs w:val="16"/>
              </w:rPr>
              <w:t>Chronic renal disease</w:t>
            </w:r>
          </w:p>
        </w:tc>
        <w:tc>
          <w:tcPr>
            <w:tcW w:w="768" w:type="pct"/>
            <w:shd w:val="clear" w:color="auto" w:fill="auto"/>
            <w:vAlign w:val="center"/>
          </w:tcPr>
          <w:p w14:paraId="0C875183"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3E4EBE78"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6DEDDE0E"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7979C302" w14:textId="77777777" w:rsidTr="009E31CF">
        <w:trPr>
          <w:trHeight w:val="20"/>
        </w:trPr>
        <w:tc>
          <w:tcPr>
            <w:tcW w:w="2695" w:type="pct"/>
            <w:shd w:val="clear" w:color="auto" w:fill="CCC0D9"/>
            <w:vAlign w:val="center"/>
          </w:tcPr>
          <w:p w14:paraId="37084446"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relapsing or persistent nephrotic syndrome</w:t>
            </w:r>
          </w:p>
        </w:tc>
        <w:tc>
          <w:tcPr>
            <w:tcW w:w="768" w:type="pct"/>
            <w:shd w:val="clear" w:color="auto" w:fill="E8E8E8"/>
            <w:vAlign w:val="center"/>
          </w:tcPr>
          <w:p w14:paraId="533013BC"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7671F91F"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0D6F14B3"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6727A831" w14:textId="77777777" w:rsidTr="009E31CF">
        <w:trPr>
          <w:trHeight w:val="20"/>
        </w:trPr>
        <w:tc>
          <w:tcPr>
            <w:tcW w:w="2695" w:type="pct"/>
            <w:shd w:val="clear" w:color="auto" w:fill="CCC0D9"/>
            <w:vAlign w:val="center"/>
          </w:tcPr>
          <w:p w14:paraId="4F3B1578"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chronic renal impairment – eGFR &lt;30 mL/min (stage 4 disease)</w:t>
            </w:r>
          </w:p>
        </w:tc>
        <w:tc>
          <w:tcPr>
            <w:tcW w:w="768" w:type="pct"/>
            <w:tcBorders>
              <w:bottom w:val="single" w:sz="4" w:space="0" w:color="A6A6A6" w:themeColor="background1" w:themeShade="A6"/>
            </w:tcBorders>
            <w:shd w:val="clear" w:color="auto" w:fill="E8E8E8"/>
            <w:vAlign w:val="center"/>
          </w:tcPr>
          <w:p w14:paraId="28B36C3F"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Pr="009E31CF">
              <w:rPr>
                <w:rFonts w:asciiTheme="minorHAnsi" w:hAnsiTheme="minorHAnsi" w:cstheme="minorHAnsi"/>
                <w:sz w:val="16"/>
                <w:szCs w:val="16"/>
              </w:rPr>
              <w:t>*</w:t>
            </w:r>
          </w:p>
        </w:tc>
        <w:tc>
          <w:tcPr>
            <w:tcW w:w="768" w:type="pct"/>
            <w:shd w:val="clear" w:color="auto" w:fill="auto"/>
            <w:vAlign w:val="center"/>
          </w:tcPr>
          <w:p w14:paraId="064C6397"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3B953BE6"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7B9FA782" w14:textId="77777777" w:rsidTr="009E31CF">
        <w:trPr>
          <w:trHeight w:val="20"/>
        </w:trPr>
        <w:tc>
          <w:tcPr>
            <w:tcW w:w="2695" w:type="pct"/>
            <w:shd w:val="clear" w:color="auto" w:fill="CCC0D9"/>
            <w:vAlign w:val="center"/>
          </w:tcPr>
          <w:p w14:paraId="776C3E22" w14:textId="377DF3AC" w:rsidR="00483C77" w:rsidRPr="009E31CF" w:rsidRDefault="00483C77" w:rsidP="009E31CF">
            <w:pPr>
              <w:spacing w:line="240" w:lineRule="auto"/>
              <w:rPr>
                <w:rFonts w:asciiTheme="minorHAnsi" w:hAnsiTheme="minorHAnsi" w:cstheme="minorHAnsi"/>
                <w:b/>
                <w:color w:val="000000"/>
                <w:sz w:val="16"/>
                <w:szCs w:val="16"/>
              </w:rPr>
            </w:pPr>
            <w:r w:rsidRPr="009E31CF">
              <w:rPr>
                <w:rFonts w:asciiTheme="minorHAnsi" w:hAnsiTheme="minorHAnsi" w:cstheme="minorHAnsi"/>
                <w:b/>
                <w:color w:val="000000"/>
                <w:sz w:val="16"/>
                <w:szCs w:val="16"/>
              </w:rPr>
              <w:t>Cardiac disease, including</w:t>
            </w:r>
            <w:r w:rsidR="008D7B20" w:rsidRPr="00F31F73">
              <w:rPr>
                <w:rFonts w:asciiTheme="minorHAnsi" w:hAnsiTheme="minorHAnsi" w:cstheme="minorHAnsi"/>
                <w:sz w:val="14"/>
                <w:szCs w:val="14"/>
                <w:vertAlign w:val="superscript"/>
              </w:rPr>
              <w:t>¶</w:t>
            </w:r>
          </w:p>
        </w:tc>
        <w:tc>
          <w:tcPr>
            <w:tcW w:w="768" w:type="pct"/>
            <w:shd w:val="clear" w:color="auto" w:fill="auto"/>
            <w:vAlign w:val="center"/>
          </w:tcPr>
          <w:p w14:paraId="0E98927E"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0E38B43C"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306707B6"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76DF201F" w14:textId="77777777" w:rsidTr="009E31CF">
        <w:trPr>
          <w:trHeight w:val="20"/>
        </w:trPr>
        <w:tc>
          <w:tcPr>
            <w:tcW w:w="2695" w:type="pct"/>
            <w:shd w:val="clear" w:color="auto" w:fill="CCC0D9"/>
            <w:vAlign w:val="center"/>
          </w:tcPr>
          <w:p w14:paraId="36EA10A0"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congenital heart disease</w:t>
            </w:r>
          </w:p>
        </w:tc>
        <w:tc>
          <w:tcPr>
            <w:tcW w:w="768" w:type="pct"/>
            <w:shd w:val="clear" w:color="auto" w:fill="E8E8E8"/>
            <w:vAlign w:val="center"/>
          </w:tcPr>
          <w:p w14:paraId="4C8CA144"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Pr="009E31CF">
              <w:rPr>
                <w:sz w:val="16"/>
                <w:szCs w:val="16"/>
                <w:lang w:eastAsia="en-US"/>
              </w:rPr>
              <w:t>†</w:t>
            </w:r>
          </w:p>
        </w:tc>
        <w:tc>
          <w:tcPr>
            <w:tcW w:w="768" w:type="pct"/>
            <w:shd w:val="clear" w:color="auto" w:fill="auto"/>
            <w:vAlign w:val="center"/>
          </w:tcPr>
          <w:p w14:paraId="4A13910F"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6BB0C0BE"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3CF709FD" w14:textId="77777777" w:rsidTr="009E31CF">
        <w:trPr>
          <w:trHeight w:val="20"/>
        </w:trPr>
        <w:tc>
          <w:tcPr>
            <w:tcW w:w="2695" w:type="pct"/>
            <w:shd w:val="clear" w:color="auto" w:fill="CCC0D9"/>
            <w:vAlign w:val="center"/>
          </w:tcPr>
          <w:p w14:paraId="68E04310"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coronary artery disease</w:t>
            </w:r>
          </w:p>
        </w:tc>
        <w:tc>
          <w:tcPr>
            <w:tcW w:w="768" w:type="pct"/>
            <w:shd w:val="clear" w:color="auto" w:fill="E8E8E8"/>
            <w:vAlign w:val="center"/>
          </w:tcPr>
          <w:p w14:paraId="7E79BC1D"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Pr="009E31CF">
              <w:rPr>
                <w:sz w:val="16"/>
                <w:szCs w:val="16"/>
                <w:lang w:eastAsia="en-US"/>
              </w:rPr>
              <w:t>†</w:t>
            </w:r>
          </w:p>
        </w:tc>
        <w:tc>
          <w:tcPr>
            <w:tcW w:w="768" w:type="pct"/>
            <w:shd w:val="clear" w:color="auto" w:fill="auto"/>
            <w:vAlign w:val="center"/>
          </w:tcPr>
          <w:p w14:paraId="1F3295AE"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72A4F279"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1E1A2124" w14:textId="77777777" w:rsidTr="009E31CF">
        <w:trPr>
          <w:trHeight w:val="20"/>
        </w:trPr>
        <w:tc>
          <w:tcPr>
            <w:tcW w:w="2695" w:type="pct"/>
            <w:shd w:val="clear" w:color="auto" w:fill="CCC0D9"/>
            <w:vAlign w:val="center"/>
          </w:tcPr>
          <w:p w14:paraId="6C46F677"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heart failure</w:t>
            </w:r>
          </w:p>
        </w:tc>
        <w:tc>
          <w:tcPr>
            <w:tcW w:w="768" w:type="pct"/>
            <w:shd w:val="clear" w:color="auto" w:fill="E8E8E8"/>
            <w:vAlign w:val="center"/>
          </w:tcPr>
          <w:p w14:paraId="796A1EF9"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Pr="009E31CF">
              <w:rPr>
                <w:sz w:val="16"/>
                <w:szCs w:val="16"/>
                <w:lang w:eastAsia="en-US"/>
              </w:rPr>
              <w:t>†</w:t>
            </w:r>
          </w:p>
        </w:tc>
        <w:tc>
          <w:tcPr>
            <w:tcW w:w="768" w:type="pct"/>
            <w:shd w:val="clear" w:color="auto" w:fill="auto"/>
            <w:vAlign w:val="center"/>
          </w:tcPr>
          <w:p w14:paraId="77333E73"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03EFB5B2"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04A17D3A" w14:textId="77777777" w:rsidTr="009E31CF">
        <w:trPr>
          <w:trHeight w:val="20"/>
        </w:trPr>
        <w:tc>
          <w:tcPr>
            <w:tcW w:w="2695" w:type="pct"/>
            <w:shd w:val="clear" w:color="auto" w:fill="CCC0D9"/>
            <w:vAlign w:val="center"/>
          </w:tcPr>
          <w:p w14:paraId="6B7633BF"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Children born less than 28 weeks gestation</w:t>
            </w:r>
          </w:p>
        </w:tc>
        <w:tc>
          <w:tcPr>
            <w:tcW w:w="768" w:type="pct"/>
            <w:shd w:val="clear" w:color="auto" w:fill="E8E8E8"/>
            <w:vAlign w:val="center"/>
          </w:tcPr>
          <w:p w14:paraId="30AC2624"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Pr="009E31CF">
              <w:rPr>
                <w:sz w:val="16"/>
                <w:szCs w:val="16"/>
                <w:lang w:eastAsia="en-US"/>
              </w:rPr>
              <w:t>†</w:t>
            </w:r>
          </w:p>
        </w:tc>
        <w:tc>
          <w:tcPr>
            <w:tcW w:w="768" w:type="pct"/>
            <w:shd w:val="clear" w:color="auto" w:fill="auto"/>
            <w:vAlign w:val="center"/>
          </w:tcPr>
          <w:p w14:paraId="57400161"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4D81B8F5"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373FBB87" w14:textId="77777777" w:rsidTr="009E31CF">
        <w:trPr>
          <w:trHeight w:val="20"/>
        </w:trPr>
        <w:tc>
          <w:tcPr>
            <w:tcW w:w="2695" w:type="pct"/>
            <w:shd w:val="clear" w:color="auto" w:fill="CCC0D9"/>
            <w:vAlign w:val="center"/>
          </w:tcPr>
          <w:p w14:paraId="424DD4F7"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Trisomy 21</w:t>
            </w:r>
          </w:p>
        </w:tc>
        <w:tc>
          <w:tcPr>
            <w:tcW w:w="768" w:type="pct"/>
            <w:tcBorders>
              <w:bottom w:val="single" w:sz="4" w:space="0" w:color="A6A6A6" w:themeColor="background1" w:themeShade="A6"/>
            </w:tcBorders>
            <w:shd w:val="clear" w:color="auto" w:fill="E8E8E8"/>
            <w:vAlign w:val="center"/>
          </w:tcPr>
          <w:p w14:paraId="3EEFD8BA" w14:textId="77777777" w:rsidR="00483C77" w:rsidRPr="009E31CF" w:rsidRDefault="00483C77" w:rsidP="008F277D">
            <w:pPr>
              <w:pStyle w:val="TableText1"/>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Pr="009E31CF">
              <w:rPr>
                <w:sz w:val="16"/>
                <w:szCs w:val="16"/>
                <w:lang w:eastAsia="en-US"/>
              </w:rPr>
              <w:t>†</w:t>
            </w:r>
          </w:p>
        </w:tc>
        <w:tc>
          <w:tcPr>
            <w:tcW w:w="768" w:type="pct"/>
            <w:tcBorders>
              <w:bottom w:val="single" w:sz="4" w:space="0" w:color="A6A6A6" w:themeColor="background1" w:themeShade="A6"/>
            </w:tcBorders>
            <w:shd w:val="clear" w:color="auto" w:fill="auto"/>
            <w:vAlign w:val="center"/>
          </w:tcPr>
          <w:p w14:paraId="125A3EF9"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2B2EA369"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482AE51A" w14:textId="77777777" w:rsidTr="009E31CF">
        <w:trPr>
          <w:trHeight w:val="20"/>
        </w:trPr>
        <w:tc>
          <w:tcPr>
            <w:tcW w:w="2695" w:type="pct"/>
            <w:shd w:val="clear" w:color="auto" w:fill="CCC0D9"/>
            <w:vAlign w:val="center"/>
          </w:tcPr>
          <w:p w14:paraId="2309EF5B" w14:textId="75F9E513" w:rsidR="00483C77" w:rsidRPr="009E31CF" w:rsidRDefault="00483C77" w:rsidP="009E31CF">
            <w:pPr>
              <w:spacing w:line="240" w:lineRule="auto"/>
              <w:rPr>
                <w:rFonts w:asciiTheme="minorHAnsi" w:hAnsiTheme="minorHAnsi" w:cstheme="minorHAnsi"/>
                <w:b/>
                <w:color w:val="000000"/>
                <w:sz w:val="16"/>
                <w:szCs w:val="16"/>
              </w:rPr>
            </w:pPr>
            <w:r w:rsidRPr="009E31CF">
              <w:rPr>
                <w:rFonts w:asciiTheme="minorHAnsi" w:hAnsiTheme="minorHAnsi" w:cstheme="minorHAnsi"/>
                <w:b/>
                <w:color w:val="000000"/>
                <w:sz w:val="16"/>
                <w:szCs w:val="16"/>
              </w:rPr>
              <w:t>Chronic liver disease, including</w:t>
            </w:r>
            <w:r w:rsidR="008D7B20" w:rsidRPr="00F31F73">
              <w:rPr>
                <w:rFonts w:asciiTheme="minorHAnsi" w:hAnsiTheme="minorHAnsi" w:cstheme="minorHAnsi"/>
                <w:sz w:val="14"/>
                <w:szCs w:val="14"/>
                <w:vertAlign w:val="superscript"/>
              </w:rPr>
              <w:t>¶</w:t>
            </w:r>
          </w:p>
        </w:tc>
        <w:tc>
          <w:tcPr>
            <w:tcW w:w="768" w:type="pct"/>
            <w:shd w:val="clear" w:color="auto" w:fill="auto"/>
            <w:vAlign w:val="center"/>
          </w:tcPr>
          <w:p w14:paraId="4F302A35"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05D01D48" w14:textId="77777777" w:rsidR="00483C77" w:rsidRPr="009E31CF" w:rsidRDefault="00483C77" w:rsidP="008F277D">
            <w:pPr>
              <w:pStyle w:val="TableText1"/>
              <w:jc w:val="center"/>
              <w:rPr>
                <w:rFonts w:asciiTheme="minorHAnsi" w:hAnsiTheme="minorHAnsi" w:cstheme="minorHAnsi"/>
                <w:sz w:val="16"/>
                <w:szCs w:val="16"/>
              </w:rPr>
            </w:pPr>
          </w:p>
        </w:tc>
        <w:tc>
          <w:tcPr>
            <w:tcW w:w="768" w:type="pct"/>
            <w:shd w:val="clear" w:color="auto" w:fill="auto"/>
            <w:vAlign w:val="center"/>
          </w:tcPr>
          <w:p w14:paraId="1C000775" w14:textId="77777777" w:rsidR="00483C77" w:rsidRPr="009E31CF" w:rsidRDefault="00483C77" w:rsidP="008F277D">
            <w:pPr>
              <w:pStyle w:val="TableText1"/>
              <w:jc w:val="center"/>
              <w:rPr>
                <w:rFonts w:asciiTheme="minorHAnsi" w:hAnsiTheme="minorHAnsi" w:cstheme="minorHAnsi"/>
                <w:sz w:val="16"/>
                <w:szCs w:val="16"/>
              </w:rPr>
            </w:pPr>
          </w:p>
        </w:tc>
      </w:tr>
      <w:tr w:rsidR="005D5133" w:rsidRPr="00D57407" w14:paraId="41458FC4" w14:textId="77777777" w:rsidTr="009E31CF">
        <w:trPr>
          <w:trHeight w:val="20"/>
        </w:trPr>
        <w:tc>
          <w:tcPr>
            <w:tcW w:w="2695" w:type="pct"/>
            <w:shd w:val="clear" w:color="auto" w:fill="CCC0D9"/>
            <w:vAlign w:val="center"/>
          </w:tcPr>
          <w:p w14:paraId="30A3E8DE"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chronic hepatitis</w:t>
            </w:r>
          </w:p>
        </w:tc>
        <w:tc>
          <w:tcPr>
            <w:tcW w:w="768" w:type="pct"/>
            <w:shd w:val="clear" w:color="auto" w:fill="auto"/>
            <w:vAlign w:val="center"/>
          </w:tcPr>
          <w:p w14:paraId="1B295EFF"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1D2E2804"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0EC1F0F5"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31B8ED42" w14:textId="77777777" w:rsidTr="009E31CF">
        <w:trPr>
          <w:trHeight w:val="20"/>
        </w:trPr>
        <w:tc>
          <w:tcPr>
            <w:tcW w:w="2695" w:type="pct"/>
            <w:shd w:val="clear" w:color="auto" w:fill="CCC0D9"/>
            <w:vAlign w:val="center"/>
          </w:tcPr>
          <w:p w14:paraId="24A924DA"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cirrhosis</w:t>
            </w:r>
          </w:p>
        </w:tc>
        <w:tc>
          <w:tcPr>
            <w:tcW w:w="768" w:type="pct"/>
            <w:shd w:val="clear" w:color="auto" w:fill="auto"/>
            <w:vAlign w:val="center"/>
          </w:tcPr>
          <w:p w14:paraId="07F78016"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3CF98B02"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4C569C59"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742BB068" w14:textId="77777777" w:rsidTr="009E31CF">
        <w:trPr>
          <w:trHeight w:val="20"/>
        </w:trPr>
        <w:tc>
          <w:tcPr>
            <w:tcW w:w="2695" w:type="pct"/>
            <w:shd w:val="clear" w:color="auto" w:fill="CCC0D9"/>
            <w:vAlign w:val="center"/>
          </w:tcPr>
          <w:p w14:paraId="1E72B82C" w14:textId="77777777" w:rsidR="00483C77" w:rsidRPr="009E31CF" w:rsidRDefault="00483C77" w:rsidP="009E31CF">
            <w:pPr>
              <w:spacing w:line="240" w:lineRule="auto"/>
              <w:ind w:left="170"/>
              <w:rPr>
                <w:rFonts w:asciiTheme="minorHAnsi" w:hAnsiTheme="minorHAnsi" w:cstheme="minorHAnsi"/>
                <w:color w:val="000000"/>
                <w:sz w:val="16"/>
                <w:szCs w:val="16"/>
              </w:rPr>
            </w:pPr>
            <w:r w:rsidRPr="009E31CF">
              <w:rPr>
                <w:rFonts w:asciiTheme="minorHAnsi" w:hAnsiTheme="minorHAnsi" w:cstheme="minorHAnsi"/>
                <w:color w:val="000000"/>
                <w:sz w:val="16"/>
                <w:szCs w:val="16"/>
              </w:rPr>
              <w:t>– biliary atresia</w:t>
            </w:r>
          </w:p>
        </w:tc>
        <w:tc>
          <w:tcPr>
            <w:tcW w:w="768" w:type="pct"/>
            <w:shd w:val="clear" w:color="auto" w:fill="auto"/>
            <w:vAlign w:val="center"/>
          </w:tcPr>
          <w:p w14:paraId="3210367E" w14:textId="77777777" w:rsidR="00483C77" w:rsidRPr="009E31CF" w:rsidRDefault="00483C77" w:rsidP="00D32BE6">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330756B1" w14:textId="77777777" w:rsidR="00483C77" w:rsidRPr="009E31CF" w:rsidRDefault="00483C77" w:rsidP="00D32BE6">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3B9592C0" w14:textId="77777777" w:rsidR="00483C77" w:rsidRPr="009E31CF" w:rsidRDefault="00483C77" w:rsidP="00D32BE6">
            <w:pPr>
              <w:pStyle w:val="TableText1"/>
              <w:spacing w:after="0"/>
              <w:jc w:val="center"/>
              <w:rPr>
                <w:rFonts w:asciiTheme="minorHAnsi" w:hAnsiTheme="minorHAnsi" w:cstheme="minorHAnsi"/>
                <w:sz w:val="16"/>
                <w:szCs w:val="16"/>
              </w:rPr>
            </w:pPr>
          </w:p>
        </w:tc>
      </w:tr>
      <w:tr w:rsidR="005D5133" w:rsidRPr="00D57407" w14:paraId="559AF27C" w14:textId="77777777" w:rsidTr="009E31CF">
        <w:trPr>
          <w:trHeight w:val="20"/>
        </w:trPr>
        <w:tc>
          <w:tcPr>
            <w:tcW w:w="2695" w:type="pct"/>
            <w:shd w:val="clear" w:color="auto" w:fill="CCC0D9"/>
            <w:vAlign w:val="center"/>
          </w:tcPr>
          <w:p w14:paraId="4B1B6BC2"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Diabetes</w:t>
            </w:r>
          </w:p>
        </w:tc>
        <w:tc>
          <w:tcPr>
            <w:tcW w:w="768" w:type="pct"/>
            <w:shd w:val="clear" w:color="auto" w:fill="auto"/>
            <w:vAlign w:val="center"/>
          </w:tcPr>
          <w:p w14:paraId="7601D38E" w14:textId="77777777" w:rsidR="00483C77" w:rsidRPr="009E31CF" w:rsidRDefault="00483C77" w:rsidP="009E31CF">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3F1DE5DF" w14:textId="77777777" w:rsidR="00483C77" w:rsidRPr="009E31CF" w:rsidRDefault="00483C77" w:rsidP="009E31CF">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79087C71" w14:textId="77777777" w:rsidR="00483C77" w:rsidRPr="009E31CF" w:rsidRDefault="00483C77" w:rsidP="009E31CF">
            <w:pPr>
              <w:pStyle w:val="TableText1"/>
              <w:spacing w:after="0"/>
              <w:jc w:val="center"/>
              <w:rPr>
                <w:rFonts w:asciiTheme="minorHAnsi" w:hAnsiTheme="minorHAnsi" w:cstheme="minorHAnsi"/>
                <w:sz w:val="16"/>
                <w:szCs w:val="16"/>
              </w:rPr>
            </w:pPr>
          </w:p>
        </w:tc>
      </w:tr>
      <w:tr w:rsidR="005D5133" w:rsidRPr="00D57407" w14:paraId="2C0D66DE" w14:textId="77777777" w:rsidTr="009E31CF">
        <w:trPr>
          <w:trHeight w:val="20"/>
        </w:trPr>
        <w:tc>
          <w:tcPr>
            <w:tcW w:w="2695" w:type="pct"/>
            <w:shd w:val="clear" w:color="auto" w:fill="CCC0D9"/>
            <w:vAlign w:val="center"/>
          </w:tcPr>
          <w:p w14:paraId="34556D91"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Smoking (current or in the immediate past)</w:t>
            </w:r>
          </w:p>
        </w:tc>
        <w:tc>
          <w:tcPr>
            <w:tcW w:w="768" w:type="pct"/>
            <w:shd w:val="clear" w:color="auto" w:fill="auto"/>
            <w:vAlign w:val="center"/>
          </w:tcPr>
          <w:p w14:paraId="4C592A71" w14:textId="77777777" w:rsidR="00483C77" w:rsidRPr="009E31CF" w:rsidRDefault="00483C77" w:rsidP="009E31CF">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13BE17EE" w14:textId="3DFA3306" w:rsidR="00483C77" w:rsidRPr="009E31CF" w:rsidRDefault="0089607F" w:rsidP="009E31CF">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r w:rsidR="000B31AF" w:rsidRPr="009E31CF">
              <w:rPr>
                <w:rFonts w:asciiTheme="minorHAnsi" w:hAnsiTheme="minorHAnsi" w:cstheme="minorHAnsi"/>
                <w:sz w:val="16"/>
                <w:szCs w:val="16"/>
                <w:vertAlign w:val="superscript"/>
              </w:rPr>
              <w:t>#</w:t>
            </w:r>
          </w:p>
        </w:tc>
        <w:tc>
          <w:tcPr>
            <w:tcW w:w="768" w:type="pct"/>
            <w:shd w:val="clear" w:color="auto" w:fill="auto"/>
            <w:vAlign w:val="center"/>
          </w:tcPr>
          <w:p w14:paraId="7EA8C7FE" w14:textId="77777777" w:rsidR="00483C77" w:rsidRPr="009E31CF" w:rsidRDefault="00483C77" w:rsidP="009E31CF">
            <w:pPr>
              <w:pStyle w:val="TableText1"/>
              <w:spacing w:after="0"/>
              <w:jc w:val="center"/>
              <w:rPr>
                <w:rFonts w:asciiTheme="minorHAnsi" w:hAnsiTheme="minorHAnsi" w:cstheme="minorHAnsi"/>
                <w:sz w:val="16"/>
                <w:szCs w:val="16"/>
              </w:rPr>
            </w:pPr>
          </w:p>
        </w:tc>
      </w:tr>
      <w:tr w:rsidR="005D5133" w:rsidRPr="00D57407" w14:paraId="1F2BCE1A" w14:textId="77777777" w:rsidTr="009E31CF">
        <w:trPr>
          <w:trHeight w:val="20"/>
        </w:trPr>
        <w:tc>
          <w:tcPr>
            <w:tcW w:w="2695" w:type="pct"/>
            <w:shd w:val="clear" w:color="auto" w:fill="CCC0D9"/>
            <w:vAlign w:val="center"/>
          </w:tcPr>
          <w:p w14:paraId="1930156A"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Harmful use of alcohol</w:t>
            </w:r>
            <w:r w:rsidR="00A22306" w:rsidRPr="009E31CF">
              <w:rPr>
                <w:rFonts w:asciiTheme="minorHAnsi" w:hAnsiTheme="minorHAnsi" w:cstheme="minorHAnsi"/>
                <w:color w:val="000000"/>
                <w:sz w:val="16"/>
                <w:szCs w:val="16"/>
                <w:vertAlign w:val="superscript"/>
              </w:rPr>
              <w:t>‡</w:t>
            </w:r>
          </w:p>
        </w:tc>
        <w:tc>
          <w:tcPr>
            <w:tcW w:w="768" w:type="pct"/>
            <w:shd w:val="clear" w:color="auto" w:fill="auto"/>
            <w:vAlign w:val="center"/>
          </w:tcPr>
          <w:p w14:paraId="64B230EA" w14:textId="77777777" w:rsidR="00483C77" w:rsidRPr="009E31CF" w:rsidRDefault="00483C77" w:rsidP="009E31CF">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230B5DB2" w14:textId="77777777" w:rsidR="00483C77" w:rsidRPr="009E31CF" w:rsidRDefault="00483C77" w:rsidP="009E31CF">
            <w:pPr>
              <w:pStyle w:val="TableText1"/>
              <w:spacing w:after="0"/>
              <w:jc w:val="center"/>
              <w:rPr>
                <w:rFonts w:asciiTheme="minorHAnsi" w:hAnsiTheme="minorHAnsi" w:cstheme="minorHAnsi"/>
                <w:sz w:val="16"/>
                <w:szCs w:val="16"/>
              </w:rPr>
            </w:pPr>
          </w:p>
        </w:tc>
        <w:tc>
          <w:tcPr>
            <w:tcW w:w="768" w:type="pct"/>
            <w:shd w:val="clear" w:color="auto" w:fill="auto"/>
            <w:vAlign w:val="center"/>
          </w:tcPr>
          <w:p w14:paraId="06164398" w14:textId="77777777" w:rsidR="00483C77" w:rsidRPr="009E31CF" w:rsidRDefault="00483C77" w:rsidP="009E31CF">
            <w:pPr>
              <w:pStyle w:val="TableText1"/>
              <w:spacing w:after="0"/>
              <w:jc w:val="center"/>
              <w:rPr>
                <w:rFonts w:asciiTheme="minorHAnsi" w:hAnsiTheme="minorHAnsi" w:cstheme="minorHAnsi"/>
                <w:sz w:val="16"/>
                <w:szCs w:val="16"/>
              </w:rPr>
            </w:pPr>
          </w:p>
        </w:tc>
      </w:tr>
      <w:tr w:rsidR="005D5133" w:rsidRPr="00D57407" w14:paraId="7B01AD2C" w14:textId="77777777" w:rsidTr="009E31CF">
        <w:trPr>
          <w:trHeight w:val="20"/>
        </w:trPr>
        <w:tc>
          <w:tcPr>
            <w:tcW w:w="2695" w:type="pct"/>
            <w:shd w:val="clear" w:color="auto" w:fill="CCC0D9"/>
            <w:vAlign w:val="center"/>
          </w:tcPr>
          <w:p w14:paraId="6E8E718B"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Defects in, or deficiency of, complement components, including factor H, factor D or properdin deficiency</w:t>
            </w:r>
          </w:p>
        </w:tc>
        <w:tc>
          <w:tcPr>
            <w:tcW w:w="768" w:type="pct"/>
            <w:shd w:val="clear" w:color="auto" w:fill="auto"/>
            <w:vAlign w:val="center"/>
          </w:tcPr>
          <w:p w14:paraId="69A6C0E1" w14:textId="77777777" w:rsidR="00483C77" w:rsidRPr="009E31CF" w:rsidRDefault="00483C77" w:rsidP="009E31CF">
            <w:pPr>
              <w:pStyle w:val="TableText1"/>
              <w:spacing w:after="0"/>
              <w:jc w:val="center"/>
              <w:rPr>
                <w:rFonts w:asciiTheme="minorHAnsi" w:hAnsiTheme="minorHAnsi" w:cstheme="minorHAnsi"/>
                <w:sz w:val="16"/>
                <w:szCs w:val="16"/>
              </w:rPr>
            </w:pPr>
          </w:p>
        </w:tc>
        <w:tc>
          <w:tcPr>
            <w:tcW w:w="768" w:type="pct"/>
            <w:shd w:val="clear" w:color="auto" w:fill="E8E8E8"/>
            <w:vAlign w:val="center"/>
          </w:tcPr>
          <w:p w14:paraId="3D425A6B" w14:textId="77777777" w:rsidR="00483C77" w:rsidRPr="009E31CF" w:rsidRDefault="00483C77" w:rsidP="009E31CF">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35939D2E" w14:textId="77777777" w:rsidR="00483C77" w:rsidRPr="009E31CF" w:rsidRDefault="00483C77" w:rsidP="009E31CF">
            <w:pPr>
              <w:pStyle w:val="TableText1"/>
              <w:spacing w:after="0"/>
              <w:jc w:val="center"/>
              <w:rPr>
                <w:rFonts w:asciiTheme="minorHAnsi" w:hAnsiTheme="minorHAnsi" w:cstheme="minorHAnsi"/>
                <w:sz w:val="16"/>
                <w:szCs w:val="16"/>
              </w:rPr>
            </w:pPr>
          </w:p>
        </w:tc>
      </w:tr>
      <w:tr w:rsidR="005D5133" w:rsidRPr="00D57407" w14:paraId="755FDFE0" w14:textId="77777777" w:rsidTr="009E31CF">
        <w:trPr>
          <w:trHeight w:val="20"/>
        </w:trPr>
        <w:tc>
          <w:tcPr>
            <w:tcW w:w="2695" w:type="pct"/>
            <w:shd w:val="clear" w:color="auto" w:fill="CCC0D9"/>
            <w:vAlign w:val="center"/>
          </w:tcPr>
          <w:p w14:paraId="0A5D6B6C" w14:textId="77777777" w:rsidR="00483C77" w:rsidRPr="009E31CF" w:rsidRDefault="00483C77" w:rsidP="009E31CF">
            <w:pPr>
              <w:spacing w:line="240" w:lineRule="auto"/>
              <w:rPr>
                <w:rFonts w:asciiTheme="minorHAnsi" w:hAnsiTheme="minorHAnsi" w:cstheme="minorHAnsi"/>
                <w:color w:val="000000"/>
                <w:sz w:val="16"/>
                <w:szCs w:val="16"/>
              </w:rPr>
            </w:pPr>
            <w:r w:rsidRPr="009E31CF">
              <w:rPr>
                <w:rFonts w:asciiTheme="minorHAnsi" w:hAnsiTheme="minorHAnsi" w:cstheme="minorHAnsi"/>
                <w:color w:val="000000"/>
                <w:sz w:val="16"/>
                <w:szCs w:val="16"/>
              </w:rPr>
              <w:t>Current or future treatment with eculizumab (a monoclonal antibody directed against complement component C5)</w:t>
            </w:r>
          </w:p>
        </w:tc>
        <w:tc>
          <w:tcPr>
            <w:tcW w:w="768" w:type="pct"/>
            <w:shd w:val="clear" w:color="auto" w:fill="auto"/>
            <w:vAlign w:val="center"/>
          </w:tcPr>
          <w:p w14:paraId="3CEEBA38" w14:textId="77777777" w:rsidR="00483C77" w:rsidRPr="009E31CF" w:rsidRDefault="00483C77" w:rsidP="009E31CF">
            <w:pPr>
              <w:pStyle w:val="TableText1"/>
              <w:spacing w:after="0"/>
              <w:jc w:val="center"/>
              <w:rPr>
                <w:rFonts w:asciiTheme="minorHAnsi" w:hAnsiTheme="minorHAnsi" w:cstheme="minorHAnsi"/>
                <w:sz w:val="16"/>
                <w:szCs w:val="16"/>
              </w:rPr>
            </w:pPr>
          </w:p>
        </w:tc>
        <w:tc>
          <w:tcPr>
            <w:tcW w:w="768" w:type="pct"/>
            <w:shd w:val="clear" w:color="auto" w:fill="E8E8E8"/>
            <w:vAlign w:val="center"/>
          </w:tcPr>
          <w:p w14:paraId="2D6AC1B9" w14:textId="77777777" w:rsidR="00483C77" w:rsidRPr="009E31CF" w:rsidRDefault="00483C77" w:rsidP="009E31CF">
            <w:pPr>
              <w:pStyle w:val="TableText1"/>
              <w:spacing w:after="0"/>
              <w:jc w:val="center"/>
              <w:rPr>
                <w:rFonts w:asciiTheme="minorHAnsi" w:hAnsiTheme="minorHAnsi" w:cstheme="minorHAnsi"/>
                <w:sz w:val="16"/>
                <w:szCs w:val="16"/>
              </w:rPr>
            </w:pPr>
            <w:r w:rsidRPr="009E31CF">
              <w:rPr>
                <w:rFonts w:asciiTheme="minorHAnsi" w:hAnsiTheme="minorHAnsi" w:cstheme="minorHAnsi"/>
                <w:sz w:val="16"/>
                <w:szCs w:val="16"/>
              </w:rPr>
              <w:sym w:font="Wingdings" w:char="F0FC"/>
            </w:r>
          </w:p>
        </w:tc>
        <w:tc>
          <w:tcPr>
            <w:tcW w:w="768" w:type="pct"/>
            <w:shd w:val="clear" w:color="auto" w:fill="auto"/>
            <w:vAlign w:val="center"/>
          </w:tcPr>
          <w:p w14:paraId="7396A5B4" w14:textId="77777777" w:rsidR="00483C77" w:rsidRPr="009E31CF" w:rsidRDefault="00483C77" w:rsidP="009E31CF">
            <w:pPr>
              <w:pStyle w:val="TableText1"/>
              <w:spacing w:after="0"/>
              <w:jc w:val="center"/>
              <w:rPr>
                <w:rFonts w:asciiTheme="minorHAnsi" w:hAnsiTheme="minorHAnsi" w:cstheme="minorHAnsi"/>
                <w:sz w:val="16"/>
                <w:szCs w:val="16"/>
              </w:rPr>
            </w:pPr>
          </w:p>
        </w:tc>
      </w:tr>
    </w:tbl>
    <w:p w14:paraId="7A1C8D62" w14:textId="5CF7A090" w:rsidR="00483C77" w:rsidRPr="004731F5" w:rsidRDefault="003D15BA" w:rsidP="004731F5">
      <w:pPr>
        <w:spacing w:after="0" w:line="25" w:lineRule="atLeast"/>
        <w:rPr>
          <w:sz w:val="14"/>
          <w:szCs w:val="14"/>
          <w:lang w:eastAsia="en-US"/>
        </w:rPr>
      </w:pPr>
      <w:r>
        <w:rPr>
          <w:sz w:val="14"/>
          <w:szCs w:val="14"/>
          <w:lang w:eastAsia="en-US"/>
        </w:rPr>
        <w:t xml:space="preserve">Note: </w:t>
      </w:r>
      <w:r w:rsidR="00F31F73" w:rsidRPr="004731F5">
        <w:rPr>
          <w:rFonts w:asciiTheme="minorHAnsi" w:hAnsiTheme="minorHAnsi" w:cstheme="minorHAnsi"/>
          <w:sz w:val="14"/>
          <w:szCs w:val="14"/>
        </w:rPr>
        <w:sym w:font="Wingdings" w:char="F0FC"/>
      </w:r>
      <w:r w:rsidR="00F31F73" w:rsidRPr="004731F5">
        <w:rPr>
          <w:sz w:val="14"/>
          <w:szCs w:val="14"/>
          <w:lang w:eastAsia="en-US"/>
        </w:rPr>
        <w:t>Recommended</w:t>
      </w:r>
      <w:r w:rsidR="00F31F73">
        <w:rPr>
          <w:sz w:val="14"/>
          <w:szCs w:val="14"/>
          <w:lang w:eastAsia="en-US"/>
        </w:rPr>
        <w:t xml:space="preserve">; </w:t>
      </w:r>
      <w:r>
        <w:rPr>
          <w:sz w:val="14"/>
          <w:szCs w:val="14"/>
          <w:lang w:eastAsia="en-US"/>
        </w:rPr>
        <w:t>s</w:t>
      </w:r>
      <w:r w:rsidR="00483C77" w:rsidRPr="004731F5">
        <w:rPr>
          <w:sz w:val="14"/>
          <w:szCs w:val="14"/>
          <w:lang w:eastAsia="en-US"/>
        </w:rPr>
        <w:t xml:space="preserve">haded boxes indicate </w:t>
      </w:r>
      <w:r>
        <w:rPr>
          <w:sz w:val="14"/>
          <w:szCs w:val="14"/>
          <w:lang w:eastAsia="en-US"/>
        </w:rPr>
        <w:t xml:space="preserve">eligibility for </w:t>
      </w:r>
      <w:r w:rsidR="00483C77" w:rsidRPr="004731F5">
        <w:rPr>
          <w:sz w:val="14"/>
          <w:szCs w:val="14"/>
          <w:lang w:eastAsia="en-US"/>
        </w:rPr>
        <w:t>NIP funding.</w:t>
      </w:r>
      <w:r w:rsidR="00CE1E37" w:rsidRPr="004731F5">
        <w:rPr>
          <w:sz w:val="14"/>
          <w:szCs w:val="14"/>
          <w:lang w:eastAsia="en-US"/>
        </w:rPr>
        <w:t xml:space="preserve"> </w:t>
      </w:r>
    </w:p>
    <w:p w14:paraId="44E773BA" w14:textId="09862965" w:rsidR="008D7B20" w:rsidRPr="008D7B20" w:rsidRDefault="008D7B20" w:rsidP="004731F5">
      <w:pPr>
        <w:pStyle w:val="BulletedList"/>
        <w:numPr>
          <w:ilvl w:val="0"/>
          <w:numId w:val="0"/>
        </w:numPr>
        <w:spacing w:line="25" w:lineRule="atLeast"/>
        <w:rPr>
          <w:rFonts w:asciiTheme="minorHAnsi" w:hAnsiTheme="minorHAnsi" w:cstheme="minorHAnsi"/>
          <w:sz w:val="14"/>
          <w:szCs w:val="14"/>
        </w:rPr>
      </w:pPr>
      <w:r w:rsidRPr="00F31F73">
        <w:rPr>
          <w:rFonts w:asciiTheme="minorHAnsi" w:hAnsiTheme="minorHAnsi" w:cstheme="minorHAnsi"/>
          <w:sz w:val="14"/>
          <w:szCs w:val="14"/>
        </w:rPr>
        <w:t>¶ Individual conditions listed beneath or those that are similar</w:t>
      </w:r>
      <w:r w:rsidR="00F31F73">
        <w:rPr>
          <w:rFonts w:asciiTheme="minorHAnsi" w:hAnsiTheme="minorHAnsi" w:cstheme="minorHAnsi"/>
          <w:sz w:val="14"/>
          <w:szCs w:val="14"/>
        </w:rPr>
        <w:t xml:space="preserve"> </w:t>
      </w:r>
      <w:r w:rsidR="00F31F73" w:rsidRPr="00F31F73">
        <w:rPr>
          <w:rFonts w:asciiTheme="minorHAnsi" w:hAnsiTheme="minorHAnsi" w:cstheme="minorHAnsi"/>
          <w:sz w:val="14"/>
          <w:szCs w:val="14"/>
        </w:rPr>
        <w:t>based on clinical judgment</w:t>
      </w:r>
    </w:p>
    <w:p w14:paraId="3468CFEE" w14:textId="77777777" w:rsidR="00483C77" w:rsidRPr="004731F5" w:rsidRDefault="00483C77" w:rsidP="004731F5">
      <w:pPr>
        <w:pStyle w:val="BulletedList"/>
        <w:numPr>
          <w:ilvl w:val="0"/>
          <w:numId w:val="0"/>
        </w:numPr>
        <w:spacing w:line="25" w:lineRule="atLeast"/>
        <w:rPr>
          <w:sz w:val="14"/>
          <w:szCs w:val="14"/>
          <w:lang w:eastAsia="en-US"/>
        </w:rPr>
      </w:pPr>
      <w:r w:rsidRPr="004731F5">
        <w:rPr>
          <w:sz w:val="14"/>
          <w:szCs w:val="14"/>
          <w:lang w:eastAsia="en-US"/>
        </w:rPr>
        <w:t>* Funded under the NIP for eGFR &lt;15 mL/min only (including patients on dialysis)</w:t>
      </w:r>
    </w:p>
    <w:p w14:paraId="33FDA385" w14:textId="5066EF2E" w:rsidR="00483C77" w:rsidRPr="004731F5" w:rsidRDefault="00483C77" w:rsidP="004731F5">
      <w:pPr>
        <w:pStyle w:val="BulletedList"/>
        <w:numPr>
          <w:ilvl w:val="0"/>
          <w:numId w:val="0"/>
        </w:numPr>
        <w:spacing w:line="25" w:lineRule="atLeast"/>
        <w:rPr>
          <w:sz w:val="14"/>
          <w:szCs w:val="14"/>
          <w:lang w:eastAsia="en-US"/>
        </w:rPr>
      </w:pPr>
      <w:r w:rsidRPr="004731F5">
        <w:rPr>
          <w:sz w:val="14"/>
          <w:szCs w:val="14"/>
          <w:lang w:eastAsia="en-US"/>
        </w:rPr>
        <w:t xml:space="preserve">† Funded under the NIP </w:t>
      </w:r>
      <w:r w:rsidR="00AD1C42" w:rsidRPr="004731F5">
        <w:rPr>
          <w:sz w:val="14"/>
          <w:szCs w:val="14"/>
          <w:lang w:eastAsia="en-US"/>
        </w:rPr>
        <w:t xml:space="preserve">only </w:t>
      </w:r>
      <w:r w:rsidRPr="004731F5">
        <w:rPr>
          <w:sz w:val="14"/>
          <w:szCs w:val="14"/>
          <w:lang w:eastAsia="en-US"/>
        </w:rPr>
        <w:t xml:space="preserve">for children </w:t>
      </w:r>
      <w:r w:rsidR="000B31AF" w:rsidRPr="004731F5">
        <w:rPr>
          <w:sz w:val="14"/>
          <w:szCs w:val="14"/>
          <w:lang w:eastAsia="en-US"/>
        </w:rPr>
        <w:t xml:space="preserve">aged </w:t>
      </w:r>
      <w:r w:rsidRPr="004731F5">
        <w:rPr>
          <w:sz w:val="14"/>
          <w:szCs w:val="14"/>
          <w:lang w:eastAsia="en-US"/>
        </w:rPr>
        <w:t xml:space="preserve">&lt;5 years </w:t>
      </w:r>
      <w:r w:rsidR="00AD1C42" w:rsidRPr="004731F5">
        <w:rPr>
          <w:sz w:val="14"/>
          <w:szCs w:val="14"/>
          <w:lang w:eastAsia="en-US"/>
        </w:rPr>
        <w:t xml:space="preserve">at diagnosis of the condition </w:t>
      </w:r>
    </w:p>
    <w:p w14:paraId="6F27BC69" w14:textId="53899492" w:rsidR="009D020E" w:rsidRPr="004731F5" w:rsidRDefault="009D020E" w:rsidP="004731F5">
      <w:pPr>
        <w:pStyle w:val="BulletedList"/>
        <w:numPr>
          <w:ilvl w:val="0"/>
          <w:numId w:val="0"/>
        </w:numPr>
        <w:spacing w:line="25" w:lineRule="atLeast"/>
        <w:rPr>
          <w:sz w:val="14"/>
          <w:szCs w:val="14"/>
          <w:lang w:eastAsia="en-US"/>
        </w:rPr>
      </w:pPr>
      <w:r w:rsidRPr="004731F5">
        <w:rPr>
          <w:sz w:val="14"/>
          <w:szCs w:val="14"/>
          <w:lang w:eastAsia="en-US"/>
        </w:rPr>
        <w:t># Recommended for young adults aged 15–24 years</w:t>
      </w:r>
      <w:r w:rsidR="002902F8" w:rsidRPr="004731F5">
        <w:rPr>
          <w:sz w:val="14"/>
          <w:szCs w:val="14"/>
          <w:lang w:eastAsia="en-US"/>
        </w:rPr>
        <w:t xml:space="preserve"> </w:t>
      </w:r>
    </w:p>
    <w:p w14:paraId="03331E33" w14:textId="77777777" w:rsidR="00A22306" w:rsidRDefault="00A22306" w:rsidP="004731F5">
      <w:pPr>
        <w:pStyle w:val="BulletedList"/>
        <w:numPr>
          <w:ilvl w:val="0"/>
          <w:numId w:val="0"/>
        </w:numPr>
        <w:spacing w:line="25" w:lineRule="atLeast"/>
        <w:rPr>
          <w:sz w:val="14"/>
          <w:szCs w:val="14"/>
          <w:lang w:eastAsia="en-US"/>
        </w:rPr>
      </w:pPr>
      <w:r w:rsidRPr="004731F5">
        <w:rPr>
          <w:sz w:val="14"/>
          <w:szCs w:val="14"/>
          <w:lang w:eastAsia="en-US"/>
        </w:rPr>
        <w:t>‡ Defined as consuming on average ≥60 g of alcohol (6 Australian standard drinks) per day for males and ≥40 g of alcohol (4 Australian standard drinks) per day for females)</w:t>
      </w:r>
    </w:p>
    <w:p w14:paraId="23244763" w14:textId="0883B44E" w:rsidR="007D7EE7" w:rsidRPr="00CB5D06" w:rsidRDefault="007D7EE7" w:rsidP="004731F5">
      <w:pPr>
        <w:pStyle w:val="BulletedList"/>
        <w:numPr>
          <w:ilvl w:val="0"/>
          <w:numId w:val="0"/>
        </w:numPr>
        <w:spacing w:line="25" w:lineRule="atLeast"/>
        <w:rPr>
          <w:sz w:val="12"/>
          <w:szCs w:val="14"/>
          <w:lang w:eastAsia="en-US"/>
        </w:rPr>
      </w:pPr>
      <w:r w:rsidRPr="00CB5D06">
        <w:rPr>
          <w:rFonts w:asciiTheme="minorHAnsi" w:hAnsiTheme="minorHAnsi" w:cstheme="minorHAnsi"/>
          <w:sz w:val="14"/>
          <w:szCs w:val="16"/>
        </w:rPr>
        <w:t xml:space="preserve">§ </w:t>
      </w:r>
      <w:r w:rsidR="00CB5D06">
        <w:rPr>
          <w:rFonts w:asciiTheme="minorHAnsi" w:hAnsiTheme="minorHAnsi" w:cstheme="minorHAnsi"/>
          <w:sz w:val="14"/>
          <w:szCs w:val="16"/>
        </w:rPr>
        <w:t>Only</w:t>
      </w:r>
      <w:r w:rsidRPr="00CB5D06">
        <w:rPr>
          <w:rFonts w:asciiTheme="minorHAnsi" w:hAnsiTheme="minorHAnsi" w:cstheme="minorHAnsi"/>
          <w:sz w:val="14"/>
          <w:szCs w:val="16"/>
        </w:rPr>
        <w:t xml:space="preserve"> </w:t>
      </w:r>
      <w:r w:rsidR="00CB5D06">
        <w:rPr>
          <w:rFonts w:asciiTheme="minorHAnsi" w:hAnsiTheme="minorHAnsi" w:cstheme="minorHAnsi"/>
          <w:sz w:val="14"/>
          <w:szCs w:val="16"/>
        </w:rPr>
        <w:t xml:space="preserve">for </w:t>
      </w:r>
      <w:r w:rsidRPr="00CB5D06">
        <w:rPr>
          <w:rFonts w:asciiTheme="minorHAnsi" w:hAnsiTheme="minorHAnsi" w:cstheme="minorHAnsi"/>
          <w:sz w:val="14"/>
          <w:szCs w:val="16"/>
        </w:rPr>
        <w:t xml:space="preserve">those who were not fully vaccinated in early childhood according to the </w:t>
      </w:r>
      <w:r w:rsidR="0085620D" w:rsidRPr="00CB5D06">
        <w:rPr>
          <w:rFonts w:asciiTheme="minorHAnsi" w:hAnsiTheme="minorHAnsi" w:cstheme="minorHAnsi"/>
          <w:sz w:val="14"/>
          <w:szCs w:val="16"/>
        </w:rPr>
        <w:t xml:space="preserve">Hib vaccination </w:t>
      </w:r>
      <w:r w:rsidRPr="00CB5D06">
        <w:rPr>
          <w:rFonts w:asciiTheme="minorHAnsi" w:hAnsiTheme="minorHAnsi" w:cstheme="minorHAnsi"/>
          <w:sz w:val="14"/>
          <w:szCs w:val="16"/>
        </w:rPr>
        <w:t>recommendations for infants and children</w:t>
      </w:r>
    </w:p>
    <w:sectPr w:rsidR="007D7EE7" w:rsidRPr="00CB5D06" w:rsidSect="00F57196">
      <w:footerReference w:type="default" r:id="rId17"/>
      <w:footerReference w:type="first" r:id="rId18"/>
      <w:pgSz w:w="11906" w:h="16838"/>
      <w:pgMar w:top="709" w:right="851" w:bottom="709" w:left="851" w:header="850" w:footer="11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E974E5" w16cid:durableId="2225D99B"/>
  <w16cid:commentId w16cid:paraId="64297BCD" w16cid:durableId="2267C302"/>
  <w16cid:commentId w16cid:paraId="4C68BB62" w16cid:durableId="2267C303"/>
  <w16cid:commentId w16cid:paraId="3153860D" w16cid:durableId="22698671"/>
  <w16cid:commentId w16cid:paraId="709261A4" w16cid:durableId="2225D9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93B81" w14:textId="77777777" w:rsidR="00360517" w:rsidRDefault="00360517" w:rsidP="005F4768">
      <w:r>
        <w:separator/>
      </w:r>
    </w:p>
  </w:endnote>
  <w:endnote w:type="continuationSeparator" w:id="0">
    <w:p w14:paraId="6E1CC593" w14:textId="77777777" w:rsidR="00360517" w:rsidRDefault="00360517" w:rsidP="005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1705"/>
      <w:docPartObj>
        <w:docPartGallery w:val="Page Numbers (Bottom of Page)"/>
        <w:docPartUnique/>
      </w:docPartObj>
    </w:sdtPr>
    <w:sdtEndPr/>
    <w:sdtContent>
      <w:sdt>
        <w:sdtPr>
          <w:id w:val="-951244493"/>
          <w:docPartObj>
            <w:docPartGallery w:val="Page Numbers (Top of Page)"/>
            <w:docPartUnique/>
          </w:docPartObj>
        </w:sdtPr>
        <w:sdtEndPr/>
        <w:sdtContent>
          <w:p w14:paraId="758F9253" w14:textId="70F9682F" w:rsidR="00F57196" w:rsidRDefault="00F5719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A47F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47F0">
              <w:rPr>
                <w:b/>
                <w:bCs/>
                <w:noProof/>
              </w:rPr>
              <w:t>4</w:t>
            </w:r>
            <w:r>
              <w:rPr>
                <w:b/>
                <w:bCs/>
                <w:sz w:val="24"/>
                <w:szCs w:val="24"/>
              </w:rPr>
              <w:fldChar w:fldCharType="end"/>
            </w:r>
          </w:p>
        </w:sdtContent>
      </w:sdt>
    </w:sdtContent>
  </w:sdt>
  <w:p w14:paraId="2140A7B8" w14:textId="77777777" w:rsidR="00F57196" w:rsidRDefault="00F57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540174"/>
      <w:docPartObj>
        <w:docPartGallery w:val="Page Numbers (Bottom of Page)"/>
        <w:docPartUnique/>
      </w:docPartObj>
    </w:sdtPr>
    <w:sdtEndPr/>
    <w:sdtContent>
      <w:sdt>
        <w:sdtPr>
          <w:id w:val="98381352"/>
          <w:docPartObj>
            <w:docPartGallery w:val="Page Numbers (Top of Page)"/>
            <w:docPartUnique/>
          </w:docPartObj>
        </w:sdtPr>
        <w:sdtEndPr/>
        <w:sdtContent>
          <w:p w14:paraId="48BAAEC0" w14:textId="0A4928EC" w:rsidR="00F57196" w:rsidRDefault="00F5719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A47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47F0">
              <w:rPr>
                <w:b/>
                <w:bCs/>
                <w:noProof/>
              </w:rPr>
              <w:t>4</w:t>
            </w:r>
            <w:r>
              <w:rPr>
                <w:b/>
                <w:bCs/>
                <w:sz w:val="24"/>
                <w:szCs w:val="24"/>
              </w:rPr>
              <w:fldChar w:fldCharType="end"/>
            </w:r>
          </w:p>
        </w:sdtContent>
      </w:sdt>
    </w:sdtContent>
  </w:sdt>
  <w:p w14:paraId="4D21E1FC" w14:textId="11A4E635" w:rsidR="00740D86" w:rsidRPr="0060508D" w:rsidRDefault="00740D8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EEE06" w14:textId="77777777" w:rsidR="00360517" w:rsidRDefault="00360517" w:rsidP="005F4768">
      <w:r>
        <w:separator/>
      </w:r>
    </w:p>
  </w:footnote>
  <w:footnote w:type="continuationSeparator" w:id="0">
    <w:p w14:paraId="2C71806A" w14:textId="77777777" w:rsidR="00360517" w:rsidRDefault="00360517" w:rsidP="005F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4A8"/>
    <w:multiLevelType w:val="hybridMultilevel"/>
    <w:tmpl w:val="8FA65074"/>
    <w:lvl w:ilvl="0" w:tplc="0C090001">
      <w:start w:val="1"/>
      <w:numFmt w:val="bullet"/>
      <w:lvlText w:val=""/>
      <w:lvlJc w:val="left"/>
      <w:pPr>
        <w:ind w:left="720" w:hanging="360"/>
      </w:pPr>
      <w:rPr>
        <w:rFonts w:ascii="Symbol" w:hAnsi="Symbol" w:hint="default"/>
      </w:rPr>
    </w:lvl>
    <w:lvl w:ilvl="1" w:tplc="866C3BDE">
      <w:numFmt w:val="bullet"/>
      <w:lvlText w:val="-"/>
      <w:lvlJc w:val="left"/>
      <w:pPr>
        <w:ind w:left="1440" w:hanging="360"/>
      </w:pPr>
      <w:rPr>
        <w:rFonts w:ascii="Arial" w:eastAsiaTheme="majorEastAsia"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F537A"/>
    <w:multiLevelType w:val="hybridMultilevel"/>
    <w:tmpl w:val="A3F46136"/>
    <w:lvl w:ilvl="0" w:tplc="BEAC84C0">
      <w:start w:val="1"/>
      <w:numFmt w:val="bullet"/>
      <w:pStyle w:val="Sub-bullet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12B1B3C"/>
    <w:multiLevelType w:val="hybridMultilevel"/>
    <w:tmpl w:val="F59AC2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A110B7F"/>
    <w:multiLevelType w:val="hybridMultilevel"/>
    <w:tmpl w:val="6088D9D8"/>
    <w:lvl w:ilvl="0" w:tplc="0C090001">
      <w:start w:val="1"/>
      <w:numFmt w:val="bullet"/>
      <w:lvlText w:val=""/>
      <w:lvlJc w:val="left"/>
      <w:pPr>
        <w:ind w:left="720" w:hanging="360"/>
      </w:pPr>
      <w:rPr>
        <w:rFonts w:ascii="Symbol" w:hAnsi="Symbol" w:hint="default"/>
      </w:rPr>
    </w:lvl>
    <w:lvl w:ilvl="1" w:tplc="E5103DB2">
      <w:start w:val="1"/>
      <w:numFmt w:val="bullet"/>
      <w:lvlText w:val="–"/>
      <w:lvlJc w:val="left"/>
      <w:pPr>
        <w:ind w:left="1440" w:hanging="360"/>
      </w:pPr>
      <w:rPr>
        <w:rFonts w:ascii="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35F06"/>
    <w:multiLevelType w:val="hybridMultilevel"/>
    <w:tmpl w:val="BFF0D858"/>
    <w:lvl w:ilvl="0" w:tplc="8E40D3EC">
      <w:start w:val="1"/>
      <w:numFmt w:val="bullet"/>
      <w:pStyle w:val="Bodytext-bullet"/>
      <w:lvlText w:val=""/>
      <w:lvlJc w:val="left"/>
      <w:pPr>
        <w:ind w:left="1435" w:hanging="360"/>
      </w:pPr>
      <w:rPr>
        <w:rFonts w:ascii="Symbol" w:hAnsi="Symbol" w:hint="default"/>
      </w:rPr>
    </w:lvl>
    <w:lvl w:ilvl="1" w:tplc="99643D4C">
      <w:numFmt w:val="bullet"/>
      <w:lvlText w:val="-"/>
      <w:lvlJc w:val="left"/>
      <w:pPr>
        <w:ind w:left="2155" w:hanging="360"/>
      </w:pPr>
      <w:rPr>
        <w:rFonts w:ascii="Times New Roman" w:eastAsia="Times New Roman" w:hAnsi="Times New Roman" w:cs="Times New Roman" w:hint="default"/>
      </w:rPr>
    </w:lvl>
    <w:lvl w:ilvl="2" w:tplc="0C09001B" w:tentative="1">
      <w:start w:val="1"/>
      <w:numFmt w:val="lowerRoman"/>
      <w:lvlText w:val="%3."/>
      <w:lvlJc w:val="right"/>
      <w:pPr>
        <w:ind w:left="2875" w:hanging="180"/>
      </w:pPr>
    </w:lvl>
    <w:lvl w:ilvl="3" w:tplc="0C09000F" w:tentative="1">
      <w:start w:val="1"/>
      <w:numFmt w:val="decimal"/>
      <w:lvlText w:val="%4."/>
      <w:lvlJc w:val="left"/>
      <w:pPr>
        <w:ind w:left="3595" w:hanging="360"/>
      </w:pPr>
    </w:lvl>
    <w:lvl w:ilvl="4" w:tplc="0C090019" w:tentative="1">
      <w:start w:val="1"/>
      <w:numFmt w:val="lowerLetter"/>
      <w:lvlText w:val="%5."/>
      <w:lvlJc w:val="left"/>
      <w:pPr>
        <w:ind w:left="4315" w:hanging="360"/>
      </w:pPr>
    </w:lvl>
    <w:lvl w:ilvl="5" w:tplc="0C09001B" w:tentative="1">
      <w:start w:val="1"/>
      <w:numFmt w:val="lowerRoman"/>
      <w:lvlText w:val="%6."/>
      <w:lvlJc w:val="right"/>
      <w:pPr>
        <w:ind w:left="5035" w:hanging="180"/>
      </w:pPr>
    </w:lvl>
    <w:lvl w:ilvl="6" w:tplc="0C09000F" w:tentative="1">
      <w:start w:val="1"/>
      <w:numFmt w:val="decimal"/>
      <w:lvlText w:val="%7."/>
      <w:lvlJc w:val="left"/>
      <w:pPr>
        <w:ind w:left="5755" w:hanging="360"/>
      </w:pPr>
    </w:lvl>
    <w:lvl w:ilvl="7" w:tplc="0C090019" w:tentative="1">
      <w:start w:val="1"/>
      <w:numFmt w:val="lowerLetter"/>
      <w:lvlText w:val="%8."/>
      <w:lvlJc w:val="left"/>
      <w:pPr>
        <w:ind w:left="6475" w:hanging="360"/>
      </w:pPr>
    </w:lvl>
    <w:lvl w:ilvl="8" w:tplc="0C09001B" w:tentative="1">
      <w:start w:val="1"/>
      <w:numFmt w:val="lowerRoman"/>
      <w:lvlText w:val="%9."/>
      <w:lvlJc w:val="right"/>
      <w:pPr>
        <w:ind w:left="7195" w:hanging="180"/>
      </w:pPr>
    </w:lvl>
  </w:abstractNum>
  <w:abstractNum w:abstractNumId="9" w15:restartNumberingAfterBreak="0">
    <w:nsid w:val="39D155AE"/>
    <w:multiLevelType w:val="multilevel"/>
    <w:tmpl w:val="7E225E5C"/>
    <w:lvl w:ilvl="0">
      <w:start w:val="1"/>
      <w:numFmt w:val="bullet"/>
      <w:pStyle w:val="BulletedLis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7BB1F22"/>
    <w:multiLevelType w:val="hybridMultilevel"/>
    <w:tmpl w:val="031EE8DE"/>
    <w:lvl w:ilvl="0" w:tplc="F3F494B8">
      <w:start w:val="1"/>
      <w:numFmt w:val="bullet"/>
      <w:pStyle w:val="Sub-bulletedlis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12"/>
  </w:num>
  <w:num w:numId="6">
    <w:abstractNumId w:val="11"/>
  </w:num>
  <w:num w:numId="7">
    <w:abstractNumId w:val="10"/>
  </w:num>
  <w:num w:numId="8">
    <w:abstractNumId w:val="13"/>
  </w:num>
  <w:num w:numId="9">
    <w:abstractNumId w:val="1"/>
  </w:num>
  <w:num w:numId="10">
    <w:abstractNumId w:val="8"/>
  </w:num>
  <w:num w:numId="11">
    <w:abstractNumId w:val="9"/>
  </w:num>
  <w:num w:numId="12">
    <w:abstractNumId w:val="6"/>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67"/>
    <w:rsid w:val="00003743"/>
    <w:rsid w:val="00003A5E"/>
    <w:rsid w:val="00006F2D"/>
    <w:rsid w:val="000149C1"/>
    <w:rsid w:val="00016DAB"/>
    <w:rsid w:val="000201AD"/>
    <w:rsid w:val="00022E95"/>
    <w:rsid w:val="000234F8"/>
    <w:rsid w:val="00025A03"/>
    <w:rsid w:val="00026818"/>
    <w:rsid w:val="000348A6"/>
    <w:rsid w:val="000354E7"/>
    <w:rsid w:val="00037142"/>
    <w:rsid w:val="00040A99"/>
    <w:rsid w:val="0004384A"/>
    <w:rsid w:val="0004452A"/>
    <w:rsid w:val="000539B8"/>
    <w:rsid w:val="000602F3"/>
    <w:rsid w:val="00062AC9"/>
    <w:rsid w:val="0006545B"/>
    <w:rsid w:val="00067456"/>
    <w:rsid w:val="0006767B"/>
    <w:rsid w:val="000730BD"/>
    <w:rsid w:val="000736D8"/>
    <w:rsid w:val="000760ED"/>
    <w:rsid w:val="0007770C"/>
    <w:rsid w:val="00077C5A"/>
    <w:rsid w:val="00083432"/>
    <w:rsid w:val="000924FE"/>
    <w:rsid w:val="000929A1"/>
    <w:rsid w:val="0009417B"/>
    <w:rsid w:val="000A402E"/>
    <w:rsid w:val="000A5062"/>
    <w:rsid w:val="000B31AF"/>
    <w:rsid w:val="000B3483"/>
    <w:rsid w:val="000B35BC"/>
    <w:rsid w:val="000B69AF"/>
    <w:rsid w:val="000B6F87"/>
    <w:rsid w:val="000C0652"/>
    <w:rsid w:val="000C27C2"/>
    <w:rsid w:val="000C7E8D"/>
    <w:rsid w:val="000D2985"/>
    <w:rsid w:val="000E23F2"/>
    <w:rsid w:val="000E2673"/>
    <w:rsid w:val="000E40A7"/>
    <w:rsid w:val="000E4B3F"/>
    <w:rsid w:val="000E5ACA"/>
    <w:rsid w:val="000E5FE8"/>
    <w:rsid w:val="000E647C"/>
    <w:rsid w:val="000F2055"/>
    <w:rsid w:val="000F59E8"/>
    <w:rsid w:val="0010367E"/>
    <w:rsid w:val="00110BA0"/>
    <w:rsid w:val="00124B1A"/>
    <w:rsid w:val="00125EB7"/>
    <w:rsid w:val="00143A4C"/>
    <w:rsid w:val="00143C1E"/>
    <w:rsid w:val="00150250"/>
    <w:rsid w:val="00162961"/>
    <w:rsid w:val="00164684"/>
    <w:rsid w:val="00164822"/>
    <w:rsid w:val="0016613E"/>
    <w:rsid w:val="001765BC"/>
    <w:rsid w:val="0018194D"/>
    <w:rsid w:val="0018425E"/>
    <w:rsid w:val="00185613"/>
    <w:rsid w:val="001861D7"/>
    <w:rsid w:val="00187200"/>
    <w:rsid w:val="00190797"/>
    <w:rsid w:val="00191685"/>
    <w:rsid w:val="00191A3C"/>
    <w:rsid w:val="00194C75"/>
    <w:rsid w:val="001A1C8D"/>
    <w:rsid w:val="001A51C8"/>
    <w:rsid w:val="001B1B4C"/>
    <w:rsid w:val="001B3443"/>
    <w:rsid w:val="001B6C7E"/>
    <w:rsid w:val="001C087C"/>
    <w:rsid w:val="001C4E57"/>
    <w:rsid w:val="001C797D"/>
    <w:rsid w:val="001D16EB"/>
    <w:rsid w:val="001D3365"/>
    <w:rsid w:val="001D6A75"/>
    <w:rsid w:val="001E12BF"/>
    <w:rsid w:val="001E1987"/>
    <w:rsid w:val="001E1DAF"/>
    <w:rsid w:val="001E232C"/>
    <w:rsid w:val="001E2E16"/>
    <w:rsid w:val="001E4F11"/>
    <w:rsid w:val="001E6EC7"/>
    <w:rsid w:val="001F1297"/>
    <w:rsid w:val="001F1A15"/>
    <w:rsid w:val="001F1CE4"/>
    <w:rsid w:val="001F2952"/>
    <w:rsid w:val="001F6022"/>
    <w:rsid w:val="0020082A"/>
    <w:rsid w:val="00203313"/>
    <w:rsid w:val="002040EF"/>
    <w:rsid w:val="0020478F"/>
    <w:rsid w:val="002058AD"/>
    <w:rsid w:val="00205C5A"/>
    <w:rsid w:val="0020771F"/>
    <w:rsid w:val="00211901"/>
    <w:rsid w:val="00215686"/>
    <w:rsid w:val="00216603"/>
    <w:rsid w:val="002250A4"/>
    <w:rsid w:val="00226589"/>
    <w:rsid w:val="0022710C"/>
    <w:rsid w:val="0023299C"/>
    <w:rsid w:val="00234619"/>
    <w:rsid w:val="00235359"/>
    <w:rsid w:val="002377F5"/>
    <w:rsid w:val="00240850"/>
    <w:rsid w:val="002430D1"/>
    <w:rsid w:val="00243CB0"/>
    <w:rsid w:val="00245824"/>
    <w:rsid w:val="00245F01"/>
    <w:rsid w:val="00247BCD"/>
    <w:rsid w:val="00252CAB"/>
    <w:rsid w:val="002530E9"/>
    <w:rsid w:val="00253112"/>
    <w:rsid w:val="002650A3"/>
    <w:rsid w:val="00266928"/>
    <w:rsid w:val="00273D1F"/>
    <w:rsid w:val="00275310"/>
    <w:rsid w:val="00276211"/>
    <w:rsid w:val="00281E19"/>
    <w:rsid w:val="0028298C"/>
    <w:rsid w:val="00286888"/>
    <w:rsid w:val="00287B6D"/>
    <w:rsid w:val="002902F8"/>
    <w:rsid w:val="00291A4E"/>
    <w:rsid w:val="002926C9"/>
    <w:rsid w:val="00293701"/>
    <w:rsid w:val="002A0FD4"/>
    <w:rsid w:val="002A45C2"/>
    <w:rsid w:val="002A5179"/>
    <w:rsid w:val="002A602A"/>
    <w:rsid w:val="002A7C0B"/>
    <w:rsid w:val="002C0D36"/>
    <w:rsid w:val="002D1BFA"/>
    <w:rsid w:val="002D230B"/>
    <w:rsid w:val="002D41F6"/>
    <w:rsid w:val="002D5CC8"/>
    <w:rsid w:val="002D782C"/>
    <w:rsid w:val="002E261A"/>
    <w:rsid w:val="002E5BDC"/>
    <w:rsid w:val="002F230F"/>
    <w:rsid w:val="002F3AE3"/>
    <w:rsid w:val="002F4047"/>
    <w:rsid w:val="002F4AD9"/>
    <w:rsid w:val="003021C5"/>
    <w:rsid w:val="00304155"/>
    <w:rsid w:val="00304DAF"/>
    <w:rsid w:val="0030786C"/>
    <w:rsid w:val="003151C1"/>
    <w:rsid w:val="0031665D"/>
    <w:rsid w:val="003223F8"/>
    <w:rsid w:val="00323B20"/>
    <w:rsid w:val="003240F1"/>
    <w:rsid w:val="00330748"/>
    <w:rsid w:val="0034317D"/>
    <w:rsid w:val="0034595F"/>
    <w:rsid w:val="0035035E"/>
    <w:rsid w:val="0035203E"/>
    <w:rsid w:val="00353274"/>
    <w:rsid w:val="00360517"/>
    <w:rsid w:val="003632B4"/>
    <w:rsid w:val="00365888"/>
    <w:rsid w:val="00370058"/>
    <w:rsid w:val="00371492"/>
    <w:rsid w:val="0038429E"/>
    <w:rsid w:val="00387970"/>
    <w:rsid w:val="00394C68"/>
    <w:rsid w:val="003A05B1"/>
    <w:rsid w:val="003A3841"/>
    <w:rsid w:val="003A7A05"/>
    <w:rsid w:val="003A7DF0"/>
    <w:rsid w:val="003B16A0"/>
    <w:rsid w:val="003B39BF"/>
    <w:rsid w:val="003B7900"/>
    <w:rsid w:val="003C0F83"/>
    <w:rsid w:val="003D15BA"/>
    <w:rsid w:val="003D17F9"/>
    <w:rsid w:val="003D1AB5"/>
    <w:rsid w:val="003D4CAA"/>
    <w:rsid w:val="003D7CEE"/>
    <w:rsid w:val="003E74E7"/>
    <w:rsid w:val="003E7A6C"/>
    <w:rsid w:val="003F6D0E"/>
    <w:rsid w:val="00404B12"/>
    <w:rsid w:val="00407A4E"/>
    <w:rsid w:val="004117FD"/>
    <w:rsid w:val="0041322A"/>
    <w:rsid w:val="0041495D"/>
    <w:rsid w:val="0042161C"/>
    <w:rsid w:val="0042242A"/>
    <w:rsid w:val="00425502"/>
    <w:rsid w:val="00425B7C"/>
    <w:rsid w:val="0043241C"/>
    <w:rsid w:val="00433A23"/>
    <w:rsid w:val="00434917"/>
    <w:rsid w:val="004349A9"/>
    <w:rsid w:val="00435F00"/>
    <w:rsid w:val="00440953"/>
    <w:rsid w:val="004415B6"/>
    <w:rsid w:val="00441BEB"/>
    <w:rsid w:val="00444B16"/>
    <w:rsid w:val="00452DCB"/>
    <w:rsid w:val="00455E5D"/>
    <w:rsid w:val="0045619F"/>
    <w:rsid w:val="00456901"/>
    <w:rsid w:val="004627D4"/>
    <w:rsid w:val="0046320F"/>
    <w:rsid w:val="004636C5"/>
    <w:rsid w:val="0047029A"/>
    <w:rsid w:val="004714B8"/>
    <w:rsid w:val="004721BD"/>
    <w:rsid w:val="00472929"/>
    <w:rsid w:val="004731F5"/>
    <w:rsid w:val="00473568"/>
    <w:rsid w:val="00475BE0"/>
    <w:rsid w:val="0047625E"/>
    <w:rsid w:val="00477288"/>
    <w:rsid w:val="004816A0"/>
    <w:rsid w:val="00483C77"/>
    <w:rsid w:val="004846D6"/>
    <w:rsid w:val="004867E2"/>
    <w:rsid w:val="004A0FA7"/>
    <w:rsid w:val="004A1690"/>
    <w:rsid w:val="004A2CD4"/>
    <w:rsid w:val="004A32C3"/>
    <w:rsid w:val="004A7458"/>
    <w:rsid w:val="004B4C5F"/>
    <w:rsid w:val="004B7AD2"/>
    <w:rsid w:val="004C1554"/>
    <w:rsid w:val="004C724C"/>
    <w:rsid w:val="004D1C20"/>
    <w:rsid w:val="004D4136"/>
    <w:rsid w:val="004D4FA8"/>
    <w:rsid w:val="004E44EB"/>
    <w:rsid w:val="004E6245"/>
    <w:rsid w:val="004F1A65"/>
    <w:rsid w:val="004F2684"/>
    <w:rsid w:val="004F28F5"/>
    <w:rsid w:val="004F3921"/>
    <w:rsid w:val="004F3AA0"/>
    <w:rsid w:val="004F4580"/>
    <w:rsid w:val="004F57B1"/>
    <w:rsid w:val="004F5B8C"/>
    <w:rsid w:val="004F5DED"/>
    <w:rsid w:val="004F6ABB"/>
    <w:rsid w:val="004F7AFF"/>
    <w:rsid w:val="0050760F"/>
    <w:rsid w:val="00514C9A"/>
    <w:rsid w:val="00517DBF"/>
    <w:rsid w:val="00523491"/>
    <w:rsid w:val="00523E03"/>
    <w:rsid w:val="00525534"/>
    <w:rsid w:val="0053463D"/>
    <w:rsid w:val="00540586"/>
    <w:rsid w:val="00543C9E"/>
    <w:rsid w:val="005446EE"/>
    <w:rsid w:val="00550087"/>
    <w:rsid w:val="00550765"/>
    <w:rsid w:val="00551266"/>
    <w:rsid w:val="005562E7"/>
    <w:rsid w:val="00556812"/>
    <w:rsid w:val="00561352"/>
    <w:rsid w:val="00561B88"/>
    <w:rsid w:val="0056294A"/>
    <w:rsid w:val="005641C8"/>
    <w:rsid w:val="005726E8"/>
    <w:rsid w:val="00573394"/>
    <w:rsid w:val="00573A25"/>
    <w:rsid w:val="00573D48"/>
    <w:rsid w:val="00574083"/>
    <w:rsid w:val="00583761"/>
    <w:rsid w:val="00584750"/>
    <w:rsid w:val="00586D57"/>
    <w:rsid w:val="0059095D"/>
    <w:rsid w:val="00595051"/>
    <w:rsid w:val="00596E15"/>
    <w:rsid w:val="005A0D19"/>
    <w:rsid w:val="005A661D"/>
    <w:rsid w:val="005A6681"/>
    <w:rsid w:val="005B51C9"/>
    <w:rsid w:val="005B57A5"/>
    <w:rsid w:val="005B667C"/>
    <w:rsid w:val="005C3583"/>
    <w:rsid w:val="005C67A3"/>
    <w:rsid w:val="005D1645"/>
    <w:rsid w:val="005D2A92"/>
    <w:rsid w:val="005D2E42"/>
    <w:rsid w:val="005D5133"/>
    <w:rsid w:val="005D6928"/>
    <w:rsid w:val="005D6A29"/>
    <w:rsid w:val="005E0FAB"/>
    <w:rsid w:val="005E4A60"/>
    <w:rsid w:val="005F0265"/>
    <w:rsid w:val="005F369F"/>
    <w:rsid w:val="005F4768"/>
    <w:rsid w:val="005F6C10"/>
    <w:rsid w:val="005F77E3"/>
    <w:rsid w:val="006003F2"/>
    <w:rsid w:val="00600AB1"/>
    <w:rsid w:val="0060201A"/>
    <w:rsid w:val="006022FD"/>
    <w:rsid w:val="006033B6"/>
    <w:rsid w:val="00603ADF"/>
    <w:rsid w:val="0060508D"/>
    <w:rsid w:val="006123AA"/>
    <w:rsid w:val="00615976"/>
    <w:rsid w:val="006164C2"/>
    <w:rsid w:val="00617006"/>
    <w:rsid w:val="0062154E"/>
    <w:rsid w:val="00625DCA"/>
    <w:rsid w:val="00627DF9"/>
    <w:rsid w:val="0063427B"/>
    <w:rsid w:val="0063494F"/>
    <w:rsid w:val="006461EF"/>
    <w:rsid w:val="00652F4E"/>
    <w:rsid w:val="006543A2"/>
    <w:rsid w:val="00654562"/>
    <w:rsid w:val="00654A27"/>
    <w:rsid w:val="006573D8"/>
    <w:rsid w:val="006603E3"/>
    <w:rsid w:val="006625C2"/>
    <w:rsid w:val="00664011"/>
    <w:rsid w:val="00665E98"/>
    <w:rsid w:val="0067230D"/>
    <w:rsid w:val="006727F5"/>
    <w:rsid w:val="00672899"/>
    <w:rsid w:val="00675DD6"/>
    <w:rsid w:val="00677B95"/>
    <w:rsid w:val="006917A3"/>
    <w:rsid w:val="00695C6A"/>
    <w:rsid w:val="00696A5D"/>
    <w:rsid w:val="00697DB6"/>
    <w:rsid w:val="006A259C"/>
    <w:rsid w:val="006A4949"/>
    <w:rsid w:val="006B088B"/>
    <w:rsid w:val="006B4FBA"/>
    <w:rsid w:val="006B5200"/>
    <w:rsid w:val="006B5A98"/>
    <w:rsid w:val="006B6561"/>
    <w:rsid w:val="006C30E8"/>
    <w:rsid w:val="006C6A16"/>
    <w:rsid w:val="006C73F9"/>
    <w:rsid w:val="006D1046"/>
    <w:rsid w:val="006D3D60"/>
    <w:rsid w:val="006D6937"/>
    <w:rsid w:val="006E12F2"/>
    <w:rsid w:val="006E53BC"/>
    <w:rsid w:val="006F0222"/>
    <w:rsid w:val="006F1EDC"/>
    <w:rsid w:val="006F5435"/>
    <w:rsid w:val="006F71EE"/>
    <w:rsid w:val="0071116C"/>
    <w:rsid w:val="007132E0"/>
    <w:rsid w:val="00714E38"/>
    <w:rsid w:val="007211B9"/>
    <w:rsid w:val="00734112"/>
    <w:rsid w:val="00734631"/>
    <w:rsid w:val="00740D86"/>
    <w:rsid w:val="00751CB0"/>
    <w:rsid w:val="00764BC6"/>
    <w:rsid w:val="00776674"/>
    <w:rsid w:val="00783CE0"/>
    <w:rsid w:val="00785EB5"/>
    <w:rsid w:val="00791134"/>
    <w:rsid w:val="00794EF7"/>
    <w:rsid w:val="007A0F4F"/>
    <w:rsid w:val="007A22CC"/>
    <w:rsid w:val="007A4CDD"/>
    <w:rsid w:val="007A6FE6"/>
    <w:rsid w:val="007B4B27"/>
    <w:rsid w:val="007B6CD6"/>
    <w:rsid w:val="007C39A2"/>
    <w:rsid w:val="007C583F"/>
    <w:rsid w:val="007C5C4E"/>
    <w:rsid w:val="007D5769"/>
    <w:rsid w:val="007D5DD0"/>
    <w:rsid w:val="007D71AA"/>
    <w:rsid w:val="007D7EE7"/>
    <w:rsid w:val="007F162D"/>
    <w:rsid w:val="007F1EC6"/>
    <w:rsid w:val="007F55EE"/>
    <w:rsid w:val="00807C1B"/>
    <w:rsid w:val="00814D8E"/>
    <w:rsid w:val="00823289"/>
    <w:rsid w:val="008264EB"/>
    <w:rsid w:val="00826860"/>
    <w:rsid w:val="00830D1B"/>
    <w:rsid w:val="00834118"/>
    <w:rsid w:val="008342CE"/>
    <w:rsid w:val="00835292"/>
    <w:rsid w:val="008357AB"/>
    <w:rsid w:val="00835BE4"/>
    <w:rsid w:val="00842FB7"/>
    <w:rsid w:val="00846A2D"/>
    <w:rsid w:val="00846E7A"/>
    <w:rsid w:val="008503E8"/>
    <w:rsid w:val="0085360D"/>
    <w:rsid w:val="0085620D"/>
    <w:rsid w:val="00856783"/>
    <w:rsid w:val="008612E6"/>
    <w:rsid w:val="008640CF"/>
    <w:rsid w:val="0087086E"/>
    <w:rsid w:val="0087556F"/>
    <w:rsid w:val="008764F8"/>
    <w:rsid w:val="00877A9F"/>
    <w:rsid w:val="008803EE"/>
    <w:rsid w:val="00885093"/>
    <w:rsid w:val="00892E74"/>
    <w:rsid w:val="0089607F"/>
    <w:rsid w:val="008A53D1"/>
    <w:rsid w:val="008A7234"/>
    <w:rsid w:val="008A7CB9"/>
    <w:rsid w:val="008B3805"/>
    <w:rsid w:val="008D40A4"/>
    <w:rsid w:val="008D4150"/>
    <w:rsid w:val="008D7B20"/>
    <w:rsid w:val="008E3EBF"/>
    <w:rsid w:val="008E5082"/>
    <w:rsid w:val="008E5C41"/>
    <w:rsid w:val="008E7E17"/>
    <w:rsid w:val="008F2040"/>
    <w:rsid w:val="008F277D"/>
    <w:rsid w:val="008F722A"/>
    <w:rsid w:val="009020B6"/>
    <w:rsid w:val="00902A34"/>
    <w:rsid w:val="00904E4A"/>
    <w:rsid w:val="009129E1"/>
    <w:rsid w:val="009152A5"/>
    <w:rsid w:val="0091563D"/>
    <w:rsid w:val="00917E71"/>
    <w:rsid w:val="009255AF"/>
    <w:rsid w:val="00926ED1"/>
    <w:rsid w:val="00927542"/>
    <w:rsid w:val="00927698"/>
    <w:rsid w:val="00937FD0"/>
    <w:rsid w:val="00941034"/>
    <w:rsid w:val="00942F2F"/>
    <w:rsid w:val="009451A6"/>
    <w:rsid w:val="00961CDD"/>
    <w:rsid w:val="00963935"/>
    <w:rsid w:val="00976E4E"/>
    <w:rsid w:val="00977A15"/>
    <w:rsid w:val="00977ABA"/>
    <w:rsid w:val="009825A0"/>
    <w:rsid w:val="00982861"/>
    <w:rsid w:val="0098296B"/>
    <w:rsid w:val="00983721"/>
    <w:rsid w:val="009855E6"/>
    <w:rsid w:val="00986CF5"/>
    <w:rsid w:val="00992106"/>
    <w:rsid w:val="0099237D"/>
    <w:rsid w:val="009A14DA"/>
    <w:rsid w:val="009A4393"/>
    <w:rsid w:val="009A497E"/>
    <w:rsid w:val="009A516A"/>
    <w:rsid w:val="009A67D6"/>
    <w:rsid w:val="009A6FF4"/>
    <w:rsid w:val="009A796E"/>
    <w:rsid w:val="009B1187"/>
    <w:rsid w:val="009B64D6"/>
    <w:rsid w:val="009B6E47"/>
    <w:rsid w:val="009C281E"/>
    <w:rsid w:val="009D020E"/>
    <w:rsid w:val="009D7609"/>
    <w:rsid w:val="009D7661"/>
    <w:rsid w:val="009E0A78"/>
    <w:rsid w:val="009E31CF"/>
    <w:rsid w:val="009E5B4B"/>
    <w:rsid w:val="009F0E98"/>
    <w:rsid w:val="009F0F81"/>
    <w:rsid w:val="009F3858"/>
    <w:rsid w:val="009F4281"/>
    <w:rsid w:val="009F4C87"/>
    <w:rsid w:val="009F7DAB"/>
    <w:rsid w:val="00A039FC"/>
    <w:rsid w:val="00A10504"/>
    <w:rsid w:val="00A10CAF"/>
    <w:rsid w:val="00A12653"/>
    <w:rsid w:val="00A13607"/>
    <w:rsid w:val="00A21743"/>
    <w:rsid w:val="00A22306"/>
    <w:rsid w:val="00A25693"/>
    <w:rsid w:val="00A27DDB"/>
    <w:rsid w:val="00A30A78"/>
    <w:rsid w:val="00A3277E"/>
    <w:rsid w:val="00A33AF4"/>
    <w:rsid w:val="00A36A30"/>
    <w:rsid w:val="00A4071D"/>
    <w:rsid w:val="00A4288C"/>
    <w:rsid w:val="00A437BD"/>
    <w:rsid w:val="00A4512D"/>
    <w:rsid w:val="00A51EE6"/>
    <w:rsid w:val="00A574D7"/>
    <w:rsid w:val="00A655E6"/>
    <w:rsid w:val="00A66681"/>
    <w:rsid w:val="00A66C82"/>
    <w:rsid w:val="00A705AF"/>
    <w:rsid w:val="00A71B7A"/>
    <w:rsid w:val="00A748FB"/>
    <w:rsid w:val="00A85F00"/>
    <w:rsid w:val="00A87D9A"/>
    <w:rsid w:val="00A908D7"/>
    <w:rsid w:val="00A91F1F"/>
    <w:rsid w:val="00A91F52"/>
    <w:rsid w:val="00A91FA0"/>
    <w:rsid w:val="00A95052"/>
    <w:rsid w:val="00A952FB"/>
    <w:rsid w:val="00AA699A"/>
    <w:rsid w:val="00AA6F8F"/>
    <w:rsid w:val="00AB4B61"/>
    <w:rsid w:val="00AC1AA3"/>
    <w:rsid w:val="00AC23C0"/>
    <w:rsid w:val="00AC781D"/>
    <w:rsid w:val="00AD1C42"/>
    <w:rsid w:val="00AD216B"/>
    <w:rsid w:val="00AD31AE"/>
    <w:rsid w:val="00AD44A1"/>
    <w:rsid w:val="00AD494A"/>
    <w:rsid w:val="00AD5F04"/>
    <w:rsid w:val="00AD64F6"/>
    <w:rsid w:val="00AE5F36"/>
    <w:rsid w:val="00AF6575"/>
    <w:rsid w:val="00B0053C"/>
    <w:rsid w:val="00B04C02"/>
    <w:rsid w:val="00B13712"/>
    <w:rsid w:val="00B13CE4"/>
    <w:rsid w:val="00B14D78"/>
    <w:rsid w:val="00B21AEA"/>
    <w:rsid w:val="00B24480"/>
    <w:rsid w:val="00B27F3E"/>
    <w:rsid w:val="00B30DB8"/>
    <w:rsid w:val="00B327D4"/>
    <w:rsid w:val="00B347E9"/>
    <w:rsid w:val="00B40434"/>
    <w:rsid w:val="00B42851"/>
    <w:rsid w:val="00B432C1"/>
    <w:rsid w:val="00B44123"/>
    <w:rsid w:val="00B50A29"/>
    <w:rsid w:val="00B50F74"/>
    <w:rsid w:val="00B57300"/>
    <w:rsid w:val="00B57CF6"/>
    <w:rsid w:val="00B62515"/>
    <w:rsid w:val="00B64B14"/>
    <w:rsid w:val="00B6564B"/>
    <w:rsid w:val="00B70CF9"/>
    <w:rsid w:val="00B86CEA"/>
    <w:rsid w:val="00B91D3C"/>
    <w:rsid w:val="00B94280"/>
    <w:rsid w:val="00BA0E65"/>
    <w:rsid w:val="00BA29B3"/>
    <w:rsid w:val="00BA71E7"/>
    <w:rsid w:val="00BB0989"/>
    <w:rsid w:val="00BB1759"/>
    <w:rsid w:val="00BB47DC"/>
    <w:rsid w:val="00BB55D9"/>
    <w:rsid w:val="00BB6BF5"/>
    <w:rsid w:val="00BB7BD9"/>
    <w:rsid w:val="00BC25F6"/>
    <w:rsid w:val="00BD2235"/>
    <w:rsid w:val="00BD64F0"/>
    <w:rsid w:val="00BE1142"/>
    <w:rsid w:val="00BE3CC6"/>
    <w:rsid w:val="00BE6878"/>
    <w:rsid w:val="00BF2F11"/>
    <w:rsid w:val="00BF34CD"/>
    <w:rsid w:val="00BF3AE2"/>
    <w:rsid w:val="00C01D56"/>
    <w:rsid w:val="00C02018"/>
    <w:rsid w:val="00C02610"/>
    <w:rsid w:val="00C0753F"/>
    <w:rsid w:val="00C1084C"/>
    <w:rsid w:val="00C12529"/>
    <w:rsid w:val="00C1367D"/>
    <w:rsid w:val="00C13C3E"/>
    <w:rsid w:val="00C1597C"/>
    <w:rsid w:val="00C16F7D"/>
    <w:rsid w:val="00C215B1"/>
    <w:rsid w:val="00C30C2B"/>
    <w:rsid w:val="00C3577B"/>
    <w:rsid w:val="00C41F90"/>
    <w:rsid w:val="00C43B77"/>
    <w:rsid w:val="00C56D33"/>
    <w:rsid w:val="00C5727D"/>
    <w:rsid w:val="00C617E9"/>
    <w:rsid w:val="00C620C7"/>
    <w:rsid w:val="00C66FAD"/>
    <w:rsid w:val="00C7191C"/>
    <w:rsid w:val="00C75D32"/>
    <w:rsid w:val="00C76BEE"/>
    <w:rsid w:val="00C77F68"/>
    <w:rsid w:val="00C80787"/>
    <w:rsid w:val="00C869CE"/>
    <w:rsid w:val="00C87174"/>
    <w:rsid w:val="00C8719E"/>
    <w:rsid w:val="00C90528"/>
    <w:rsid w:val="00C90EA7"/>
    <w:rsid w:val="00C91445"/>
    <w:rsid w:val="00C92C73"/>
    <w:rsid w:val="00C93A21"/>
    <w:rsid w:val="00C93BFE"/>
    <w:rsid w:val="00C94930"/>
    <w:rsid w:val="00C95F2E"/>
    <w:rsid w:val="00C97F3A"/>
    <w:rsid w:val="00CA40F7"/>
    <w:rsid w:val="00CA5377"/>
    <w:rsid w:val="00CA5DA7"/>
    <w:rsid w:val="00CA5EFB"/>
    <w:rsid w:val="00CA7A1B"/>
    <w:rsid w:val="00CB4C13"/>
    <w:rsid w:val="00CB5B1A"/>
    <w:rsid w:val="00CB5D06"/>
    <w:rsid w:val="00CC0BFF"/>
    <w:rsid w:val="00CC29A0"/>
    <w:rsid w:val="00CC31AF"/>
    <w:rsid w:val="00CC3D03"/>
    <w:rsid w:val="00CC55B5"/>
    <w:rsid w:val="00CD0C70"/>
    <w:rsid w:val="00CD34DC"/>
    <w:rsid w:val="00CE0491"/>
    <w:rsid w:val="00CE1346"/>
    <w:rsid w:val="00CE1A60"/>
    <w:rsid w:val="00CE1E37"/>
    <w:rsid w:val="00CE3658"/>
    <w:rsid w:val="00CE5CC7"/>
    <w:rsid w:val="00CF1008"/>
    <w:rsid w:val="00CF52A5"/>
    <w:rsid w:val="00D02649"/>
    <w:rsid w:val="00D02886"/>
    <w:rsid w:val="00D04189"/>
    <w:rsid w:val="00D0427D"/>
    <w:rsid w:val="00D11575"/>
    <w:rsid w:val="00D12AF4"/>
    <w:rsid w:val="00D135F6"/>
    <w:rsid w:val="00D22D32"/>
    <w:rsid w:val="00D2518C"/>
    <w:rsid w:val="00D32BE6"/>
    <w:rsid w:val="00D33167"/>
    <w:rsid w:val="00D34AD0"/>
    <w:rsid w:val="00D352A6"/>
    <w:rsid w:val="00D403F0"/>
    <w:rsid w:val="00D458E0"/>
    <w:rsid w:val="00D4757A"/>
    <w:rsid w:val="00D504B6"/>
    <w:rsid w:val="00D523DE"/>
    <w:rsid w:val="00D54FDA"/>
    <w:rsid w:val="00D57407"/>
    <w:rsid w:val="00D616A7"/>
    <w:rsid w:val="00D675E0"/>
    <w:rsid w:val="00D67F34"/>
    <w:rsid w:val="00D7293A"/>
    <w:rsid w:val="00D72CA3"/>
    <w:rsid w:val="00D73717"/>
    <w:rsid w:val="00D73D33"/>
    <w:rsid w:val="00D74919"/>
    <w:rsid w:val="00D81C6C"/>
    <w:rsid w:val="00D8324A"/>
    <w:rsid w:val="00D86C12"/>
    <w:rsid w:val="00D908B7"/>
    <w:rsid w:val="00D90C73"/>
    <w:rsid w:val="00D93A8C"/>
    <w:rsid w:val="00D9536F"/>
    <w:rsid w:val="00D9681E"/>
    <w:rsid w:val="00DA2384"/>
    <w:rsid w:val="00DA335A"/>
    <w:rsid w:val="00DB0E37"/>
    <w:rsid w:val="00DB5F35"/>
    <w:rsid w:val="00DB7048"/>
    <w:rsid w:val="00DC35D7"/>
    <w:rsid w:val="00DC54B3"/>
    <w:rsid w:val="00DC73AA"/>
    <w:rsid w:val="00DD0878"/>
    <w:rsid w:val="00DD1480"/>
    <w:rsid w:val="00DD3538"/>
    <w:rsid w:val="00DD3D09"/>
    <w:rsid w:val="00DD568C"/>
    <w:rsid w:val="00DD5B70"/>
    <w:rsid w:val="00DD7A56"/>
    <w:rsid w:val="00DE1FD8"/>
    <w:rsid w:val="00DE28BE"/>
    <w:rsid w:val="00DE5628"/>
    <w:rsid w:val="00DE652B"/>
    <w:rsid w:val="00DE705E"/>
    <w:rsid w:val="00DE762F"/>
    <w:rsid w:val="00DE7CCF"/>
    <w:rsid w:val="00DE7D48"/>
    <w:rsid w:val="00DF07CF"/>
    <w:rsid w:val="00DF11B8"/>
    <w:rsid w:val="00DF133D"/>
    <w:rsid w:val="00DF2453"/>
    <w:rsid w:val="00DF782A"/>
    <w:rsid w:val="00E05C16"/>
    <w:rsid w:val="00E06ACB"/>
    <w:rsid w:val="00E072A1"/>
    <w:rsid w:val="00E135E5"/>
    <w:rsid w:val="00E140E8"/>
    <w:rsid w:val="00E155AF"/>
    <w:rsid w:val="00E21505"/>
    <w:rsid w:val="00E228B6"/>
    <w:rsid w:val="00E23988"/>
    <w:rsid w:val="00E2699D"/>
    <w:rsid w:val="00E3130D"/>
    <w:rsid w:val="00E35F09"/>
    <w:rsid w:val="00E4116F"/>
    <w:rsid w:val="00E47836"/>
    <w:rsid w:val="00E51D65"/>
    <w:rsid w:val="00E51D87"/>
    <w:rsid w:val="00E560C1"/>
    <w:rsid w:val="00E62634"/>
    <w:rsid w:val="00E7099F"/>
    <w:rsid w:val="00E717CE"/>
    <w:rsid w:val="00E81E5A"/>
    <w:rsid w:val="00E82653"/>
    <w:rsid w:val="00E82860"/>
    <w:rsid w:val="00E8287C"/>
    <w:rsid w:val="00E83AB0"/>
    <w:rsid w:val="00E83C5B"/>
    <w:rsid w:val="00EA221D"/>
    <w:rsid w:val="00EA47F0"/>
    <w:rsid w:val="00EA486B"/>
    <w:rsid w:val="00EA7098"/>
    <w:rsid w:val="00EB072F"/>
    <w:rsid w:val="00EB25EE"/>
    <w:rsid w:val="00EB4061"/>
    <w:rsid w:val="00EB6BF7"/>
    <w:rsid w:val="00EC1C4F"/>
    <w:rsid w:val="00EC342B"/>
    <w:rsid w:val="00EC36E5"/>
    <w:rsid w:val="00ED7FA8"/>
    <w:rsid w:val="00EE19E5"/>
    <w:rsid w:val="00EE2920"/>
    <w:rsid w:val="00EE3E1C"/>
    <w:rsid w:val="00EF034D"/>
    <w:rsid w:val="00EF04CE"/>
    <w:rsid w:val="00EF10FA"/>
    <w:rsid w:val="00EF45CC"/>
    <w:rsid w:val="00EF513E"/>
    <w:rsid w:val="00EF6F9B"/>
    <w:rsid w:val="00F1115A"/>
    <w:rsid w:val="00F151D2"/>
    <w:rsid w:val="00F15214"/>
    <w:rsid w:val="00F15390"/>
    <w:rsid w:val="00F1581D"/>
    <w:rsid w:val="00F22C97"/>
    <w:rsid w:val="00F235D3"/>
    <w:rsid w:val="00F255EF"/>
    <w:rsid w:val="00F25F13"/>
    <w:rsid w:val="00F26725"/>
    <w:rsid w:val="00F2793B"/>
    <w:rsid w:val="00F31F73"/>
    <w:rsid w:val="00F32EE7"/>
    <w:rsid w:val="00F338A9"/>
    <w:rsid w:val="00F37DCD"/>
    <w:rsid w:val="00F410B0"/>
    <w:rsid w:val="00F5332F"/>
    <w:rsid w:val="00F547DA"/>
    <w:rsid w:val="00F57196"/>
    <w:rsid w:val="00F60DF4"/>
    <w:rsid w:val="00F643D6"/>
    <w:rsid w:val="00F72136"/>
    <w:rsid w:val="00F72F7C"/>
    <w:rsid w:val="00F8060C"/>
    <w:rsid w:val="00F825B2"/>
    <w:rsid w:val="00F84137"/>
    <w:rsid w:val="00F84ECB"/>
    <w:rsid w:val="00F865DE"/>
    <w:rsid w:val="00F87DE1"/>
    <w:rsid w:val="00F9158F"/>
    <w:rsid w:val="00F9305B"/>
    <w:rsid w:val="00F936AD"/>
    <w:rsid w:val="00F94135"/>
    <w:rsid w:val="00F94D5B"/>
    <w:rsid w:val="00F96B55"/>
    <w:rsid w:val="00FA03F6"/>
    <w:rsid w:val="00FA3929"/>
    <w:rsid w:val="00FB48CC"/>
    <w:rsid w:val="00FB5D49"/>
    <w:rsid w:val="00FB5F68"/>
    <w:rsid w:val="00FB6A13"/>
    <w:rsid w:val="00FB7245"/>
    <w:rsid w:val="00FC0E94"/>
    <w:rsid w:val="00FC26C7"/>
    <w:rsid w:val="00FC664E"/>
    <w:rsid w:val="00FD0681"/>
    <w:rsid w:val="00FD2CEC"/>
    <w:rsid w:val="00FD3DB6"/>
    <w:rsid w:val="00FD6DA6"/>
    <w:rsid w:val="00FD7A89"/>
    <w:rsid w:val="00FE2F7C"/>
    <w:rsid w:val="00FE6093"/>
    <w:rsid w:val="00FE638B"/>
    <w:rsid w:val="00FF0A2A"/>
    <w:rsid w:val="00FF0F5E"/>
    <w:rsid w:val="00FF53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9A20FA2"/>
  <w15:docId w15:val="{F71AF66F-539F-4C5B-AB73-2DED9B3A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250"/>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uiPriority w:val="99"/>
    <w:rsid w:val="00A6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1"/>
      </w:numPr>
      <w:spacing w:after="120"/>
    </w:pPr>
  </w:style>
  <w:style w:type="paragraph" w:customStyle="1" w:styleId="Heading1Black">
    <w:name w:val="Heading 1 Black"/>
    <w:basedOn w:val="Heading1"/>
    <w:next w:val="Normal1stParaafterHeading1"/>
    <w:autoRedefine/>
    <w:qFormat/>
    <w:rsid w:val="00FF0F5E"/>
    <w:pPr>
      <w:pBdr>
        <w:left w:val="single" w:sz="48" w:space="8" w:color="57259F"/>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2"/>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3"/>
      </w:numPr>
      <w:spacing w:after="100"/>
      <w:ind w:left="714" w:hanging="357"/>
    </w:pPr>
    <w:rPr>
      <w:lang w:val="en"/>
    </w:rPr>
  </w:style>
  <w:style w:type="paragraph" w:customStyle="1" w:styleId="BulletedList">
    <w:name w:val="Bulleted List"/>
    <w:basedOn w:val="Normal"/>
    <w:qFormat/>
    <w:rsid w:val="001F1297"/>
    <w:pPr>
      <w:numPr>
        <w:numId w:val="4"/>
      </w:numPr>
      <w:spacing w:after="0"/>
      <w:contextualSpacing/>
    </w:pPr>
    <w:rPr>
      <w:lang w:val="en"/>
    </w:rPr>
  </w:style>
  <w:style w:type="paragraph" w:customStyle="1" w:styleId="Heading2Numbered">
    <w:name w:val="Heading 2 Numbered"/>
    <w:basedOn w:val="Heading2"/>
    <w:qFormat/>
    <w:rsid w:val="006164C2"/>
    <w:pPr>
      <w:numPr>
        <w:numId w:val="5"/>
      </w:numPr>
    </w:pPr>
    <w:rPr>
      <w:lang w:val="en"/>
    </w:rPr>
  </w:style>
  <w:style w:type="paragraph" w:customStyle="1" w:styleId="Heading3Numbered">
    <w:name w:val="Heading 3 Numbered"/>
    <w:basedOn w:val="Heading3"/>
    <w:qFormat/>
    <w:rsid w:val="006164C2"/>
    <w:pPr>
      <w:numPr>
        <w:numId w:val="6"/>
      </w:numPr>
    </w:pPr>
  </w:style>
  <w:style w:type="paragraph" w:customStyle="1" w:styleId="Heading4Numbered">
    <w:name w:val="Heading 4 Numbered"/>
    <w:basedOn w:val="Heading4"/>
    <w:qFormat/>
    <w:rsid w:val="006164C2"/>
    <w:pPr>
      <w:numPr>
        <w:numId w:val="7"/>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8"/>
      </w:numPr>
      <w:spacing w:line="240" w:lineRule="auto"/>
      <w:ind w:left="1797" w:hanging="357"/>
    </w:pPr>
    <w:rPr>
      <w:lang w:eastAsia="en-US"/>
    </w:rPr>
  </w:style>
  <w:style w:type="paragraph" w:customStyle="1" w:styleId="Sub-bullettedlist">
    <w:name w:val="Sub-bulletted list"/>
    <w:basedOn w:val="BulletedList"/>
    <w:qFormat/>
    <w:rsid w:val="009F4C87"/>
    <w:pPr>
      <w:numPr>
        <w:numId w:val="9"/>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customStyle="1" w:styleId="Bodytext-bullet">
    <w:name w:val="Body text - bullet"/>
    <w:qFormat/>
    <w:rsid w:val="00826860"/>
    <w:pPr>
      <w:numPr>
        <w:numId w:val="10"/>
      </w:numPr>
      <w:tabs>
        <w:tab w:val="left" w:pos="709"/>
      </w:tabs>
      <w:spacing w:after="120" w:line="240" w:lineRule="auto"/>
    </w:pPr>
    <w:rPr>
      <w:rFonts w:ascii="Times New Roman" w:eastAsia="Times New Roman" w:hAnsi="Times New Roman" w:cs="Times New Roman"/>
      <w:szCs w:val="20"/>
      <w:lang w:val="en-US"/>
    </w:rPr>
  </w:style>
  <w:style w:type="paragraph" w:customStyle="1" w:styleId="Figureheading">
    <w:name w:val="Figure heading"/>
    <w:next w:val="Normal"/>
    <w:qFormat/>
    <w:rsid w:val="00F8060C"/>
    <w:pPr>
      <w:tabs>
        <w:tab w:val="left" w:pos="1134"/>
      </w:tabs>
      <w:spacing w:before="240" w:after="240" w:line="240" w:lineRule="auto"/>
      <w:ind w:left="1134" w:hanging="1134"/>
    </w:pPr>
    <w:rPr>
      <w:rFonts w:ascii="Times New Roman" w:eastAsia="Times New Roman" w:hAnsi="Times New Roman" w:cs="Times New Roman"/>
      <w:b/>
      <w:szCs w:val="20"/>
    </w:rPr>
  </w:style>
  <w:style w:type="paragraph" w:customStyle="1" w:styleId="Tabletext0">
    <w:name w:val="Table text"/>
    <w:qFormat/>
    <w:rsid w:val="00F8060C"/>
    <w:pPr>
      <w:spacing w:before="40" w:after="40" w:line="240" w:lineRule="auto"/>
      <w:jc w:val="center"/>
    </w:pPr>
    <w:rPr>
      <w:rFonts w:ascii="Times New Roman" w:eastAsia="Times New Roman" w:hAnsi="Times New Roman" w:cs="Times New Roman"/>
      <w:sz w:val="20"/>
      <w:szCs w:val="20"/>
      <w:lang w:val="en-US" w:eastAsia="ja-JP"/>
    </w:rPr>
  </w:style>
  <w:style w:type="paragraph" w:customStyle="1" w:styleId="Tablecolumnheading">
    <w:name w:val="Table column heading"/>
    <w:qFormat/>
    <w:rsid w:val="00F8060C"/>
    <w:pPr>
      <w:spacing w:before="60" w:after="60" w:line="240" w:lineRule="auto"/>
      <w:jc w:val="center"/>
    </w:pPr>
    <w:rPr>
      <w:rFonts w:ascii="Times New Roman" w:eastAsia="Times New Roman" w:hAnsi="Times New Roman" w:cs="Times New Roman"/>
      <w:b/>
      <w:sz w:val="20"/>
      <w:szCs w:val="20"/>
    </w:rPr>
  </w:style>
  <w:style w:type="paragraph" w:customStyle="1" w:styleId="Intropara">
    <w:name w:val="Intro para"/>
    <w:next w:val="BodyText"/>
    <w:qFormat/>
    <w:rsid w:val="006B5200"/>
    <w:pPr>
      <w:spacing w:before="240" w:after="240" w:line="240" w:lineRule="auto"/>
    </w:pPr>
    <w:rPr>
      <w:rFonts w:ascii="Times New Roman" w:eastAsia="Times New Roman" w:hAnsi="Times New Roman" w:cs="Times New Roman"/>
      <w:i/>
      <w:szCs w:val="20"/>
    </w:rPr>
  </w:style>
  <w:style w:type="paragraph" w:customStyle="1" w:styleId="BoxText0">
    <w:name w:val="BoxText"/>
    <w:basedOn w:val="Normal"/>
    <w:qFormat/>
    <w:rsid w:val="00734631"/>
    <w:pPr>
      <w:pBdr>
        <w:top w:val="single" w:sz="4" w:space="4" w:color="000000"/>
        <w:left w:val="single" w:sz="4" w:space="4" w:color="000000"/>
        <w:bottom w:val="single" w:sz="4" w:space="4" w:color="000000"/>
        <w:right w:val="single" w:sz="4" w:space="4" w:color="000000"/>
      </w:pBdr>
      <w:spacing w:after="120" w:line="240" w:lineRule="auto"/>
    </w:pPr>
    <w:rPr>
      <w:rFonts w:ascii="Times New Roman" w:eastAsia="Times New Roman" w:hAnsi="Times New Roman" w:cs="Times New Roman"/>
      <w:color w:val="000000"/>
      <w:sz w:val="22"/>
    </w:rPr>
  </w:style>
  <w:style w:type="paragraph" w:styleId="ListParagraph">
    <w:name w:val="List Paragraph"/>
    <w:basedOn w:val="Normal"/>
    <w:uiPriority w:val="34"/>
    <w:qFormat/>
    <w:rsid w:val="00164822"/>
    <w:pPr>
      <w:ind w:left="720"/>
      <w:contextualSpacing/>
    </w:pPr>
  </w:style>
  <w:style w:type="paragraph" w:customStyle="1" w:styleId="BoxBullet">
    <w:name w:val="BoxBullet"/>
    <w:basedOn w:val="Normal"/>
    <w:rsid w:val="006D1046"/>
    <w:pPr>
      <w:numPr>
        <w:numId w:val="13"/>
      </w:numPr>
      <w:pBdr>
        <w:top w:val="single" w:sz="4" w:space="4" w:color="000000"/>
        <w:left w:val="single" w:sz="4" w:space="4" w:color="000000"/>
        <w:bottom w:val="single" w:sz="4" w:space="4" w:color="000000"/>
        <w:right w:val="single" w:sz="4" w:space="4" w:color="000000"/>
      </w:pBdr>
      <w:spacing w:after="120" w:line="240" w:lineRule="auto"/>
    </w:pPr>
    <w:rPr>
      <w:rFonts w:ascii="Times New Roman" w:eastAsia="Times New Roman" w:hAnsi="Times New Roman" w:cs="Times New Roman"/>
      <w:color w:val="000000"/>
      <w:sz w:val="22"/>
    </w:rPr>
  </w:style>
  <w:style w:type="paragraph" w:customStyle="1" w:styleId="TableText1">
    <w:name w:val="TableText"/>
    <w:basedOn w:val="Normal"/>
    <w:rsid w:val="00A748FB"/>
    <w:pPr>
      <w:keepNext/>
      <w:spacing w:before="60" w:after="60" w:line="240" w:lineRule="auto"/>
    </w:pPr>
    <w:rPr>
      <w:rFonts w:ascii="Calibri" w:eastAsia="Times New Roman" w:hAnsi="Calibri" w:cs="Times New Roman"/>
      <w:color w:val="000000"/>
      <w:szCs w:val="21"/>
    </w:rPr>
  </w:style>
  <w:style w:type="paragraph" w:customStyle="1" w:styleId="TFListNotes">
    <w:name w:val="TFListNotes"/>
    <w:basedOn w:val="Normal"/>
    <w:rsid w:val="00A748FB"/>
    <w:pPr>
      <w:keepNext/>
      <w:keepLines/>
      <w:spacing w:after="0" w:line="240" w:lineRule="auto"/>
    </w:pPr>
    <w:rPr>
      <w:rFonts w:ascii="Calibri" w:eastAsia="Times New Roman" w:hAnsi="Calibri" w:cs="Times New Roman"/>
      <w:color w:val="000000"/>
      <w:sz w:val="18"/>
      <w:szCs w:val="18"/>
    </w:rPr>
  </w:style>
  <w:style w:type="paragraph" w:customStyle="1" w:styleId="TableName">
    <w:name w:val="TableName"/>
    <w:basedOn w:val="TableText1"/>
    <w:rsid w:val="00A748FB"/>
    <w:pPr>
      <w:tabs>
        <w:tab w:val="left" w:pos="1080"/>
      </w:tabs>
      <w:spacing w:before="120" w:after="120"/>
      <w:ind w:left="1080" w:hanging="1080"/>
    </w:pPr>
    <w:rPr>
      <w:b/>
      <w:bCs/>
      <w:sz w:val="22"/>
    </w:rPr>
  </w:style>
  <w:style w:type="paragraph" w:customStyle="1" w:styleId="TableHeading">
    <w:name w:val="TableHeading"/>
    <w:basedOn w:val="TableText1"/>
    <w:rsid w:val="00A748FB"/>
    <w:rPr>
      <w:b/>
      <w:bCs/>
    </w:rPr>
  </w:style>
  <w:style w:type="paragraph" w:styleId="NormalWeb">
    <w:name w:val="Normal (Web)"/>
    <w:basedOn w:val="Normal"/>
    <w:uiPriority w:val="99"/>
    <w:unhideWhenUsed/>
    <w:rsid w:val="007B6C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410">
      <w:bodyDiv w:val="1"/>
      <w:marLeft w:val="0"/>
      <w:marRight w:val="0"/>
      <w:marTop w:val="0"/>
      <w:marBottom w:val="0"/>
      <w:divBdr>
        <w:top w:val="none" w:sz="0" w:space="0" w:color="auto"/>
        <w:left w:val="none" w:sz="0" w:space="0" w:color="auto"/>
        <w:bottom w:val="none" w:sz="0" w:space="0" w:color="auto"/>
        <w:right w:val="none" w:sz="0" w:space="0" w:color="auto"/>
      </w:divBdr>
    </w:div>
    <w:div w:id="64845102">
      <w:bodyDiv w:val="1"/>
      <w:marLeft w:val="0"/>
      <w:marRight w:val="0"/>
      <w:marTop w:val="0"/>
      <w:marBottom w:val="0"/>
      <w:divBdr>
        <w:top w:val="none" w:sz="0" w:space="0" w:color="auto"/>
        <w:left w:val="none" w:sz="0" w:space="0" w:color="auto"/>
        <w:bottom w:val="none" w:sz="0" w:space="0" w:color="auto"/>
        <w:right w:val="none" w:sz="0" w:space="0" w:color="auto"/>
      </w:divBdr>
    </w:div>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159199008">
      <w:bodyDiv w:val="1"/>
      <w:marLeft w:val="0"/>
      <w:marRight w:val="0"/>
      <w:marTop w:val="0"/>
      <w:marBottom w:val="0"/>
      <w:divBdr>
        <w:top w:val="none" w:sz="0" w:space="0" w:color="auto"/>
        <w:left w:val="none" w:sz="0" w:space="0" w:color="auto"/>
        <w:bottom w:val="none" w:sz="0" w:space="0" w:color="auto"/>
        <w:right w:val="none" w:sz="0" w:space="0" w:color="auto"/>
      </w:divBdr>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366292854">
      <w:bodyDiv w:val="1"/>
      <w:marLeft w:val="0"/>
      <w:marRight w:val="0"/>
      <w:marTop w:val="0"/>
      <w:marBottom w:val="0"/>
      <w:divBdr>
        <w:top w:val="none" w:sz="0" w:space="0" w:color="auto"/>
        <w:left w:val="none" w:sz="0" w:space="0" w:color="auto"/>
        <w:bottom w:val="none" w:sz="0" w:space="0" w:color="auto"/>
        <w:right w:val="none" w:sz="0" w:space="0" w:color="auto"/>
      </w:divBdr>
    </w:div>
    <w:div w:id="510804861">
      <w:bodyDiv w:val="1"/>
      <w:marLeft w:val="0"/>
      <w:marRight w:val="0"/>
      <w:marTop w:val="0"/>
      <w:marBottom w:val="0"/>
      <w:divBdr>
        <w:top w:val="none" w:sz="0" w:space="0" w:color="auto"/>
        <w:left w:val="none" w:sz="0" w:space="0" w:color="auto"/>
        <w:bottom w:val="none" w:sz="0" w:space="0" w:color="auto"/>
        <w:right w:val="none" w:sz="0" w:space="0" w:color="auto"/>
      </w:divBdr>
    </w:div>
    <w:div w:id="512306558">
      <w:bodyDiv w:val="1"/>
      <w:marLeft w:val="0"/>
      <w:marRight w:val="0"/>
      <w:marTop w:val="0"/>
      <w:marBottom w:val="0"/>
      <w:divBdr>
        <w:top w:val="none" w:sz="0" w:space="0" w:color="auto"/>
        <w:left w:val="none" w:sz="0" w:space="0" w:color="auto"/>
        <w:bottom w:val="none" w:sz="0" w:space="0" w:color="auto"/>
        <w:right w:val="none" w:sz="0" w:space="0" w:color="auto"/>
      </w:divBdr>
    </w:div>
    <w:div w:id="563875209">
      <w:bodyDiv w:val="1"/>
      <w:marLeft w:val="0"/>
      <w:marRight w:val="0"/>
      <w:marTop w:val="0"/>
      <w:marBottom w:val="0"/>
      <w:divBdr>
        <w:top w:val="none" w:sz="0" w:space="0" w:color="auto"/>
        <w:left w:val="none" w:sz="0" w:space="0" w:color="auto"/>
        <w:bottom w:val="none" w:sz="0" w:space="0" w:color="auto"/>
        <w:right w:val="none" w:sz="0" w:space="0" w:color="auto"/>
      </w:divBdr>
    </w:div>
    <w:div w:id="747076242">
      <w:bodyDiv w:val="1"/>
      <w:marLeft w:val="0"/>
      <w:marRight w:val="0"/>
      <w:marTop w:val="0"/>
      <w:marBottom w:val="0"/>
      <w:divBdr>
        <w:top w:val="none" w:sz="0" w:space="0" w:color="auto"/>
        <w:left w:val="none" w:sz="0" w:space="0" w:color="auto"/>
        <w:bottom w:val="none" w:sz="0" w:space="0" w:color="auto"/>
        <w:right w:val="none" w:sz="0" w:space="0" w:color="auto"/>
      </w:divBdr>
    </w:div>
    <w:div w:id="760640582">
      <w:bodyDiv w:val="1"/>
      <w:marLeft w:val="0"/>
      <w:marRight w:val="0"/>
      <w:marTop w:val="0"/>
      <w:marBottom w:val="0"/>
      <w:divBdr>
        <w:top w:val="none" w:sz="0" w:space="0" w:color="auto"/>
        <w:left w:val="none" w:sz="0" w:space="0" w:color="auto"/>
        <w:bottom w:val="none" w:sz="0" w:space="0" w:color="auto"/>
        <w:right w:val="none" w:sz="0" w:space="0" w:color="auto"/>
      </w:divBdr>
    </w:div>
    <w:div w:id="797452273">
      <w:bodyDiv w:val="1"/>
      <w:marLeft w:val="0"/>
      <w:marRight w:val="0"/>
      <w:marTop w:val="0"/>
      <w:marBottom w:val="0"/>
      <w:divBdr>
        <w:top w:val="none" w:sz="0" w:space="0" w:color="auto"/>
        <w:left w:val="none" w:sz="0" w:space="0" w:color="auto"/>
        <w:bottom w:val="none" w:sz="0" w:space="0" w:color="auto"/>
        <w:right w:val="none" w:sz="0" w:space="0" w:color="auto"/>
      </w:divBdr>
    </w:div>
    <w:div w:id="812139074">
      <w:bodyDiv w:val="1"/>
      <w:marLeft w:val="0"/>
      <w:marRight w:val="0"/>
      <w:marTop w:val="0"/>
      <w:marBottom w:val="0"/>
      <w:divBdr>
        <w:top w:val="none" w:sz="0" w:space="0" w:color="auto"/>
        <w:left w:val="none" w:sz="0" w:space="0" w:color="auto"/>
        <w:bottom w:val="none" w:sz="0" w:space="0" w:color="auto"/>
        <w:right w:val="none" w:sz="0" w:space="0" w:color="auto"/>
      </w:divBdr>
    </w:div>
    <w:div w:id="1129470207">
      <w:bodyDiv w:val="1"/>
      <w:marLeft w:val="0"/>
      <w:marRight w:val="0"/>
      <w:marTop w:val="0"/>
      <w:marBottom w:val="0"/>
      <w:divBdr>
        <w:top w:val="none" w:sz="0" w:space="0" w:color="auto"/>
        <w:left w:val="none" w:sz="0" w:space="0" w:color="auto"/>
        <w:bottom w:val="none" w:sz="0" w:space="0" w:color="auto"/>
        <w:right w:val="none" w:sz="0" w:space="0" w:color="auto"/>
      </w:divBdr>
    </w:div>
    <w:div w:id="1195770599">
      <w:bodyDiv w:val="1"/>
      <w:marLeft w:val="0"/>
      <w:marRight w:val="0"/>
      <w:marTop w:val="0"/>
      <w:marBottom w:val="0"/>
      <w:divBdr>
        <w:top w:val="none" w:sz="0" w:space="0" w:color="auto"/>
        <w:left w:val="none" w:sz="0" w:space="0" w:color="auto"/>
        <w:bottom w:val="none" w:sz="0" w:space="0" w:color="auto"/>
        <w:right w:val="none" w:sz="0" w:space="0" w:color="auto"/>
      </w:divBdr>
    </w:div>
    <w:div w:id="1336566616">
      <w:bodyDiv w:val="1"/>
      <w:marLeft w:val="0"/>
      <w:marRight w:val="0"/>
      <w:marTop w:val="0"/>
      <w:marBottom w:val="0"/>
      <w:divBdr>
        <w:top w:val="none" w:sz="0" w:space="0" w:color="auto"/>
        <w:left w:val="none" w:sz="0" w:space="0" w:color="auto"/>
        <w:bottom w:val="none" w:sz="0" w:space="0" w:color="auto"/>
        <w:right w:val="none" w:sz="0" w:space="0" w:color="auto"/>
      </w:divBdr>
    </w:div>
    <w:div w:id="1475760859">
      <w:bodyDiv w:val="1"/>
      <w:marLeft w:val="0"/>
      <w:marRight w:val="0"/>
      <w:marTop w:val="0"/>
      <w:marBottom w:val="0"/>
      <w:divBdr>
        <w:top w:val="none" w:sz="0" w:space="0" w:color="auto"/>
        <w:left w:val="none" w:sz="0" w:space="0" w:color="auto"/>
        <w:bottom w:val="none" w:sz="0" w:space="0" w:color="auto"/>
        <w:right w:val="none" w:sz="0" w:space="0" w:color="auto"/>
      </w:divBdr>
      <w:divsChild>
        <w:div w:id="1034310207">
          <w:marLeft w:val="0"/>
          <w:marRight w:val="0"/>
          <w:marTop w:val="0"/>
          <w:marBottom w:val="0"/>
          <w:divBdr>
            <w:top w:val="none" w:sz="0" w:space="0" w:color="auto"/>
            <w:left w:val="none" w:sz="0" w:space="0" w:color="auto"/>
            <w:bottom w:val="none" w:sz="0" w:space="0" w:color="auto"/>
            <w:right w:val="none" w:sz="0" w:space="0" w:color="auto"/>
          </w:divBdr>
          <w:divsChild>
            <w:div w:id="2087918515">
              <w:marLeft w:val="0"/>
              <w:marRight w:val="0"/>
              <w:marTop w:val="0"/>
              <w:marBottom w:val="0"/>
              <w:divBdr>
                <w:top w:val="none" w:sz="0" w:space="0" w:color="auto"/>
                <w:left w:val="none" w:sz="0" w:space="0" w:color="auto"/>
                <w:bottom w:val="none" w:sz="0" w:space="0" w:color="auto"/>
                <w:right w:val="none" w:sz="0" w:space="0" w:color="auto"/>
              </w:divBdr>
              <w:divsChild>
                <w:div w:id="1461995111">
                  <w:marLeft w:val="0"/>
                  <w:marRight w:val="0"/>
                  <w:marTop w:val="0"/>
                  <w:marBottom w:val="0"/>
                  <w:divBdr>
                    <w:top w:val="none" w:sz="0" w:space="0" w:color="auto"/>
                    <w:left w:val="none" w:sz="0" w:space="0" w:color="auto"/>
                    <w:bottom w:val="none" w:sz="0" w:space="0" w:color="auto"/>
                    <w:right w:val="none" w:sz="0" w:space="0" w:color="auto"/>
                  </w:divBdr>
                  <w:divsChild>
                    <w:div w:id="1226723065">
                      <w:marLeft w:val="0"/>
                      <w:marRight w:val="0"/>
                      <w:marTop w:val="0"/>
                      <w:marBottom w:val="0"/>
                      <w:divBdr>
                        <w:top w:val="none" w:sz="0" w:space="0" w:color="auto"/>
                        <w:left w:val="none" w:sz="0" w:space="0" w:color="auto"/>
                        <w:bottom w:val="none" w:sz="0" w:space="0" w:color="auto"/>
                        <w:right w:val="none" w:sz="0" w:space="0" w:color="auto"/>
                      </w:divBdr>
                      <w:divsChild>
                        <w:div w:id="1538933099">
                          <w:marLeft w:val="0"/>
                          <w:marRight w:val="0"/>
                          <w:marTop w:val="0"/>
                          <w:marBottom w:val="0"/>
                          <w:divBdr>
                            <w:top w:val="none" w:sz="0" w:space="0" w:color="auto"/>
                            <w:left w:val="none" w:sz="0" w:space="0" w:color="auto"/>
                            <w:bottom w:val="none" w:sz="0" w:space="0" w:color="auto"/>
                            <w:right w:val="none" w:sz="0" w:space="0" w:color="auto"/>
                          </w:divBdr>
                          <w:divsChild>
                            <w:div w:id="205722167">
                              <w:marLeft w:val="0"/>
                              <w:marRight w:val="0"/>
                              <w:marTop w:val="0"/>
                              <w:marBottom w:val="0"/>
                              <w:divBdr>
                                <w:top w:val="none" w:sz="0" w:space="0" w:color="auto"/>
                                <w:left w:val="none" w:sz="0" w:space="0" w:color="auto"/>
                                <w:bottom w:val="none" w:sz="0" w:space="0" w:color="auto"/>
                                <w:right w:val="none" w:sz="0" w:space="0" w:color="auto"/>
                              </w:divBdr>
                              <w:divsChild>
                                <w:div w:id="1882131237">
                                  <w:marLeft w:val="0"/>
                                  <w:marRight w:val="0"/>
                                  <w:marTop w:val="0"/>
                                  <w:marBottom w:val="0"/>
                                  <w:divBdr>
                                    <w:top w:val="none" w:sz="0" w:space="0" w:color="auto"/>
                                    <w:left w:val="none" w:sz="0" w:space="0" w:color="auto"/>
                                    <w:bottom w:val="none" w:sz="0" w:space="0" w:color="auto"/>
                                    <w:right w:val="none" w:sz="0" w:space="0" w:color="auto"/>
                                  </w:divBdr>
                                  <w:divsChild>
                                    <w:div w:id="402719951">
                                      <w:marLeft w:val="0"/>
                                      <w:marRight w:val="0"/>
                                      <w:marTop w:val="0"/>
                                      <w:marBottom w:val="0"/>
                                      <w:divBdr>
                                        <w:top w:val="none" w:sz="0" w:space="0" w:color="auto"/>
                                        <w:left w:val="none" w:sz="0" w:space="0" w:color="auto"/>
                                        <w:bottom w:val="none" w:sz="0" w:space="0" w:color="auto"/>
                                        <w:right w:val="none" w:sz="0" w:space="0" w:color="auto"/>
                                      </w:divBdr>
                                      <w:divsChild>
                                        <w:div w:id="1236085013">
                                          <w:marLeft w:val="0"/>
                                          <w:marRight w:val="0"/>
                                          <w:marTop w:val="0"/>
                                          <w:marBottom w:val="0"/>
                                          <w:divBdr>
                                            <w:top w:val="none" w:sz="0" w:space="0" w:color="auto"/>
                                            <w:left w:val="none" w:sz="0" w:space="0" w:color="auto"/>
                                            <w:bottom w:val="none" w:sz="0" w:space="0" w:color="auto"/>
                                            <w:right w:val="none" w:sz="0" w:space="0" w:color="auto"/>
                                          </w:divBdr>
                                          <w:divsChild>
                                            <w:div w:id="53552079">
                                              <w:marLeft w:val="0"/>
                                              <w:marRight w:val="0"/>
                                              <w:marTop w:val="0"/>
                                              <w:marBottom w:val="0"/>
                                              <w:divBdr>
                                                <w:top w:val="none" w:sz="0" w:space="0" w:color="auto"/>
                                                <w:left w:val="none" w:sz="0" w:space="0" w:color="auto"/>
                                                <w:bottom w:val="none" w:sz="0" w:space="0" w:color="auto"/>
                                                <w:right w:val="none" w:sz="0" w:space="0" w:color="auto"/>
                                              </w:divBdr>
                                              <w:divsChild>
                                                <w:div w:id="5658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7656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gov.au/resources/publications/atagi-clinical-advice-on-vaccination-recommendations-for-aboriginal-and-torres-strait-islander-people-from-1-july-20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gov.au/resources/publications/atagi-clinical-statement-on-changes-to-recommendations-for-meningococcal-vaccines-from-1-july-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mmunisationhandbook.govcm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mmunisationhandbook.govcms.gov.au/"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govcm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FERLITSCH, Sarah</DisplayName>
        <AccountId>17325</AccountId>
        <AccountType/>
      </UserInfo>
    </Quality_x0020_Reviewer_x0028_s_x0029_>
    <Content_x0020_Owner_x0020_Designation xmlns="2bd5d25a-ed67-4748-9d94-e4b1e4baa595">Assistant Secretary</Content_x0020_Owner_x0020_Designation>
    <Publishing_x0020_Required_x0020_By xmlns="2bd5d25a-ed67-4748-9d94-e4b1e4baa595" xsi:nil="true"/>
    <Approved_x0020_Date xmlns="2bd5d25a-ed67-4748-9d94-e4b1e4baa595">2020-06-02T14:00:00+00:00</Approved_x0020_Date>
    <IconOverlay xmlns="http://schemas.microsoft.com/sharepoint/v4" xsi:nil="true"/>
    <Content_x0020_Approver xmlns="2bd5d25a-ed67-4748-9d94-e4b1e4baa595">
      <UserInfo>
        <DisplayName>PEISLEY, Hope</DisplayName>
        <AccountId>4376</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HAWKINS, Louise</DisplayName>
        <AccountId>17803</AccountId>
        <AccountType/>
      </UserInfo>
    </Peer_x0020_Review_x0020_Required_x0020_By>
    <Content_x0020_Owner xmlns="2bd5d25a-ed67-4748-9d94-e4b1e4baa595">
      <UserInfo>
        <DisplayName>PEISLEY, Hope</DisplayName>
        <AccountId>4376</AccountId>
        <AccountType/>
      </UserInfo>
    </Content_x0020_Owner>
  </documentManagement>
</p:properties>
</file>

<file path=customXml/item4.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F63901B3-7A8C-4A09-A291-731C7965D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A7748-49AE-40BC-B65D-21F1AC0CAB8C}">
  <ds:schemaRefs>
    <ds:schemaRef ds:uri="http://schemas.microsoft.com/sharepoint/v3/contenttype/forms"/>
  </ds:schemaRefs>
</ds:datastoreItem>
</file>

<file path=customXml/itemProps3.xml><?xml version="1.0" encoding="utf-8"?>
<ds:datastoreItem xmlns:ds="http://schemas.openxmlformats.org/officeDocument/2006/customXml" ds:itemID="{9DA92DD6-81A4-4C7E-975D-40569B46A68D}">
  <ds:schemaRefs>
    <ds:schemaRef ds:uri="http://schemas.openxmlformats.org/package/2006/metadata/core-properties"/>
    <ds:schemaRef ds:uri="http://purl.org/dc/dcmitype/"/>
    <ds:schemaRef ds:uri="http://schemas.microsoft.com/office/infopath/2007/PartnerControls"/>
    <ds:schemaRef ds:uri="2bd5d25a-ed67-4748-9d94-e4b1e4baa595"/>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http://www.w3.org/XML/1998/namespace"/>
  </ds:schemaRefs>
</ds:datastoreItem>
</file>

<file path=customXml/itemProps4.xml><?xml version="1.0" encoding="utf-8"?>
<ds:datastoreItem xmlns:ds="http://schemas.openxmlformats.org/officeDocument/2006/customXml" ds:itemID="{6D1748A7-A033-4A88-A94D-4C631C34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Alicia</dc:creator>
  <cp:lastModifiedBy>Ferlitsch, Sarah</cp:lastModifiedBy>
  <cp:revision>7</cp:revision>
  <cp:lastPrinted>2020-05-29T02:59:00Z</cp:lastPrinted>
  <dcterms:created xsi:type="dcterms:W3CDTF">2020-05-26T05:44:00Z</dcterms:created>
  <dcterms:modified xsi:type="dcterms:W3CDTF">2020-06-03T01:20:00Z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b55235ed-5ca5-4ec6-8961-3a05ae543b2a,6;b55235ed-5ca5-4ec6-8961-3a05ae543b2a,6;b55235ed-5ca5-4ec6-8961-3a05ae543b2a,6;b55235ed-5ca5-4ec6-8961-3a05ae543b2a,6;b55235ed-5ca5-4ec6-8961-3a05ae543b2a,2;b55235ed-5ca5-4ec6-8961-3a05ae543b2a,2;b55235ed-5ca5-4ec6-89</vt:lpwstr>
  </property>
</Properties>
</file>