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us Gov and ATAGI header"/>
      </w:tblPr>
      <w:tblGrid>
        <w:gridCol w:w="3212"/>
        <w:gridCol w:w="6884"/>
      </w:tblGrid>
      <w:tr w:rsidR="004F3AA0" w14:paraId="3C880CF4" w14:textId="77777777" w:rsidTr="00FD22AF">
        <w:trPr>
          <w:trHeight w:val="1831"/>
          <w:tblHeader/>
        </w:trPr>
        <w:tc>
          <w:tcPr>
            <w:tcW w:w="3226" w:type="dxa"/>
            <w:shd w:val="clear" w:color="auto" w:fill="55259E"/>
            <w:vAlign w:val="center"/>
          </w:tcPr>
          <w:p w14:paraId="63AA4ED2" w14:textId="77777777" w:rsidR="004F3AA0" w:rsidRPr="004F3AA0" w:rsidRDefault="004F3AA0" w:rsidP="004F3AA0">
            <w:r w:rsidRPr="004F3AA0">
              <w:rPr>
                <w:noProof/>
              </w:rPr>
              <w:drawing>
                <wp:inline distT="0" distB="0" distL="0" distR="0" wp14:anchorId="251D84CA" wp14:editId="787BF1F3">
                  <wp:extent cx="1477010" cy="979170"/>
                  <wp:effectExtent l="0" t="0" r="8890" b="0"/>
                  <wp:docPr id="1" name="Picture 1" title="Aus Gov -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stacked_white.png"/>
                          <pic:cNvPicPr/>
                        </pic:nvPicPr>
                        <pic:blipFill>
                          <a:blip r:embed="rId12">
                            <a:extLst>
                              <a:ext uri="{28A0092B-C50C-407E-A947-70E740481C1C}">
                                <a14:useLocalDpi xmlns:a14="http://schemas.microsoft.com/office/drawing/2010/main" val="0"/>
                              </a:ext>
                            </a:extLst>
                          </a:blip>
                          <a:stretch>
                            <a:fillRect/>
                          </a:stretch>
                        </pic:blipFill>
                        <pic:spPr>
                          <a:xfrm>
                            <a:off x="0" y="0"/>
                            <a:ext cx="1477010" cy="979170"/>
                          </a:xfrm>
                          <a:prstGeom prst="rect">
                            <a:avLst/>
                          </a:prstGeom>
                          <a:solidFill>
                            <a:srgbClr val="57259F"/>
                          </a:solidFill>
                        </pic:spPr>
                      </pic:pic>
                    </a:graphicData>
                  </a:graphic>
                </wp:inline>
              </w:drawing>
            </w:r>
          </w:p>
        </w:tc>
        <w:tc>
          <w:tcPr>
            <w:tcW w:w="6980" w:type="dxa"/>
            <w:shd w:val="clear" w:color="auto" w:fill="55259E"/>
            <w:vAlign w:val="center"/>
          </w:tcPr>
          <w:p w14:paraId="179EA762" w14:textId="77777777" w:rsidR="003021C5" w:rsidRPr="00573A25" w:rsidRDefault="003021C5" w:rsidP="00573A25">
            <w:pPr>
              <w:ind w:right="175"/>
              <w:jc w:val="right"/>
              <w:rPr>
                <w:color w:val="FFFFFF" w:themeColor="background1"/>
                <w:sz w:val="28"/>
              </w:rPr>
            </w:pPr>
            <w:r w:rsidRPr="003021C5">
              <w:rPr>
                <w:color w:val="FFFFFF" w:themeColor="background1"/>
                <w:sz w:val="28"/>
              </w:rPr>
              <w:t>AUST</w:t>
            </w:r>
            <w:r w:rsidR="00573A25">
              <w:rPr>
                <w:color w:val="FFFFFF" w:themeColor="background1"/>
                <w:sz w:val="28"/>
              </w:rPr>
              <w:t xml:space="preserve">RALIAN TECHNICAL ADVISORY GROUP </w:t>
            </w:r>
            <w:r w:rsidRPr="003021C5">
              <w:rPr>
                <w:color w:val="FFFFFF" w:themeColor="background1"/>
                <w:sz w:val="28"/>
              </w:rPr>
              <w:t>ON</w:t>
            </w:r>
            <w:r w:rsidR="00573A25">
              <w:rPr>
                <w:color w:val="FFFFFF" w:themeColor="background1"/>
                <w:sz w:val="28"/>
              </w:rPr>
              <w:t xml:space="preserve"> </w:t>
            </w:r>
            <w:r w:rsidRPr="003021C5">
              <w:rPr>
                <w:color w:val="FFFFFF" w:themeColor="background1"/>
                <w:sz w:val="28"/>
              </w:rPr>
              <w:t>IMMUNISATION (ATAGI) |</w:t>
            </w:r>
            <w:r w:rsidRPr="003021C5">
              <w:rPr>
                <w:b/>
                <w:color w:val="FFFFFF" w:themeColor="background1"/>
                <w:sz w:val="28"/>
              </w:rPr>
              <w:t xml:space="preserve"> CLINICAL ADVICE</w:t>
            </w:r>
          </w:p>
        </w:tc>
      </w:tr>
      <w:tr w:rsidR="004F3AA0" w14:paraId="28D86EF3" w14:textId="77777777" w:rsidTr="00FD22AF">
        <w:tc>
          <w:tcPr>
            <w:tcW w:w="3226" w:type="dxa"/>
            <w:shd w:val="clear" w:color="auto" w:fill="55259E"/>
          </w:tcPr>
          <w:p w14:paraId="4A65C8E1" w14:textId="77777777" w:rsidR="004F3AA0" w:rsidRPr="004F3AA0" w:rsidRDefault="004F3AA0" w:rsidP="004F3AA0"/>
        </w:tc>
        <w:tc>
          <w:tcPr>
            <w:tcW w:w="6980" w:type="dxa"/>
            <w:shd w:val="clear" w:color="auto" w:fill="55259E"/>
            <w:vAlign w:val="center"/>
          </w:tcPr>
          <w:p w14:paraId="3DD82A38" w14:textId="07875E4F" w:rsidR="004F3AA0" w:rsidRPr="003021C5" w:rsidRDefault="00B712E8" w:rsidP="000A5062">
            <w:pPr>
              <w:pStyle w:val="BodyText"/>
              <w:ind w:right="175"/>
              <w:jc w:val="right"/>
              <w:rPr>
                <w:b/>
                <w:color w:val="FFFFFF" w:themeColor="background1"/>
              </w:rPr>
            </w:pPr>
            <w:r>
              <w:rPr>
                <w:b/>
                <w:color w:val="FFFFFF" w:themeColor="background1"/>
              </w:rPr>
              <w:t xml:space="preserve">Issue date: 1 </w:t>
            </w:r>
            <w:bookmarkStart w:id="0" w:name="_GoBack"/>
            <w:bookmarkEnd w:id="0"/>
            <w:r w:rsidR="003540A1">
              <w:rPr>
                <w:b/>
                <w:color w:val="FFFFFF" w:themeColor="background1"/>
              </w:rPr>
              <w:t>July</w:t>
            </w:r>
            <w:r w:rsidR="000A5062">
              <w:rPr>
                <w:b/>
                <w:color w:val="FFFFFF" w:themeColor="background1"/>
              </w:rPr>
              <w:t xml:space="preserve"> 2020</w:t>
            </w:r>
          </w:p>
        </w:tc>
      </w:tr>
      <w:tr w:rsidR="004F3AA0" w14:paraId="2AB965E2" w14:textId="77777777" w:rsidTr="00FD22AF">
        <w:trPr>
          <w:trHeight w:val="437"/>
        </w:trPr>
        <w:tc>
          <w:tcPr>
            <w:tcW w:w="3226" w:type="dxa"/>
            <w:shd w:val="clear" w:color="auto" w:fill="auto"/>
          </w:tcPr>
          <w:p w14:paraId="12253A7E" w14:textId="77777777" w:rsidR="004F3AA0" w:rsidRPr="004F3AA0" w:rsidRDefault="004F3AA0" w:rsidP="004F3AA0"/>
        </w:tc>
        <w:tc>
          <w:tcPr>
            <w:tcW w:w="6980" w:type="dxa"/>
            <w:shd w:val="clear" w:color="auto" w:fill="auto"/>
          </w:tcPr>
          <w:p w14:paraId="3941C1ED" w14:textId="77777777" w:rsidR="004F3AA0" w:rsidRPr="004F3AA0" w:rsidRDefault="004F3AA0" w:rsidP="004F3AA0"/>
        </w:tc>
      </w:tr>
    </w:tbl>
    <w:p w14:paraId="7AB17CCA" w14:textId="77777777" w:rsidR="00F60DB2" w:rsidRPr="00AC23C0" w:rsidRDefault="00F60DB2" w:rsidP="00F60DB2">
      <w:pPr>
        <w:pStyle w:val="Heading1Black"/>
        <w:spacing w:after="0"/>
        <w:rPr>
          <w:sz w:val="28"/>
          <w:szCs w:val="30"/>
        </w:rPr>
      </w:pPr>
      <w:r w:rsidRPr="00DA1DB3">
        <w:rPr>
          <w:sz w:val="28"/>
          <w:szCs w:val="30"/>
        </w:rPr>
        <w:t>ATAGI CLINICAL ADVICE</w:t>
      </w:r>
      <w:r w:rsidRPr="00AC23C0">
        <w:rPr>
          <w:sz w:val="28"/>
          <w:szCs w:val="30"/>
        </w:rPr>
        <w:t xml:space="preserve"> </w:t>
      </w:r>
      <w:r>
        <w:rPr>
          <w:sz w:val="28"/>
          <w:szCs w:val="30"/>
        </w:rPr>
        <w:t>on</w:t>
      </w:r>
      <w:r w:rsidRPr="00DA1DB3">
        <w:rPr>
          <w:sz w:val="28"/>
          <w:szCs w:val="30"/>
        </w:rPr>
        <w:t xml:space="preserve"> </w:t>
      </w:r>
      <w:r w:rsidRPr="005305C7">
        <w:rPr>
          <w:sz w:val="28"/>
          <w:szCs w:val="30"/>
        </w:rPr>
        <w:t xml:space="preserve">changes to recommendations for the use </w:t>
      </w:r>
      <w:r>
        <w:rPr>
          <w:sz w:val="28"/>
          <w:szCs w:val="30"/>
        </w:rPr>
        <w:t xml:space="preserve">and funding </w:t>
      </w:r>
      <w:r w:rsidRPr="005305C7">
        <w:rPr>
          <w:sz w:val="28"/>
          <w:szCs w:val="30"/>
        </w:rPr>
        <w:t xml:space="preserve">of pneumococcal </w:t>
      </w:r>
      <w:r>
        <w:rPr>
          <w:sz w:val="28"/>
          <w:szCs w:val="30"/>
        </w:rPr>
        <w:t>Vaccines from 1 july 2020</w:t>
      </w:r>
    </w:p>
    <w:p w14:paraId="7518D466" w14:textId="55A43E3B" w:rsidR="00C16705" w:rsidRPr="00C16705" w:rsidRDefault="006B5200" w:rsidP="00C16705">
      <w:pPr>
        <w:pStyle w:val="Sub-bullettedlist"/>
        <w:numPr>
          <w:ilvl w:val="0"/>
          <w:numId w:val="0"/>
        </w:numPr>
        <w:spacing w:before="240"/>
        <w:ind w:left="284"/>
        <w:rPr>
          <w:sz w:val="20"/>
        </w:rPr>
      </w:pPr>
      <w:r w:rsidRPr="00C16705">
        <w:rPr>
          <w:sz w:val="20"/>
        </w:rPr>
        <w:t xml:space="preserve">It is important to read this statement in conjunction with The Australian Immunisation Handbook available </w:t>
      </w:r>
      <w:r w:rsidR="004A1690" w:rsidRPr="00C16705">
        <w:rPr>
          <w:sz w:val="20"/>
        </w:rPr>
        <w:t xml:space="preserve">at </w:t>
      </w:r>
      <w:r w:rsidR="00CF1008" w:rsidRPr="00C16705">
        <w:rPr>
          <w:sz w:val="20"/>
        </w:rPr>
        <w:t>immunisationhandbook.</w:t>
      </w:r>
      <w:r w:rsidR="009A6FF4" w:rsidRPr="00C16705">
        <w:rPr>
          <w:sz w:val="20"/>
        </w:rPr>
        <w:t>health</w:t>
      </w:r>
      <w:r w:rsidR="00CF1008" w:rsidRPr="00C16705">
        <w:rPr>
          <w:sz w:val="20"/>
        </w:rPr>
        <w:t>.gov.au</w:t>
      </w:r>
      <w:r w:rsidR="00C16705" w:rsidRPr="00C16705">
        <w:rPr>
          <w:sz w:val="20"/>
        </w:rPr>
        <w:t xml:space="preserve"> and other related ATAGI statements on NIP schedule changes from 1 July 2020</w:t>
      </w:r>
    </w:p>
    <w:p w14:paraId="08E41950" w14:textId="77777777" w:rsidR="005E0FAB" w:rsidRPr="00AC23C0" w:rsidRDefault="00597F18" w:rsidP="005E0FAB">
      <w:pPr>
        <w:pStyle w:val="Heading2"/>
        <w:rPr>
          <w:sz w:val="20"/>
          <w:szCs w:val="18"/>
          <w:lang w:eastAsia="en-US"/>
        </w:rPr>
      </w:pPr>
      <w:r>
        <w:rPr>
          <w:sz w:val="20"/>
          <w:szCs w:val="18"/>
          <w:lang w:eastAsia="en-US"/>
        </w:rPr>
        <w:t>K</w:t>
      </w:r>
      <w:r w:rsidR="005E0FAB" w:rsidRPr="00AC23C0">
        <w:rPr>
          <w:sz w:val="20"/>
          <w:szCs w:val="18"/>
          <w:lang w:eastAsia="en-US"/>
        </w:rPr>
        <w:t xml:space="preserve">ey </w:t>
      </w:r>
      <w:r w:rsidR="00826860" w:rsidRPr="00AC23C0">
        <w:rPr>
          <w:sz w:val="20"/>
          <w:szCs w:val="18"/>
          <w:lang w:eastAsia="en-US"/>
        </w:rPr>
        <w:t xml:space="preserve">points </w:t>
      </w:r>
    </w:p>
    <w:p w14:paraId="1E0153F5" w14:textId="156DC8BA" w:rsidR="00707E1A" w:rsidRDefault="00D335C1" w:rsidP="00837B6B">
      <w:pPr>
        <w:pStyle w:val="BulletedList"/>
        <w:ind w:left="426" w:hanging="426"/>
        <w:rPr>
          <w:sz w:val="18"/>
          <w:szCs w:val="18"/>
        </w:rPr>
      </w:pPr>
      <w:r>
        <w:rPr>
          <w:sz w:val="18"/>
          <w:szCs w:val="18"/>
        </w:rPr>
        <w:t>The primary aim</w:t>
      </w:r>
      <w:r w:rsidR="00707E1A">
        <w:rPr>
          <w:sz w:val="18"/>
          <w:szCs w:val="18"/>
        </w:rPr>
        <w:t xml:space="preserve"> of </w:t>
      </w:r>
      <w:r w:rsidR="00B10455">
        <w:rPr>
          <w:sz w:val="18"/>
          <w:szCs w:val="18"/>
        </w:rPr>
        <w:t xml:space="preserve">ATAGI recommendations on pneumococcal vaccination </w:t>
      </w:r>
      <w:r w:rsidR="004E0820">
        <w:rPr>
          <w:sz w:val="18"/>
          <w:szCs w:val="18"/>
        </w:rPr>
        <w:t xml:space="preserve">and use </w:t>
      </w:r>
      <w:r w:rsidR="00707E1A">
        <w:rPr>
          <w:sz w:val="18"/>
          <w:szCs w:val="18"/>
        </w:rPr>
        <w:t xml:space="preserve">in the National Immunisation Program (NIP) </w:t>
      </w:r>
      <w:r>
        <w:rPr>
          <w:sz w:val="18"/>
          <w:szCs w:val="18"/>
        </w:rPr>
        <w:t>is</w:t>
      </w:r>
      <w:r w:rsidR="00707E1A">
        <w:rPr>
          <w:sz w:val="18"/>
          <w:szCs w:val="18"/>
        </w:rPr>
        <w:t xml:space="preserve"> to prevent pneumoc</w:t>
      </w:r>
      <w:r>
        <w:rPr>
          <w:sz w:val="18"/>
          <w:szCs w:val="18"/>
        </w:rPr>
        <w:t>o</w:t>
      </w:r>
      <w:r w:rsidR="00707E1A">
        <w:rPr>
          <w:sz w:val="18"/>
          <w:szCs w:val="18"/>
        </w:rPr>
        <w:t>ccal disease in peopl</w:t>
      </w:r>
      <w:r>
        <w:rPr>
          <w:sz w:val="18"/>
          <w:szCs w:val="18"/>
        </w:rPr>
        <w:t>e</w:t>
      </w:r>
      <w:r w:rsidR="00707E1A">
        <w:rPr>
          <w:sz w:val="18"/>
          <w:szCs w:val="18"/>
        </w:rPr>
        <w:t xml:space="preserve"> </w:t>
      </w:r>
      <w:r>
        <w:rPr>
          <w:sz w:val="18"/>
          <w:szCs w:val="18"/>
        </w:rPr>
        <w:t>wit</w:t>
      </w:r>
      <w:r w:rsidR="00707E1A">
        <w:rPr>
          <w:sz w:val="18"/>
          <w:szCs w:val="18"/>
        </w:rPr>
        <w:t>h increased risk of disease.</w:t>
      </w:r>
    </w:p>
    <w:p w14:paraId="3D64E749" w14:textId="6BC39E3F" w:rsidR="00335477" w:rsidRDefault="00335477" w:rsidP="00837B6B">
      <w:pPr>
        <w:pStyle w:val="BulletedList"/>
        <w:ind w:left="426" w:hanging="426"/>
        <w:rPr>
          <w:sz w:val="18"/>
          <w:szCs w:val="18"/>
        </w:rPr>
      </w:pPr>
      <w:r>
        <w:rPr>
          <w:sz w:val="18"/>
          <w:szCs w:val="18"/>
        </w:rPr>
        <w:t>P</w:t>
      </w:r>
      <w:r w:rsidRPr="004A7101">
        <w:rPr>
          <w:sz w:val="18"/>
          <w:szCs w:val="18"/>
        </w:rPr>
        <w:t xml:space="preserve">neumococcal disease incidence is highest in </w:t>
      </w:r>
      <w:r>
        <w:rPr>
          <w:sz w:val="18"/>
          <w:szCs w:val="18"/>
        </w:rPr>
        <w:t>infants and toddlers (aged &lt;5 years) and</w:t>
      </w:r>
      <w:r w:rsidRPr="004A7101">
        <w:rPr>
          <w:sz w:val="18"/>
          <w:szCs w:val="18"/>
        </w:rPr>
        <w:t xml:space="preserve"> older people</w:t>
      </w:r>
      <w:r>
        <w:rPr>
          <w:sz w:val="18"/>
          <w:szCs w:val="18"/>
        </w:rPr>
        <w:t>. The risk of pneumococcal disease is also high in</w:t>
      </w:r>
      <w:r w:rsidRPr="004A7101">
        <w:rPr>
          <w:sz w:val="18"/>
          <w:szCs w:val="18"/>
        </w:rPr>
        <w:t xml:space="preserve"> Aboriginal and Torres Strait Islander people, and people with certain </w:t>
      </w:r>
      <w:r w:rsidR="00364748">
        <w:rPr>
          <w:sz w:val="18"/>
          <w:szCs w:val="18"/>
        </w:rPr>
        <w:t xml:space="preserve">underlying </w:t>
      </w:r>
      <w:r w:rsidRPr="004A7101">
        <w:rPr>
          <w:sz w:val="18"/>
          <w:szCs w:val="18"/>
        </w:rPr>
        <w:t>medical or lifestyle conditions</w:t>
      </w:r>
      <w:r w:rsidR="00884F25">
        <w:rPr>
          <w:sz w:val="18"/>
          <w:szCs w:val="18"/>
        </w:rPr>
        <w:t>.</w:t>
      </w:r>
    </w:p>
    <w:p w14:paraId="31ABD5F3" w14:textId="6DEE930E" w:rsidR="009042EF" w:rsidRPr="009D7B06" w:rsidRDefault="00443649" w:rsidP="00837B6B">
      <w:pPr>
        <w:pStyle w:val="BulletedList"/>
        <w:ind w:left="426" w:hanging="426"/>
        <w:rPr>
          <w:sz w:val="18"/>
          <w:szCs w:val="18"/>
        </w:rPr>
      </w:pPr>
      <w:r w:rsidRPr="009D7B06">
        <w:rPr>
          <w:sz w:val="18"/>
          <w:szCs w:val="18"/>
        </w:rPr>
        <w:t xml:space="preserve">From 1 July 2020, recommendations for </w:t>
      </w:r>
      <w:r w:rsidR="006F229C" w:rsidRPr="009D7B06">
        <w:rPr>
          <w:sz w:val="18"/>
          <w:szCs w:val="18"/>
        </w:rPr>
        <w:t>pneumococcal</w:t>
      </w:r>
      <w:r w:rsidRPr="009D7B06">
        <w:rPr>
          <w:sz w:val="18"/>
          <w:szCs w:val="18"/>
        </w:rPr>
        <w:t xml:space="preserve"> vaccin</w:t>
      </w:r>
      <w:r w:rsidR="002E76CA" w:rsidRPr="009D7B06">
        <w:rPr>
          <w:sz w:val="18"/>
          <w:szCs w:val="18"/>
        </w:rPr>
        <w:t xml:space="preserve">e use </w:t>
      </w:r>
      <w:r w:rsidRPr="009D7B06">
        <w:rPr>
          <w:sz w:val="18"/>
          <w:szCs w:val="18"/>
        </w:rPr>
        <w:t xml:space="preserve">are </w:t>
      </w:r>
      <w:r w:rsidR="009042EF" w:rsidRPr="009D7B06">
        <w:rPr>
          <w:sz w:val="18"/>
          <w:szCs w:val="18"/>
        </w:rPr>
        <w:t>changing to make pneumococcal vaccines more readily available and give extra protection to people who are most at risk of disease</w:t>
      </w:r>
      <w:r w:rsidR="00B56F23" w:rsidRPr="009D7B06">
        <w:rPr>
          <w:sz w:val="18"/>
          <w:szCs w:val="18"/>
        </w:rPr>
        <w:t>.</w:t>
      </w:r>
      <w:r w:rsidR="009D7B06" w:rsidRPr="009D7B06">
        <w:rPr>
          <w:sz w:val="18"/>
          <w:szCs w:val="18"/>
          <w:lang w:val="en-AU"/>
        </w:rPr>
        <w:t xml:space="preserve"> They also seek</w:t>
      </w:r>
      <w:r w:rsidR="009D7B06" w:rsidRPr="00C22D05">
        <w:rPr>
          <w:sz w:val="18"/>
          <w:szCs w:val="18"/>
          <w:lang w:val="en-AU"/>
        </w:rPr>
        <w:t xml:space="preserve"> to </w:t>
      </w:r>
      <w:r w:rsidR="009D7B06" w:rsidRPr="00C22D05">
        <w:rPr>
          <w:sz w:val="18"/>
          <w:szCs w:val="18"/>
        </w:rPr>
        <w:t xml:space="preserve">simplify vaccination advice by making it easier to understand who should </w:t>
      </w:r>
      <w:r w:rsidR="0076044F">
        <w:rPr>
          <w:sz w:val="18"/>
          <w:szCs w:val="18"/>
        </w:rPr>
        <w:t>be</w:t>
      </w:r>
      <w:r w:rsidR="009D7B06" w:rsidRPr="00C22D05">
        <w:rPr>
          <w:sz w:val="18"/>
          <w:szCs w:val="18"/>
        </w:rPr>
        <w:t xml:space="preserve"> vaccinated, when and which vaccine they should get. </w:t>
      </w:r>
    </w:p>
    <w:p w14:paraId="1BE283B4" w14:textId="3D9D6C4B" w:rsidR="00593EE0" w:rsidRPr="00837B6B" w:rsidRDefault="006C11A0" w:rsidP="00837B6B">
      <w:pPr>
        <w:pStyle w:val="BulletedList"/>
        <w:ind w:left="426" w:hanging="426"/>
        <w:rPr>
          <w:iCs/>
          <w:sz w:val="18"/>
          <w:szCs w:val="18"/>
          <w:lang w:val="en-AU"/>
        </w:rPr>
      </w:pPr>
      <w:r w:rsidRPr="00884F25">
        <w:rPr>
          <w:sz w:val="18"/>
          <w:szCs w:val="18"/>
          <w:lang w:val="en-AU"/>
        </w:rPr>
        <w:t xml:space="preserve">The population groups </w:t>
      </w:r>
      <w:r w:rsidR="009D7B06" w:rsidRPr="00884F25">
        <w:rPr>
          <w:sz w:val="18"/>
          <w:szCs w:val="18"/>
          <w:lang w:val="en-AU"/>
        </w:rPr>
        <w:t>that these</w:t>
      </w:r>
      <w:r w:rsidR="00F3594A" w:rsidRPr="00884F25">
        <w:rPr>
          <w:sz w:val="18"/>
          <w:szCs w:val="18"/>
          <w:lang w:val="en-AU"/>
        </w:rPr>
        <w:t xml:space="preserve"> changes</w:t>
      </w:r>
      <w:r w:rsidR="008D5192" w:rsidRPr="00837B6B">
        <w:rPr>
          <w:sz w:val="18"/>
          <w:szCs w:val="18"/>
          <w:lang w:val="en-AU"/>
        </w:rPr>
        <w:t xml:space="preserve"> </w:t>
      </w:r>
      <w:r w:rsidR="009D7B06" w:rsidRPr="00837B6B">
        <w:rPr>
          <w:sz w:val="18"/>
          <w:szCs w:val="18"/>
          <w:lang w:val="en-AU"/>
        </w:rPr>
        <w:t>apply to</w:t>
      </w:r>
      <w:r w:rsidR="00477F6C" w:rsidRPr="00837B6B">
        <w:rPr>
          <w:sz w:val="18"/>
          <w:szCs w:val="18"/>
          <w:lang w:val="en-AU"/>
        </w:rPr>
        <w:t xml:space="preserve"> are</w:t>
      </w:r>
      <w:r w:rsidR="00B436B9">
        <w:rPr>
          <w:sz w:val="18"/>
          <w:szCs w:val="18"/>
          <w:lang w:val="en-AU"/>
        </w:rPr>
        <w:t>:</w:t>
      </w:r>
      <w:r w:rsidR="008D5192" w:rsidRPr="00837B6B">
        <w:rPr>
          <w:sz w:val="18"/>
          <w:szCs w:val="18"/>
          <w:lang w:val="en-AU"/>
        </w:rPr>
        <w:t xml:space="preserve">  </w:t>
      </w:r>
    </w:p>
    <w:p w14:paraId="5BE3582C" w14:textId="6899025A" w:rsidR="00593EE0" w:rsidRPr="00376184" w:rsidRDefault="00593EE0" w:rsidP="00837B6B">
      <w:pPr>
        <w:pStyle w:val="BulletedList"/>
        <w:numPr>
          <w:ilvl w:val="1"/>
          <w:numId w:val="4"/>
        </w:numPr>
        <w:tabs>
          <w:tab w:val="clear" w:pos="1800"/>
          <w:tab w:val="num" w:pos="851"/>
        </w:tabs>
        <w:ind w:left="851" w:hanging="425"/>
        <w:rPr>
          <w:bCs/>
          <w:i/>
          <w:iCs/>
          <w:sz w:val="18"/>
          <w:szCs w:val="18"/>
        </w:rPr>
      </w:pPr>
      <w:r w:rsidRPr="00593EE0">
        <w:rPr>
          <w:i/>
          <w:iCs/>
          <w:sz w:val="18"/>
          <w:szCs w:val="18"/>
          <w:lang w:val="en-AU"/>
        </w:rPr>
        <w:t>Children and adults with conditions</w:t>
      </w:r>
      <w:r w:rsidR="00727FCB">
        <w:rPr>
          <w:i/>
          <w:iCs/>
          <w:sz w:val="18"/>
          <w:szCs w:val="18"/>
          <w:lang w:val="en-AU"/>
        </w:rPr>
        <w:t xml:space="preserve"> that increase their</w:t>
      </w:r>
      <w:r w:rsidR="00376184">
        <w:rPr>
          <w:i/>
          <w:iCs/>
          <w:sz w:val="18"/>
          <w:szCs w:val="18"/>
          <w:lang w:val="en-AU"/>
        </w:rPr>
        <w:t xml:space="preserve"> </w:t>
      </w:r>
      <w:r w:rsidR="00727FCB" w:rsidRPr="00593EE0">
        <w:rPr>
          <w:i/>
          <w:iCs/>
          <w:sz w:val="18"/>
          <w:szCs w:val="18"/>
          <w:lang w:val="en-AU"/>
        </w:rPr>
        <w:t>risk</w:t>
      </w:r>
      <w:r w:rsidR="00727FCB">
        <w:rPr>
          <w:i/>
          <w:iCs/>
          <w:sz w:val="18"/>
          <w:szCs w:val="18"/>
          <w:lang w:val="en-AU"/>
        </w:rPr>
        <w:t xml:space="preserve"> from pneumococcal disease </w:t>
      </w:r>
      <w:r w:rsidR="00376184">
        <w:rPr>
          <w:i/>
          <w:iCs/>
          <w:sz w:val="18"/>
          <w:szCs w:val="18"/>
          <w:lang w:val="en-AU"/>
        </w:rPr>
        <w:t>(</w:t>
      </w:r>
      <w:r w:rsidR="0047627E">
        <w:rPr>
          <w:i/>
          <w:iCs/>
          <w:sz w:val="18"/>
          <w:szCs w:val="18"/>
          <w:lang w:val="en-AU"/>
        </w:rPr>
        <w:t xml:space="preserve">refer to </w:t>
      </w:r>
      <w:hyperlink r:id="rId13" w:history="1">
        <w:r w:rsidR="00703045" w:rsidRPr="004C1016">
          <w:rPr>
            <w:rStyle w:val="Hyperlink"/>
            <w:i/>
            <w:iCs/>
            <w:sz w:val="18"/>
            <w:szCs w:val="18"/>
            <w:lang w:val="en-AU"/>
          </w:rPr>
          <w:t xml:space="preserve">ATAGI clinical advice on changes to vaccine recommendations and funding for people with risk conditions </w:t>
        </w:r>
        <w:r w:rsidR="00376184" w:rsidRPr="004C1016">
          <w:rPr>
            <w:rStyle w:val="Hyperlink"/>
            <w:bCs/>
            <w:i/>
            <w:iCs/>
            <w:sz w:val="18"/>
            <w:szCs w:val="18"/>
          </w:rPr>
          <w:t xml:space="preserve"> from </w:t>
        </w:r>
        <w:r w:rsidR="002F0C8F" w:rsidRPr="004C1016">
          <w:rPr>
            <w:rStyle w:val="Hyperlink"/>
            <w:bCs/>
            <w:i/>
            <w:iCs/>
            <w:sz w:val="18"/>
            <w:szCs w:val="18"/>
          </w:rPr>
          <w:t xml:space="preserve">1 </w:t>
        </w:r>
        <w:r w:rsidR="00376184" w:rsidRPr="004C1016">
          <w:rPr>
            <w:rStyle w:val="Hyperlink"/>
            <w:bCs/>
            <w:i/>
            <w:iCs/>
            <w:sz w:val="18"/>
            <w:szCs w:val="18"/>
          </w:rPr>
          <w:t>July 2020</w:t>
        </w:r>
      </w:hyperlink>
      <w:r w:rsidR="00376184" w:rsidRPr="00376184">
        <w:rPr>
          <w:i/>
          <w:iCs/>
          <w:sz w:val="18"/>
          <w:szCs w:val="18"/>
          <w:lang w:val="en-AU"/>
        </w:rPr>
        <w:t>)</w:t>
      </w:r>
    </w:p>
    <w:p w14:paraId="50A8344E" w14:textId="30460760" w:rsidR="00727FCB" w:rsidRPr="00ED3FC7" w:rsidRDefault="001B2799" w:rsidP="00837B6B">
      <w:pPr>
        <w:pStyle w:val="BulletedList"/>
        <w:numPr>
          <w:ilvl w:val="1"/>
          <w:numId w:val="4"/>
        </w:numPr>
        <w:tabs>
          <w:tab w:val="clear" w:pos="1800"/>
          <w:tab w:val="num" w:pos="851"/>
        </w:tabs>
        <w:ind w:left="851" w:hanging="425"/>
        <w:rPr>
          <w:bCs/>
          <w:i/>
          <w:iCs/>
          <w:sz w:val="18"/>
          <w:szCs w:val="18"/>
        </w:rPr>
      </w:pPr>
      <w:r w:rsidRPr="001B2799">
        <w:rPr>
          <w:i/>
          <w:iCs/>
          <w:sz w:val="18"/>
          <w:szCs w:val="18"/>
          <w:lang w:val="en-AU"/>
        </w:rPr>
        <w:t>Aboriginal and Torres Strait Islander children in Northern Territory (NT), Queensland (</w:t>
      </w:r>
      <w:r w:rsidR="009E38D7" w:rsidRPr="001B2799">
        <w:rPr>
          <w:i/>
          <w:iCs/>
          <w:sz w:val="18"/>
          <w:szCs w:val="18"/>
          <w:lang w:val="en-AU"/>
        </w:rPr>
        <w:t>Q</w:t>
      </w:r>
      <w:r w:rsidR="009E38D7">
        <w:rPr>
          <w:i/>
          <w:iCs/>
          <w:sz w:val="18"/>
          <w:szCs w:val="18"/>
          <w:lang w:val="en-AU"/>
        </w:rPr>
        <w:t>ld</w:t>
      </w:r>
      <w:r w:rsidRPr="001B2799">
        <w:rPr>
          <w:i/>
          <w:iCs/>
          <w:sz w:val="18"/>
          <w:szCs w:val="18"/>
          <w:lang w:val="en-AU"/>
        </w:rPr>
        <w:t xml:space="preserve">), South Australia (SA) or Western Australia (WA) </w:t>
      </w:r>
    </w:p>
    <w:p w14:paraId="2F64706A" w14:textId="5B5C0559" w:rsidR="00767A8D" w:rsidRPr="00F46BEA" w:rsidRDefault="00703045" w:rsidP="00837B6B">
      <w:pPr>
        <w:pStyle w:val="BulletedList"/>
        <w:numPr>
          <w:ilvl w:val="1"/>
          <w:numId w:val="4"/>
        </w:numPr>
        <w:tabs>
          <w:tab w:val="clear" w:pos="1800"/>
          <w:tab w:val="num" w:pos="851"/>
        </w:tabs>
        <w:ind w:left="851" w:hanging="425"/>
        <w:rPr>
          <w:bCs/>
          <w:i/>
          <w:iCs/>
          <w:sz w:val="18"/>
          <w:szCs w:val="18"/>
        </w:rPr>
      </w:pPr>
      <w:r>
        <w:rPr>
          <w:i/>
          <w:iCs/>
          <w:sz w:val="18"/>
          <w:szCs w:val="18"/>
          <w:lang w:val="en-AU"/>
        </w:rPr>
        <w:t>A</w:t>
      </w:r>
      <w:r w:rsidR="00477F6C">
        <w:rPr>
          <w:i/>
          <w:iCs/>
          <w:sz w:val="18"/>
          <w:szCs w:val="18"/>
          <w:lang w:val="en-AU"/>
        </w:rPr>
        <w:t xml:space="preserve">ll Aboriginal and </w:t>
      </w:r>
      <w:r w:rsidR="00477F6C" w:rsidRPr="00477F6C">
        <w:rPr>
          <w:i/>
          <w:iCs/>
          <w:sz w:val="18"/>
          <w:szCs w:val="18"/>
          <w:lang w:val="en-AU"/>
        </w:rPr>
        <w:t xml:space="preserve">Torres Strait Islander </w:t>
      </w:r>
      <w:r w:rsidR="00477F6C">
        <w:rPr>
          <w:i/>
          <w:iCs/>
          <w:sz w:val="18"/>
          <w:szCs w:val="18"/>
          <w:lang w:val="en-AU"/>
        </w:rPr>
        <w:t>older</w:t>
      </w:r>
      <w:r w:rsidR="00531BB7">
        <w:rPr>
          <w:i/>
          <w:iCs/>
          <w:sz w:val="18"/>
          <w:szCs w:val="18"/>
          <w:lang w:val="en-AU"/>
        </w:rPr>
        <w:t xml:space="preserve"> (age ≥50 years)</w:t>
      </w:r>
      <w:r w:rsidR="00477F6C">
        <w:rPr>
          <w:i/>
          <w:iCs/>
          <w:sz w:val="18"/>
          <w:szCs w:val="18"/>
          <w:lang w:val="en-AU"/>
        </w:rPr>
        <w:t xml:space="preserve"> adults </w:t>
      </w:r>
      <w:r w:rsidR="00376184">
        <w:rPr>
          <w:i/>
          <w:iCs/>
          <w:sz w:val="18"/>
          <w:szCs w:val="18"/>
          <w:lang w:val="en-AU"/>
        </w:rPr>
        <w:t>(</w:t>
      </w:r>
      <w:r w:rsidR="0047627E">
        <w:rPr>
          <w:i/>
          <w:iCs/>
          <w:sz w:val="18"/>
          <w:szCs w:val="18"/>
          <w:lang w:val="en-AU"/>
        </w:rPr>
        <w:t xml:space="preserve">refer to </w:t>
      </w:r>
      <w:hyperlink r:id="rId14" w:history="1">
        <w:r w:rsidR="00376184" w:rsidRPr="004C1016">
          <w:rPr>
            <w:rStyle w:val="Hyperlink"/>
            <w:bCs/>
            <w:i/>
            <w:iCs/>
            <w:sz w:val="18"/>
            <w:szCs w:val="18"/>
          </w:rPr>
          <w:t xml:space="preserve">ATAGI </w:t>
        </w:r>
        <w:r w:rsidRPr="004C1016">
          <w:rPr>
            <w:rStyle w:val="Hyperlink"/>
            <w:bCs/>
            <w:i/>
            <w:iCs/>
            <w:sz w:val="18"/>
            <w:szCs w:val="18"/>
          </w:rPr>
          <w:t xml:space="preserve">clinical advice </w:t>
        </w:r>
        <w:r w:rsidR="00376184" w:rsidRPr="004C1016">
          <w:rPr>
            <w:rStyle w:val="Hyperlink"/>
            <w:bCs/>
            <w:i/>
            <w:iCs/>
            <w:sz w:val="18"/>
            <w:szCs w:val="18"/>
          </w:rPr>
          <w:t xml:space="preserve">on changes to vaccine </w:t>
        </w:r>
        <w:r w:rsidRPr="004C1016">
          <w:rPr>
            <w:rStyle w:val="Hyperlink"/>
            <w:bCs/>
            <w:i/>
            <w:iCs/>
            <w:sz w:val="18"/>
            <w:szCs w:val="18"/>
          </w:rPr>
          <w:t xml:space="preserve">recommendations and funding </w:t>
        </w:r>
        <w:r w:rsidR="00376184" w:rsidRPr="004C1016">
          <w:rPr>
            <w:rStyle w:val="Hyperlink"/>
            <w:bCs/>
            <w:i/>
            <w:iCs/>
            <w:sz w:val="18"/>
            <w:szCs w:val="18"/>
          </w:rPr>
          <w:t xml:space="preserve">for Aboriginal and Torres Strait Islander people from </w:t>
        </w:r>
        <w:r w:rsidR="002F0C8F" w:rsidRPr="004C1016">
          <w:rPr>
            <w:rStyle w:val="Hyperlink"/>
            <w:bCs/>
            <w:i/>
            <w:iCs/>
            <w:sz w:val="18"/>
            <w:szCs w:val="18"/>
          </w:rPr>
          <w:t xml:space="preserve">1 </w:t>
        </w:r>
        <w:r w:rsidR="00376184" w:rsidRPr="004C1016">
          <w:rPr>
            <w:rStyle w:val="Hyperlink"/>
            <w:bCs/>
            <w:i/>
            <w:iCs/>
            <w:sz w:val="18"/>
            <w:szCs w:val="18"/>
          </w:rPr>
          <w:t>July 2020</w:t>
        </w:r>
      </w:hyperlink>
      <w:r w:rsidR="00376184" w:rsidRPr="00376184">
        <w:rPr>
          <w:i/>
          <w:iCs/>
          <w:sz w:val="18"/>
          <w:szCs w:val="18"/>
          <w:lang w:val="en-AU"/>
        </w:rPr>
        <w:t>)</w:t>
      </w:r>
      <w:r w:rsidR="00767A8D" w:rsidRPr="00767A8D">
        <w:rPr>
          <w:i/>
          <w:iCs/>
          <w:sz w:val="18"/>
          <w:szCs w:val="18"/>
          <w:lang w:val="en-AU"/>
        </w:rPr>
        <w:t xml:space="preserve"> </w:t>
      </w:r>
    </w:p>
    <w:p w14:paraId="3BBA6A46" w14:textId="5ACDD36C" w:rsidR="001B2799" w:rsidRPr="00376184" w:rsidRDefault="00767A8D" w:rsidP="00837B6B">
      <w:pPr>
        <w:pStyle w:val="BulletedList"/>
        <w:numPr>
          <w:ilvl w:val="1"/>
          <w:numId w:val="4"/>
        </w:numPr>
        <w:tabs>
          <w:tab w:val="clear" w:pos="1800"/>
          <w:tab w:val="num" w:pos="851"/>
        </w:tabs>
        <w:ind w:left="851" w:hanging="425"/>
        <w:rPr>
          <w:bCs/>
          <w:i/>
          <w:iCs/>
          <w:sz w:val="18"/>
          <w:szCs w:val="18"/>
        </w:rPr>
      </w:pPr>
      <w:r w:rsidRPr="00767A8D">
        <w:rPr>
          <w:i/>
          <w:iCs/>
          <w:sz w:val="18"/>
          <w:szCs w:val="18"/>
          <w:lang w:val="en-AU"/>
        </w:rPr>
        <w:t>All non-Indigenous older</w:t>
      </w:r>
      <w:r w:rsidR="00531BB7">
        <w:rPr>
          <w:i/>
          <w:iCs/>
          <w:sz w:val="18"/>
          <w:szCs w:val="18"/>
          <w:lang w:val="en-AU"/>
        </w:rPr>
        <w:t xml:space="preserve"> (age ≥70 years)</w:t>
      </w:r>
      <w:r w:rsidRPr="00767A8D">
        <w:rPr>
          <w:i/>
          <w:iCs/>
          <w:sz w:val="18"/>
          <w:szCs w:val="18"/>
          <w:lang w:val="en-AU"/>
        </w:rPr>
        <w:t xml:space="preserve"> adults (refer to </w:t>
      </w:r>
      <w:hyperlink r:id="rId15" w:history="1">
        <w:r w:rsidRPr="004C1016">
          <w:rPr>
            <w:rStyle w:val="Hyperlink"/>
            <w:i/>
            <w:iCs/>
            <w:sz w:val="18"/>
            <w:szCs w:val="18"/>
            <w:lang w:val="en-AU"/>
          </w:rPr>
          <w:t>ATAGI clinical advice on changes to vaccine recommendations and funding for older non-Indigenous adults from 1 July 2020</w:t>
        </w:r>
      </w:hyperlink>
      <w:r w:rsidRPr="00767A8D">
        <w:rPr>
          <w:i/>
          <w:iCs/>
          <w:sz w:val="18"/>
          <w:szCs w:val="18"/>
          <w:lang w:val="en-AU"/>
        </w:rPr>
        <w:t>)</w:t>
      </w:r>
    </w:p>
    <w:p w14:paraId="0805B161" w14:textId="4BDF1B20" w:rsidR="004A788C" w:rsidRDefault="00580706" w:rsidP="00837B6B">
      <w:pPr>
        <w:pStyle w:val="BulletedList"/>
        <w:ind w:left="426" w:hanging="426"/>
        <w:rPr>
          <w:sz w:val="18"/>
          <w:szCs w:val="18"/>
        </w:rPr>
      </w:pPr>
      <w:r w:rsidRPr="004A788C">
        <w:rPr>
          <w:sz w:val="18"/>
          <w:szCs w:val="18"/>
        </w:rPr>
        <w:t xml:space="preserve">Clinicians should ensure </w:t>
      </w:r>
      <w:r w:rsidR="009C6C13">
        <w:rPr>
          <w:sz w:val="18"/>
          <w:szCs w:val="18"/>
        </w:rPr>
        <w:t xml:space="preserve">careful </w:t>
      </w:r>
      <w:r w:rsidRPr="004A788C">
        <w:rPr>
          <w:sz w:val="18"/>
          <w:szCs w:val="18"/>
        </w:rPr>
        <w:t>screen</w:t>
      </w:r>
      <w:r w:rsidR="009C6C13">
        <w:rPr>
          <w:sz w:val="18"/>
          <w:szCs w:val="18"/>
        </w:rPr>
        <w:t>ing of</w:t>
      </w:r>
      <w:r w:rsidRPr="004A788C">
        <w:rPr>
          <w:sz w:val="18"/>
          <w:szCs w:val="18"/>
        </w:rPr>
        <w:t xml:space="preserve"> all patients to determine if they have either</w:t>
      </w:r>
      <w:r w:rsidR="004A788C" w:rsidRPr="004A788C">
        <w:rPr>
          <w:sz w:val="18"/>
          <w:szCs w:val="18"/>
        </w:rPr>
        <w:t>; risk conditions for pneumococcal disease or identify as Aboriginal and Torres Strait Islander</w:t>
      </w:r>
      <w:r w:rsidR="004A788C">
        <w:rPr>
          <w:sz w:val="18"/>
          <w:szCs w:val="18"/>
        </w:rPr>
        <w:t>,</w:t>
      </w:r>
      <w:r w:rsidR="004A788C" w:rsidRPr="004A788C">
        <w:rPr>
          <w:sz w:val="18"/>
          <w:szCs w:val="18"/>
        </w:rPr>
        <w:t xml:space="preserve"> as this means they should receive additional vaccine doses, as described </w:t>
      </w:r>
      <w:r w:rsidR="004A788C">
        <w:rPr>
          <w:sz w:val="18"/>
          <w:szCs w:val="18"/>
        </w:rPr>
        <w:t>below</w:t>
      </w:r>
      <w:r w:rsidR="004A788C" w:rsidRPr="004A788C">
        <w:rPr>
          <w:sz w:val="18"/>
          <w:szCs w:val="18"/>
        </w:rPr>
        <w:t>.</w:t>
      </w:r>
      <w:r w:rsidR="007931C9">
        <w:rPr>
          <w:sz w:val="18"/>
          <w:szCs w:val="18"/>
        </w:rPr>
        <w:t xml:space="preserve"> These risk factors should be considered in addition to their age.</w:t>
      </w:r>
    </w:p>
    <w:p w14:paraId="5532E62D" w14:textId="35EC1AF8" w:rsidR="00335477" w:rsidRDefault="00335477" w:rsidP="00837B6B">
      <w:pPr>
        <w:pStyle w:val="BulletedList"/>
        <w:ind w:left="426" w:hanging="426"/>
        <w:rPr>
          <w:sz w:val="18"/>
          <w:szCs w:val="18"/>
        </w:rPr>
      </w:pPr>
      <w:r w:rsidRPr="009B0796">
        <w:rPr>
          <w:sz w:val="18"/>
          <w:szCs w:val="18"/>
        </w:rPr>
        <w:t xml:space="preserve">There are </w:t>
      </w:r>
      <w:r w:rsidRPr="00837B6B">
        <w:rPr>
          <w:sz w:val="18"/>
          <w:szCs w:val="18"/>
        </w:rPr>
        <w:t>no</w:t>
      </w:r>
      <w:r w:rsidRPr="009B0796">
        <w:rPr>
          <w:sz w:val="18"/>
          <w:szCs w:val="18"/>
        </w:rPr>
        <w:t xml:space="preserve"> changes to the </w:t>
      </w:r>
      <w:r>
        <w:rPr>
          <w:sz w:val="18"/>
          <w:szCs w:val="18"/>
        </w:rPr>
        <w:t>NIP</w:t>
      </w:r>
      <w:r w:rsidRPr="009B0796">
        <w:rPr>
          <w:sz w:val="18"/>
          <w:szCs w:val="18"/>
        </w:rPr>
        <w:t xml:space="preserve"> schedule</w:t>
      </w:r>
      <w:r>
        <w:rPr>
          <w:sz w:val="18"/>
          <w:szCs w:val="18"/>
        </w:rPr>
        <w:t xml:space="preserve"> and recommendations for pneumococcal vaccination in children aged ≤12 months. </w:t>
      </w:r>
    </w:p>
    <w:p w14:paraId="77C0850B" w14:textId="5C3DB90F" w:rsidR="00D35C09" w:rsidRPr="003017B5" w:rsidRDefault="00420FEC" w:rsidP="00E661A1">
      <w:pPr>
        <w:pStyle w:val="Heading3"/>
        <w:spacing w:after="40"/>
        <w:rPr>
          <w:b/>
          <w:sz w:val="20"/>
          <w:szCs w:val="18"/>
        </w:rPr>
      </w:pPr>
      <w:r w:rsidRPr="003017B5">
        <w:rPr>
          <w:b/>
          <w:sz w:val="20"/>
          <w:szCs w:val="18"/>
        </w:rPr>
        <w:t>Children and adults with conditions</w:t>
      </w:r>
      <w:r w:rsidR="00C01C29" w:rsidRPr="003017B5">
        <w:rPr>
          <w:b/>
          <w:sz w:val="20"/>
          <w:szCs w:val="18"/>
        </w:rPr>
        <w:t xml:space="preserve"> that increase the risk of pneumococcal disease</w:t>
      </w:r>
    </w:p>
    <w:p w14:paraId="5AC3B835" w14:textId="7F5F39DD" w:rsidR="00AF146F" w:rsidRDefault="00B6511F" w:rsidP="00AF146F">
      <w:pPr>
        <w:pStyle w:val="BulletedList"/>
        <w:ind w:left="426" w:hanging="426"/>
        <w:rPr>
          <w:sz w:val="18"/>
          <w:szCs w:val="18"/>
        </w:rPr>
      </w:pPr>
      <w:r w:rsidRPr="00837B6B">
        <w:rPr>
          <w:sz w:val="18"/>
          <w:szCs w:val="18"/>
        </w:rPr>
        <w:t xml:space="preserve">The list of </w:t>
      </w:r>
      <w:r w:rsidR="00492829" w:rsidRPr="00837B6B">
        <w:rPr>
          <w:sz w:val="18"/>
          <w:szCs w:val="18"/>
        </w:rPr>
        <w:t>conditions associated with an increased risk of pneumococcal disease has been updated. The</w:t>
      </w:r>
      <w:r w:rsidR="00DC4295" w:rsidRPr="00837B6B">
        <w:rPr>
          <w:sz w:val="18"/>
          <w:szCs w:val="18"/>
        </w:rPr>
        <w:t xml:space="preserve">re is now a </w:t>
      </w:r>
      <w:r w:rsidR="00DC4295" w:rsidRPr="00531BB7">
        <w:rPr>
          <w:sz w:val="18"/>
          <w:szCs w:val="18"/>
        </w:rPr>
        <w:t xml:space="preserve">single </w:t>
      </w:r>
      <w:r w:rsidR="00DC4295" w:rsidRPr="00837B6B">
        <w:rPr>
          <w:sz w:val="18"/>
          <w:szCs w:val="18"/>
        </w:rPr>
        <w:t xml:space="preserve">list </w:t>
      </w:r>
      <w:r w:rsidR="00672C2F" w:rsidRPr="00837B6B">
        <w:rPr>
          <w:sz w:val="18"/>
          <w:szCs w:val="18"/>
        </w:rPr>
        <w:t>of risk</w:t>
      </w:r>
      <w:r w:rsidR="00DC4295" w:rsidRPr="00837B6B">
        <w:rPr>
          <w:sz w:val="18"/>
          <w:szCs w:val="18"/>
        </w:rPr>
        <w:t xml:space="preserve"> conditions</w:t>
      </w:r>
      <w:r w:rsidR="00AF146F">
        <w:rPr>
          <w:sz w:val="18"/>
          <w:szCs w:val="18"/>
        </w:rPr>
        <w:t xml:space="preserve">, </w:t>
      </w:r>
      <w:r w:rsidR="00AF146F" w:rsidRPr="00531BB7">
        <w:rPr>
          <w:sz w:val="18"/>
          <w:szCs w:val="18"/>
        </w:rPr>
        <w:t xml:space="preserve">as supported by current </w:t>
      </w:r>
      <w:r w:rsidR="00AF146F">
        <w:rPr>
          <w:sz w:val="18"/>
          <w:szCs w:val="18"/>
        </w:rPr>
        <w:t xml:space="preserve">clinical </w:t>
      </w:r>
      <w:r w:rsidR="00AF146F" w:rsidRPr="00531BB7">
        <w:rPr>
          <w:sz w:val="18"/>
          <w:szCs w:val="18"/>
        </w:rPr>
        <w:t>evidence</w:t>
      </w:r>
      <w:r w:rsidR="00AF146F" w:rsidRPr="00AF146F">
        <w:rPr>
          <w:sz w:val="18"/>
          <w:szCs w:val="18"/>
        </w:rPr>
        <w:t>,</w:t>
      </w:r>
      <w:r w:rsidR="00DC4295" w:rsidRPr="00AF146F">
        <w:rPr>
          <w:sz w:val="18"/>
          <w:szCs w:val="18"/>
        </w:rPr>
        <w:t xml:space="preserve"> that replaces </w:t>
      </w:r>
      <w:r w:rsidR="00492829" w:rsidRPr="00AF146F">
        <w:rPr>
          <w:sz w:val="18"/>
          <w:szCs w:val="18"/>
        </w:rPr>
        <w:t xml:space="preserve">the previous </w:t>
      </w:r>
      <w:r w:rsidR="00C01C29" w:rsidRPr="00AF146F">
        <w:rPr>
          <w:sz w:val="18"/>
          <w:szCs w:val="18"/>
        </w:rPr>
        <w:t>‘</w:t>
      </w:r>
      <w:r w:rsidR="00492829" w:rsidRPr="00AF146F">
        <w:rPr>
          <w:sz w:val="18"/>
          <w:szCs w:val="18"/>
        </w:rPr>
        <w:t>Category A</w:t>
      </w:r>
      <w:r w:rsidR="00C01C29" w:rsidRPr="00AF146F">
        <w:rPr>
          <w:sz w:val="18"/>
          <w:szCs w:val="18"/>
        </w:rPr>
        <w:t>’</w:t>
      </w:r>
      <w:r w:rsidR="00492829" w:rsidRPr="00AF146F">
        <w:rPr>
          <w:sz w:val="18"/>
          <w:szCs w:val="18"/>
        </w:rPr>
        <w:t xml:space="preserve"> and </w:t>
      </w:r>
      <w:r w:rsidR="00C01C29" w:rsidRPr="00AF146F">
        <w:rPr>
          <w:sz w:val="18"/>
          <w:szCs w:val="18"/>
        </w:rPr>
        <w:t>‘</w:t>
      </w:r>
      <w:r w:rsidR="00492829" w:rsidRPr="00AF146F">
        <w:rPr>
          <w:sz w:val="18"/>
          <w:szCs w:val="18"/>
        </w:rPr>
        <w:t>Category B</w:t>
      </w:r>
      <w:r w:rsidR="00C01C29" w:rsidRPr="00AF146F">
        <w:rPr>
          <w:sz w:val="18"/>
          <w:szCs w:val="18"/>
        </w:rPr>
        <w:t>’</w:t>
      </w:r>
      <w:r w:rsidR="00492829" w:rsidRPr="00AF146F">
        <w:rPr>
          <w:sz w:val="18"/>
          <w:szCs w:val="18"/>
        </w:rPr>
        <w:t xml:space="preserve"> </w:t>
      </w:r>
      <w:r w:rsidR="00DC4295" w:rsidRPr="00AF146F">
        <w:rPr>
          <w:sz w:val="18"/>
          <w:szCs w:val="18"/>
        </w:rPr>
        <w:t xml:space="preserve">lists. </w:t>
      </w:r>
    </w:p>
    <w:p w14:paraId="2FBCDCAD" w14:textId="0494C7DA" w:rsidR="00492829" w:rsidRPr="00AF146F" w:rsidRDefault="00DC4295" w:rsidP="00AF146F">
      <w:pPr>
        <w:pStyle w:val="BulletedList"/>
        <w:ind w:left="426" w:hanging="426"/>
        <w:rPr>
          <w:sz w:val="18"/>
          <w:szCs w:val="18"/>
        </w:rPr>
      </w:pPr>
      <w:r w:rsidRPr="00AF146F">
        <w:rPr>
          <w:sz w:val="18"/>
          <w:szCs w:val="18"/>
        </w:rPr>
        <w:t>The definitions of some risk conditions have been updated to improve their recognition</w:t>
      </w:r>
      <w:r w:rsidR="00C01C29" w:rsidRPr="00AF146F">
        <w:rPr>
          <w:sz w:val="18"/>
          <w:szCs w:val="18"/>
        </w:rPr>
        <w:t xml:space="preserve"> and application</w:t>
      </w:r>
      <w:r w:rsidRPr="00AF146F">
        <w:rPr>
          <w:sz w:val="18"/>
          <w:szCs w:val="18"/>
        </w:rPr>
        <w:t xml:space="preserve">. </w:t>
      </w:r>
      <w:r w:rsidR="00492829" w:rsidRPr="00AF146F">
        <w:rPr>
          <w:sz w:val="18"/>
          <w:szCs w:val="18"/>
        </w:rPr>
        <w:t xml:space="preserve"> </w:t>
      </w:r>
    </w:p>
    <w:p w14:paraId="4464BD7E" w14:textId="3C769048" w:rsidR="00DF2934" w:rsidRPr="00837B6B" w:rsidRDefault="00425BE8" w:rsidP="00837B6B">
      <w:pPr>
        <w:pStyle w:val="BulletedList"/>
        <w:numPr>
          <w:ilvl w:val="1"/>
          <w:numId w:val="4"/>
        </w:numPr>
        <w:tabs>
          <w:tab w:val="clear" w:pos="1800"/>
          <w:tab w:val="num" w:pos="851"/>
        </w:tabs>
        <w:ind w:left="851" w:hanging="425"/>
        <w:rPr>
          <w:i/>
          <w:iCs/>
          <w:sz w:val="18"/>
          <w:szCs w:val="18"/>
          <w:lang w:val="en-AU"/>
        </w:rPr>
      </w:pPr>
      <w:r w:rsidRPr="00837B6B">
        <w:rPr>
          <w:i/>
          <w:iCs/>
          <w:sz w:val="18"/>
          <w:szCs w:val="18"/>
          <w:lang w:val="en-AU"/>
        </w:rPr>
        <w:t xml:space="preserve">Consolidation </w:t>
      </w:r>
      <w:r w:rsidR="00123D99" w:rsidRPr="00837B6B">
        <w:rPr>
          <w:i/>
          <w:iCs/>
          <w:sz w:val="18"/>
          <w:szCs w:val="18"/>
          <w:lang w:val="en-AU"/>
        </w:rPr>
        <w:t xml:space="preserve">of category A and B </w:t>
      </w:r>
      <w:r w:rsidRPr="00837B6B">
        <w:rPr>
          <w:i/>
          <w:iCs/>
          <w:sz w:val="18"/>
          <w:szCs w:val="18"/>
          <w:lang w:val="en-AU"/>
        </w:rPr>
        <w:t>lists</w:t>
      </w:r>
      <w:r w:rsidR="007B029A" w:rsidRPr="00837B6B">
        <w:rPr>
          <w:i/>
          <w:iCs/>
          <w:sz w:val="18"/>
          <w:szCs w:val="18"/>
          <w:lang w:val="en-AU"/>
        </w:rPr>
        <w:t xml:space="preserve"> </w:t>
      </w:r>
      <w:r w:rsidR="003B38D2" w:rsidRPr="00837B6B">
        <w:rPr>
          <w:i/>
          <w:iCs/>
          <w:sz w:val="18"/>
          <w:szCs w:val="18"/>
          <w:lang w:val="en-AU"/>
        </w:rPr>
        <w:t xml:space="preserve">into a </w:t>
      </w:r>
      <w:r w:rsidR="003B38D2" w:rsidRPr="00DE199A">
        <w:rPr>
          <w:i/>
          <w:iCs/>
          <w:sz w:val="18"/>
          <w:szCs w:val="18"/>
          <w:u w:val="single"/>
          <w:lang w:val="en-AU"/>
        </w:rPr>
        <w:t>single</w:t>
      </w:r>
      <w:r w:rsidR="003B38D2" w:rsidRPr="00837B6B">
        <w:rPr>
          <w:i/>
          <w:iCs/>
          <w:sz w:val="18"/>
          <w:szCs w:val="18"/>
          <w:lang w:val="en-AU"/>
        </w:rPr>
        <w:t xml:space="preserve"> </w:t>
      </w:r>
      <w:r w:rsidR="0068312F">
        <w:rPr>
          <w:i/>
          <w:iCs/>
          <w:sz w:val="18"/>
          <w:szCs w:val="18"/>
          <w:lang w:val="en-AU"/>
        </w:rPr>
        <w:t>updated</w:t>
      </w:r>
      <w:r w:rsidR="003B38D2" w:rsidRPr="00837B6B">
        <w:rPr>
          <w:i/>
          <w:iCs/>
          <w:sz w:val="18"/>
          <w:szCs w:val="18"/>
          <w:lang w:val="en-AU"/>
        </w:rPr>
        <w:t xml:space="preserve"> list </w:t>
      </w:r>
      <w:r w:rsidR="007B029A" w:rsidRPr="00837B6B">
        <w:rPr>
          <w:i/>
          <w:iCs/>
          <w:sz w:val="18"/>
          <w:szCs w:val="18"/>
          <w:lang w:val="en-AU"/>
        </w:rPr>
        <w:t xml:space="preserve">is designed to </w:t>
      </w:r>
      <w:r w:rsidR="009C4D64" w:rsidRPr="00837B6B">
        <w:rPr>
          <w:i/>
          <w:iCs/>
          <w:sz w:val="18"/>
          <w:szCs w:val="18"/>
          <w:lang w:val="en-AU"/>
        </w:rPr>
        <w:t xml:space="preserve">simplify the </w:t>
      </w:r>
      <w:r w:rsidR="00065CFF" w:rsidRPr="00837B6B">
        <w:rPr>
          <w:i/>
          <w:iCs/>
          <w:sz w:val="18"/>
          <w:szCs w:val="18"/>
          <w:lang w:val="en-AU"/>
        </w:rPr>
        <w:t xml:space="preserve">risk </w:t>
      </w:r>
      <w:r w:rsidR="00426468">
        <w:rPr>
          <w:i/>
          <w:iCs/>
          <w:sz w:val="18"/>
          <w:szCs w:val="18"/>
          <w:lang w:val="en-AU"/>
        </w:rPr>
        <w:t xml:space="preserve">condition </w:t>
      </w:r>
      <w:r w:rsidR="00065CFF" w:rsidRPr="00837B6B">
        <w:rPr>
          <w:i/>
          <w:iCs/>
          <w:sz w:val="18"/>
          <w:szCs w:val="18"/>
          <w:lang w:val="en-AU"/>
        </w:rPr>
        <w:t xml:space="preserve">based pneumococcal vaccination recommendations </w:t>
      </w:r>
      <w:r w:rsidR="00B6511F" w:rsidRPr="00837B6B">
        <w:rPr>
          <w:i/>
          <w:iCs/>
          <w:sz w:val="18"/>
          <w:szCs w:val="18"/>
          <w:lang w:val="en-AU"/>
        </w:rPr>
        <w:t>and</w:t>
      </w:r>
      <w:r w:rsidR="009C4D64" w:rsidRPr="00837B6B">
        <w:rPr>
          <w:i/>
          <w:iCs/>
          <w:sz w:val="18"/>
          <w:szCs w:val="18"/>
          <w:lang w:val="en-AU"/>
        </w:rPr>
        <w:t xml:space="preserve"> improve </w:t>
      </w:r>
      <w:r w:rsidR="00F620E5" w:rsidRPr="00837B6B">
        <w:rPr>
          <w:i/>
          <w:iCs/>
          <w:sz w:val="18"/>
          <w:szCs w:val="18"/>
          <w:lang w:val="en-AU"/>
        </w:rPr>
        <w:t>adherence to recommended</w:t>
      </w:r>
      <w:r w:rsidR="00550156">
        <w:rPr>
          <w:i/>
          <w:iCs/>
          <w:sz w:val="18"/>
          <w:szCs w:val="18"/>
          <w:lang w:val="en-AU"/>
        </w:rPr>
        <w:t xml:space="preserve"> </w:t>
      </w:r>
      <w:r w:rsidR="00F620E5" w:rsidRPr="00837B6B">
        <w:rPr>
          <w:i/>
          <w:iCs/>
          <w:sz w:val="18"/>
          <w:szCs w:val="18"/>
          <w:lang w:val="en-AU"/>
        </w:rPr>
        <w:t>schedules</w:t>
      </w:r>
      <w:r w:rsidR="009C4D64" w:rsidRPr="00837B6B">
        <w:rPr>
          <w:i/>
          <w:iCs/>
          <w:sz w:val="18"/>
          <w:szCs w:val="18"/>
          <w:lang w:val="en-AU"/>
        </w:rPr>
        <w:t>.</w:t>
      </w:r>
    </w:p>
    <w:p w14:paraId="37367FE3" w14:textId="383BA03C" w:rsidR="00EC3910" w:rsidRPr="004A788C" w:rsidRDefault="007931C9" w:rsidP="00837B6B">
      <w:pPr>
        <w:pStyle w:val="BulletedList"/>
        <w:ind w:left="426" w:hanging="426"/>
        <w:rPr>
          <w:sz w:val="18"/>
          <w:szCs w:val="18"/>
        </w:rPr>
      </w:pPr>
      <w:r>
        <w:rPr>
          <w:sz w:val="18"/>
          <w:szCs w:val="18"/>
        </w:rPr>
        <w:t xml:space="preserve">As of 1 July 2020, </w:t>
      </w:r>
      <w:r w:rsidR="000D0D9D" w:rsidRPr="004A788C">
        <w:rPr>
          <w:sz w:val="18"/>
          <w:szCs w:val="18"/>
        </w:rPr>
        <w:t xml:space="preserve">pneumococcal vaccines </w:t>
      </w:r>
      <w:r w:rsidR="00C01C29" w:rsidRPr="004A788C">
        <w:rPr>
          <w:sz w:val="18"/>
          <w:szCs w:val="18"/>
        </w:rPr>
        <w:t xml:space="preserve">recommended </w:t>
      </w:r>
      <w:r w:rsidR="000D0D9D" w:rsidRPr="004A788C">
        <w:rPr>
          <w:sz w:val="18"/>
          <w:szCs w:val="18"/>
        </w:rPr>
        <w:t xml:space="preserve">for many of </w:t>
      </w:r>
      <w:r w:rsidR="00C01C29" w:rsidRPr="004A788C">
        <w:rPr>
          <w:sz w:val="18"/>
          <w:szCs w:val="18"/>
        </w:rPr>
        <w:t>those with</w:t>
      </w:r>
      <w:r w:rsidR="000D0D9D" w:rsidRPr="004A788C">
        <w:rPr>
          <w:sz w:val="18"/>
          <w:szCs w:val="18"/>
        </w:rPr>
        <w:t xml:space="preserve"> risk conditions </w:t>
      </w:r>
      <w:r w:rsidR="001433D1">
        <w:rPr>
          <w:sz w:val="18"/>
          <w:szCs w:val="18"/>
        </w:rPr>
        <w:t xml:space="preserve">are </w:t>
      </w:r>
      <w:r w:rsidR="000D0D9D" w:rsidRPr="004A788C">
        <w:rPr>
          <w:sz w:val="18"/>
          <w:szCs w:val="18"/>
        </w:rPr>
        <w:t xml:space="preserve">funded under the NIP for children and </w:t>
      </w:r>
      <w:r w:rsidR="0076044F" w:rsidRPr="004A788C">
        <w:rPr>
          <w:sz w:val="18"/>
          <w:szCs w:val="18"/>
        </w:rPr>
        <w:t>adults. However</w:t>
      </w:r>
      <w:r w:rsidR="006A65B9" w:rsidRPr="004A788C">
        <w:rPr>
          <w:sz w:val="18"/>
          <w:szCs w:val="18"/>
        </w:rPr>
        <w:t>,</w:t>
      </w:r>
      <w:r w:rsidR="000D0D9D" w:rsidRPr="004A788C">
        <w:rPr>
          <w:sz w:val="18"/>
          <w:szCs w:val="18"/>
        </w:rPr>
        <w:t xml:space="preserve"> for </w:t>
      </w:r>
      <w:r w:rsidR="00097816" w:rsidRPr="004A788C">
        <w:rPr>
          <w:sz w:val="18"/>
          <w:szCs w:val="18"/>
        </w:rPr>
        <w:t xml:space="preserve">other </w:t>
      </w:r>
      <w:r w:rsidR="00335477">
        <w:rPr>
          <w:sz w:val="18"/>
          <w:szCs w:val="18"/>
        </w:rPr>
        <w:t xml:space="preserve">risk </w:t>
      </w:r>
      <w:r w:rsidR="000D0D9D" w:rsidRPr="004A788C">
        <w:rPr>
          <w:sz w:val="18"/>
          <w:szCs w:val="18"/>
        </w:rPr>
        <w:t xml:space="preserve">conditions </w:t>
      </w:r>
      <w:r w:rsidR="00BA7197">
        <w:rPr>
          <w:sz w:val="18"/>
          <w:szCs w:val="18"/>
        </w:rPr>
        <w:t>in the update</w:t>
      </w:r>
      <w:r w:rsidR="00794EA0">
        <w:rPr>
          <w:sz w:val="18"/>
          <w:szCs w:val="18"/>
        </w:rPr>
        <w:t>d</w:t>
      </w:r>
      <w:r w:rsidR="00BA7197">
        <w:rPr>
          <w:sz w:val="18"/>
          <w:szCs w:val="18"/>
        </w:rPr>
        <w:t xml:space="preserve"> list</w:t>
      </w:r>
      <w:r w:rsidR="00B436B9">
        <w:rPr>
          <w:sz w:val="18"/>
          <w:szCs w:val="18"/>
        </w:rPr>
        <w:t>,</w:t>
      </w:r>
      <w:r w:rsidR="00BA7197">
        <w:rPr>
          <w:sz w:val="18"/>
          <w:szCs w:val="18"/>
        </w:rPr>
        <w:t xml:space="preserve"> </w:t>
      </w:r>
      <w:r w:rsidR="000D0D9D" w:rsidRPr="004A788C">
        <w:rPr>
          <w:sz w:val="18"/>
          <w:szCs w:val="18"/>
        </w:rPr>
        <w:t xml:space="preserve">where the </w:t>
      </w:r>
      <w:r w:rsidR="00C537B6">
        <w:rPr>
          <w:sz w:val="18"/>
          <w:szCs w:val="18"/>
        </w:rPr>
        <w:t>rate of disease</w:t>
      </w:r>
      <w:r w:rsidR="000D0D9D" w:rsidRPr="004A788C">
        <w:rPr>
          <w:sz w:val="18"/>
          <w:szCs w:val="18"/>
        </w:rPr>
        <w:t xml:space="preserve"> is not sufficiently high </w:t>
      </w:r>
      <w:r w:rsidR="00EE36CC" w:rsidRPr="004A788C">
        <w:rPr>
          <w:sz w:val="18"/>
          <w:szCs w:val="18"/>
        </w:rPr>
        <w:t xml:space="preserve">enough </w:t>
      </w:r>
      <w:r w:rsidR="000D0D9D" w:rsidRPr="004A788C">
        <w:rPr>
          <w:sz w:val="18"/>
          <w:szCs w:val="18"/>
        </w:rPr>
        <w:t xml:space="preserve">to </w:t>
      </w:r>
      <w:r w:rsidR="00C537B6">
        <w:rPr>
          <w:sz w:val="18"/>
          <w:szCs w:val="18"/>
        </w:rPr>
        <w:t>be cost-ef</w:t>
      </w:r>
      <w:r w:rsidR="004E0820">
        <w:rPr>
          <w:sz w:val="18"/>
          <w:szCs w:val="18"/>
        </w:rPr>
        <w:t>f</w:t>
      </w:r>
      <w:r w:rsidR="00C537B6">
        <w:rPr>
          <w:sz w:val="18"/>
          <w:szCs w:val="18"/>
        </w:rPr>
        <w:t>ective given the cost of vaccine purchase and delivery</w:t>
      </w:r>
      <w:r w:rsidR="00EE36CC" w:rsidRPr="004A788C">
        <w:rPr>
          <w:sz w:val="18"/>
          <w:szCs w:val="18"/>
        </w:rPr>
        <w:t>,</w:t>
      </w:r>
      <w:r w:rsidR="000D0D9D" w:rsidRPr="004A788C">
        <w:rPr>
          <w:sz w:val="18"/>
          <w:szCs w:val="18"/>
        </w:rPr>
        <w:t xml:space="preserve"> people will not be eligible to receive the pneumococcal vaccines </w:t>
      </w:r>
      <w:r w:rsidR="00DE199A">
        <w:rPr>
          <w:sz w:val="18"/>
          <w:szCs w:val="18"/>
        </w:rPr>
        <w:t>funded</w:t>
      </w:r>
      <w:r w:rsidR="00DE199A" w:rsidRPr="004A788C">
        <w:rPr>
          <w:sz w:val="18"/>
          <w:szCs w:val="18"/>
        </w:rPr>
        <w:t xml:space="preserve"> </w:t>
      </w:r>
      <w:r w:rsidR="000D0D9D" w:rsidRPr="004A788C">
        <w:rPr>
          <w:sz w:val="18"/>
          <w:szCs w:val="18"/>
        </w:rPr>
        <w:t>under the NIP.</w:t>
      </w:r>
      <w:r w:rsidR="00EC3910" w:rsidRPr="004A788C">
        <w:rPr>
          <w:sz w:val="18"/>
          <w:szCs w:val="18"/>
        </w:rPr>
        <w:br w:type="page"/>
      </w:r>
    </w:p>
    <w:p w14:paraId="3CB0E682" w14:textId="77777777" w:rsidR="00B24744" w:rsidRDefault="00B24744" w:rsidP="00413927">
      <w:pPr>
        <w:pStyle w:val="Heading2"/>
        <w:rPr>
          <w:sz w:val="20"/>
          <w:szCs w:val="18"/>
          <w:lang w:eastAsia="en-US"/>
        </w:rPr>
      </w:pPr>
    </w:p>
    <w:p w14:paraId="7398B1DD" w14:textId="6C816E0A" w:rsidR="00413927" w:rsidRDefault="00C07A28" w:rsidP="00B24744">
      <w:pPr>
        <w:pStyle w:val="Heading2"/>
        <w:spacing w:before="0"/>
        <w:rPr>
          <w:sz w:val="20"/>
          <w:szCs w:val="18"/>
          <w:lang w:eastAsia="en-US"/>
        </w:rPr>
      </w:pPr>
      <w:r>
        <w:rPr>
          <w:sz w:val="20"/>
          <w:szCs w:val="18"/>
          <w:lang w:eastAsia="en-US"/>
        </w:rPr>
        <w:t xml:space="preserve">List. </w:t>
      </w:r>
      <w:r w:rsidR="00BA7197">
        <w:rPr>
          <w:sz w:val="20"/>
          <w:szCs w:val="18"/>
          <w:lang w:eastAsia="en-US"/>
        </w:rPr>
        <w:t>Updated list of r</w:t>
      </w:r>
      <w:r w:rsidR="00413927" w:rsidRPr="00776674">
        <w:rPr>
          <w:sz w:val="20"/>
          <w:szCs w:val="18"/>
          <w:lang w:eastAsia="en-US"/>
        </w:rPr>
        <w:t xml:space="preserve">isk conditions </w:t>
      </w:r>
      <w:r w:rsidR="00C50DAB">
        <w:rPr>
          <w:sz w:val="20"/>
          <w:szCs w:val="18"/>
          <w:lang w:eastAsia="en-US"/>
        </w:rPr>
        <w:t>for</w:t>
      </w:r>
      <w:r w:rsidR="00A56831" w:rsidRPr="00A56831">
        <w:rPr>
          <w:sz w:val="20"/>
          <w:szCs w:val="18"/>
          <w:lang w:eastAsia="en-US"/>
        </w:rPr>
        <w:t xml:space="preserve"> pneumococcal vaccine</w:t>
      </w:r>
      <w:r w:rsidR="00BA7197">
        <w:rPr>
          <w:sz w:val="20"/>
          <w:szCs w:val="18"/>
          <w:lang w:eastAsia="en-US"/>
        </w:rPr>
        <w:t xml:space="preserve"> </w:t>
      </w:r>
      <w:r w:rsidR="007827ED" w:rsidRPr="00A56831">
        <w:rPr>
          <w:sz w:val="20"/>
          <w:szCs w:val="18"/>
          <w:lang w:eastAsia="en-US"/>
        </w:rPr>
        <w:t>recommend</w:t>
      </w:r>
      <w:r w:rsidR="007827ED">
        <w:rPr>
          <w:sz w:val="20"/>
          <w:szCs w:val="18"/>
          <w:lang w:eastAsia="en-US"/>
        </w:rPr>
        <w:t>ations and</w:t>
      </w:r>
      <w:r w:rsidR="00BA7197">
        <w:rPr>
          <w:sz w:val="20"/>
          <w:szCs w:val="18"/>
          <w:lang w:eastAsia="en-US"/>
        </w:rPr>
        <w:t xml:space="preserve"> their eligibility for funding under the national immunisation program (NIP)</w:t>
      </w:r>
      <w:r w:rsidR="007931C9">
        <w:rPr>
          <w:sz w:val="20"/>
          <w:szCs w:val="18"/>
          <w:lang w:eastAsia="en-US"/>
        </w:rPr>
        <w:t xml:space="preserve"> </w:t>
      </w:r>
    </w:p>
    <w:tbl>
      <w:tblPr>
        <w:tblStyle w:val="TableGrid"/>
        <w:tblW w:w="4761" w:type="pct"/>
        <w:tblInd w:w="-34"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Seasonal influenza vaccines available for use in Australia in 2018, by age"/>
        <w:tblDescription w:val="Six influenza vaccines are available in Australia in 2018. FluQuadri Junior can be used from 6 months to less than 3 years. FluQuadri can be used from 3 years of age. Fluarix Tetra can be used from 3 years of age. Afluria Quad can be used from 18 years of age. Fluzone High-Dose can be used only for those 65 years of age and older. Fluad can be used only for those 65 years of age and older."/>
      </w:tblPr>
      <w:tblGrid>
        <w:gridCol w:w="7079"/>
        <w:gridCol w:w="1389"/>
        <w:gridCol w:w="1248"/>
      </w:tblGrid>
      <w:tr w:rsidR="00615E8B" w:rsidRPr="00D57407" w14:paraId="3D0E026F" w14:textId="31E91FBF" w:rsidTr="00B24744">
        <w:trPr>
          <w:trHeight w:val="263"/>
          <w:tblHeader/>
        </w:trPr>
        <w:tc>
          <w:tcPr>
            <w:tcW w:w="3643" w:type="pct"/>
            <w:vMerge w:val="restart"/>
            <w:shd w:val="clear" w:color="auto" w:fill="57259F"/>
            <w:vAlign w:val="center"/>
          </w:tcPr>
          <w:p w14:paraId="7A802EBD" w14:textId="1582EA16" w:rsidR="00615E8B" w:rsidRPr="00B24744" w:rsidRDefault="00615E8B" w:rsidP="00211009">
            <w:pPr>
              <w:pStyle w:val="TableHeading"/>
              <w:rPr>
                <w:rFonts w:asciiTheme="minorHAnsi" w:hAnsiTheme="minorHAnsi" w:cstheme="minorHAnsi"/>
                <w:color w:val="FFFFFF" w:themeColor="background1"/>
                <w:sz w:val="19"/>
                <w:szCs w:val="19"/>
              </w:rPr>
            </w:pPr>
            <w:r w:rsidRPr="00B24744">
              <w:rPr>
                <w:rFonts w:asciiTheme="minorHAnsi" w:hAnsiTheme="minorHAnsi" w:cstheme="minorHAnsi"/>
                <w:color w:val="FFFFFF" w:themeColor="background1"/>
                <w:sz w:val="19"/>
                <w:szCs w:val="19"/>
              </w:rPr>
              <w:t>Risk condition</w:t>
            </w:r>
          </w:p>
        </w:tc>
        <w:tc>
          <w:tcPr>
            <w:tcW w:w="1357" w:type="pct"/>
            <w:gridSpan w:val="2"/>
            <w:shd w:val="clear" w:color="auto" w:fill="57259F"/>
            <w:vAlign w:val="center"/>
          </w:tcPr>
          <w:p w14:paraId="5773BF4C" w14:textId="3C677589" w:rsidR="00615E8B" w:rsidRPr="00B24744" w:rsidRDefault="00615E8B" w:rsidP="007F2D75">
            <w:pPr>
              <w:pStyle w:val="TableHeading"/>
              <w:jc w:val="center"/>
              <w:rPr>
                <w:rFonts w:asciiTheme="minorHAnsi" w:hAnsiTheme="minorHAnsi" w:cstheme="minorHAnsi"/>
                <w:color w:val="FFFFFF" w:themeColor="background1"/>
                <w:sz w:val="19"/>
                <w:szCs w:val="19"/>
              </w:rPr>
            </w:pPr>
            <w:r w:rsidRPr="00B24744">
              <w:rPr>
                <w:rFonts w:asciiTheme="minorHAnsi" w:hAnsiTheme="minorHAnsi" w:cstheme="minorHAnsi"/>
                <w:color w:val="FFFFFF" w:themeColor="background1"/>
                <w:sz w:val="19"/>
                <w:szCs w:val="19"/>
              </w:rPr>
              <w:t>Eligibility for NIP funding</w:t>
            </w:r>
          </w:p>
        </w:tc>
      </w:tr>
      <w:tr w:rsidR="00615E8B" w:rsidRPr="00D57407" w14:paraId="0EC4A3DD" w14:textId="77777777" w:rsidTr="00B24744">
        <w:trPr>
          <w:trHeight w:val="341"/>
          <w:tblHeader/>
        </w:trPr>
        <w:tc>
          <w:tcPr>
            <w:tcW w:w="3643" w:type="pct"/>
            <w:vMerge/>
            <w:shd w:val="clear" w:color="auto" w:fill="57259F"/>
            <w:vAlign w:val="center"/>
          </w:tcPr>
          <w:p w14:paraId="1A75C550" w14:textId="77777777" w:rsidR="00615E8B" w:rsidRPr="00B24744" w:rsidRDefault="00615E8B" w:rsidP="00485852">
            <w:pPr>
              <w:pStyle w:val="TableHeading"/>
              <w:rPr>
                <w:rFonts w:asciiTheme="minorHAnsi" w:hAnsiTheme="minorHAnsi" w:cstheme="minorHAnsi"/>
                <w:color w:val="FFFFFF" w:themeColor="background1"/>
                <w:sz w:val="19"/>
                <w:szCs w:val="19"/>
              </w:rPr>
            </w:pPr>
          </w:p>
        </w:tc>
        <w:tc>
          <w:tcPr>
            <w:tcW w:w="715" w:type="pct"/>
            <w:shd w:val="clear" w:color="auto" w:fill="57259F"/>
            <w:vAlign w:val="center"/>
          </w:tcPr>
          <w:p w14:paraId="331F4344" w14:textId="4608AF32" w:rsidR="00615E8B" w:rsidRPr="00B24744" w:rsidRDefault="00615E8B" w:rsidP="007F2D75">
            <w:pPr>
              <w:pStyle w:val="TableHeading"/>
              <w:jc w:val="center"/>
              <w:rPr>
                <w:rFonts w:asciiTheme="minorHAnsi" w:hAnsiTheme="minorHAnsi" w:cstheme="minorHAnsi"/>
                <w:color w:val="FFFFFF" w:themeColor="background1"/>
                <w:sz w:val="19"/>
                <w:szCs w:val="19"/>
              </w:rPr>
            </w:pPr>
            <w:r w:rsidRPr="00B24744">
              <w:rPr>
                <w:rFonts w:asciiTheme="minorHAnsi" w:hAnsiTheme="minorHAnsi" w:cstheme="minorHAnsi"/>
                <w:color w:val="FFFFFF" w:themeColor="background1"/>
                <w:sz w:val="19"/>
                <w:szCs w:val="19"/>
              </w:rPr>
              <w:t>&lt;5 years of age</w:t>
            </w:r>
          </w:p>
        </w:tc>
        <w:tc>
          <w:tcPr>
            <w:tcW w:w="643" w:type="pct"/>
            <w:shd w:val="clear" w:color="auto" w:fill="57259F"/>
          </w:tcPr>
          <w:p w14:paraId="51644555" w14:textId="5635DC8A" w:rsidR="00615E8B" w:rsidRPr="00B24744" w:rsidRDefault="00615E8B" w:rsidP="007F2D75">
            <w:pPr>
              <w:pStyle w:val="TableHeading"/>
              <w:jc w:val="center"/>
              <w:rPr>
                <w:rFonts w:asciiTheme="minorHAnsi" w:hAnsiTheme="minorHAnsi" w:cstheme="minorHAnsi"/>
                <w:color w:val="FFFFFF" w:themeColor="background1"/>
                <w:sz w:val="19"/>
                <w:szCs w:val="19"/>
              </w:rPr>
            </w:pPr>
            <w:r w:rsidRPr="00B24744">
              <w:rPr>
                <w:rFonts w:ascii="Arial" w:hAnsi="Arial" w:cs="Arial"/>
                <w:color w:val="FFFFFF" w:themeColor="background1"/>
                <w:sz w:val="19"/>
                <w:szCs w:val="19"/>
              </w:rPr>
              <w:t>≥</w:t>
            </w:r>
            <w:r w:rsidRPr="00B24744">
              <w:rPr>
                <w:rFonts w:asciiTheme="minorHAnsi" w:hAnsiTheme="minorHAnsi" w:cstheme="minorHAnsi"/>
                <w:color w:val="FFFFFF" w:themeColor="background1"/>
                <w:sz w:val="19"/>
                <w:szCs w:val="19"/>
              </w:rPr>
              <w:t>5 years of age</w:t>
            </w:r>
          </w:p>
        </w:tc>
      </w:tr>
      <w:tr w:rsidR="00141F53" w:rsidRPr="00D57407" w14:paraId="17DD63C4" w14:textId="0E7EA971" w:rsidTr="00B24744">
        <w:trPr>
          <w:trHeight w:val="203"/>
        </w:trPr>
        <w:tc>
          <w:tcPr>
            <w:tcW w:w="3643" w:type="pct"/>
            <w:shd w:val="clear" w:color="auto" w:fill="CCC0D9"/>
            <w:vAlign w:val="center"/>
          </w:tcPr>
          <w:p w14:paraId="64374A2E" w14:textId="77777777" w:rsidR="00141F53" w:rsidRPr="00615E8B" w:rsidRDefault="00141F53" w:rsidP="00BF4DFC">
            <w:pPr>
              <w:spacing w:line="240" w:lineRule="auto"/>
              <w:rPr>
                <w:rFonts w:asciiTheme="minorHAnsi" w:hAnsiTheme="minorHAnsi" w:cstheme="minorHAnsi"/>
                <w:color w:val="000000"/>
                <w:sz w:val="19"/>
                <w:szCs w:val="19"/>
              </w:rPr>
            </w:pPr>
            <w:r w:rsidRPr="00615E8B">
              <w:rPr>
                <w:rFonts w:asciiTheme="minorHAnsi" w:hAnsiTheme="minorHAnsi" w:cstheme="minorHAnsi"/>
                <w:color w:val="000000"/>
                <w:sz w:val="19"/>
                <w:szCs w:val="19"/>
              </w:rPr>
              <w:t>Previous episode of invasive pneumococcal disease</w:t>
            </w:r>
          </w:p>
        </w:tc>
        <w:tc>
          <w:tcPr>
            <w:tcW w:w="715" w:type="pct"/>
            <w:shd w:val="clear" w:color="auto" w:fill="E8E8E8"/>
            <w:vAlign w:val="center"/>
          </w:tcPr>
          <w:p w14:paraId="3825A951" w14:textId="77777777" w:rsidR="00141F53" w:rsidRPr="00615E8B" w:rsidRDefault="00141F53" w:rsidP="00615E8B">
            <w:pPr>
              <w:pStyle w:val="NormalWeb"/>
              <w:spacing w:before="0" w:beforeAutospacing="0" w:after="0" w:afterAutospacing="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E8E8E8"/>
            <w:vAlign w:val="center"/>
          </w:tcPr>
          <w:p w14:paraId="2C371DEE" w14:textId="1DE66950" w:rsidR="00141F53" w:rsidRPr="00615E8B" w:rsidRDefault="00141F53" w:rsidP="00615E8B">
            <w:pPr>
              <w:pStyle w:val="NormalWeb"/>
              <w:spacing w:before="0" w:beforeAutospacing="0" w:after="0" w:afterAutospacing="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32478AFC" w14:textId="5984110C" w:rsidTr="00B24744">
        <w:trPr>
          <w:trHeight w:val="348"/>
        </w:trPr>
        <w:tc>
          <w:tcPr>
            <w:tcW w:w="3643" w:type="pct"/>
            <w:shd w:val="clear" w:color="auto" w:fill="CCC0D9"/>
            <w:vAlign w:val="center"/>
          </w:tcPr>
          <w:p w14:paraId="234919CA" w14:textId="77777777" w:rsidR="00141F53" w:rsidRPr="00615E8B" w:rsidRDefault="00141F53" w:rsidP="00BF4DFC">
            <w:pPr>
              <w:spacing w:line="240" w:lineRule="auto"/>
              <w:rPr>
                <w:rFonts w:asciiTheme="minorHAnsi" w:hAnsiTheme="minorHAnsi" w:cstheme="minorHAnsi"/>
                <w:b/>
                <w:i/>
                <w:color w:val="000000"/>
                <w:sz w:val="19"/>
                <w:szCs w:val="19"/>
              </w:rPr>
            </w:pPr>
            <w:r w:rsidRPr="00615E8B">
              <w:rPr>
                <w:rFonts w:asciiTheme="minorHAnsi" w:hAnsiTheme="minorHAnsi" w:cstheme="minorHAnsi"/>
                <w:b/>
                <w:i/>
                <w:color w:val="000000"/>
                <w:sz w:val="19"/>
                <w:szCs w:val="19"/>
              </w:rPr>
              <w:t xml:space="preserve">Functional or anatomical </w:t>
            </w:r>
            <w:proofErr w:type="spellStart"/>
            <w:r w:rsidRPr="00615E8B">
              <w:rPr>
                <w:rFonts w:asciiTheme="minorHAnsi" w:hAnsiTheme="minorHAnsi" w:cstheme="minorHAnsi"/>
                <w:b/>
                <w:i/>
                <w:color w:val="000000"/>
                <w:sz w:val="19"/>
                <w:szCs w:val="19"/>
              </w:rPr>
              <w:t>asplenia</w:t>
            </w:r>
            <w:proofErr w:type="spellEnd"/>
            <w:r w:rsidRPr="00615E8B">
              <w:rPr>
                <w:rFonts w:asciiTheme="minorHAnsi" w:hAnsiTheme="minorHAnsi" w:cstheme="minorHAnsi"/>
                <w:b/>
                <w:i/>
                <w:color w:val="000000"/>
                <w:sz w:val="19"/>
                <w:szCs w:val="19"/>
              </w:rPr>
              <w:t>, including</w:t>
            </w:r>
          </w:p>
        </w:tc>
        <w:tc>
          <w:tcPr>
            <w:tcW w:w="715" w:type="pct"/>
            <w:shd w:val="clear" w:color="auto" w:fill="auto"/>
            <w:vAlign w:val="center"/>
          </w:tcPr>
          <w:p w14:paraId="466F2E14" w14:textId="77777777"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3A8ECE2E"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3B3BE3FA" w14:textId="138885DE" w:rsidTr="00B24744">
        <w:trPr>
          <w:trHeight w:val="195"/>
        </w:trPr>
        <w:tc>
          <w:tcPr>
            <w:tcW w:w="3643" w:type="pct"/>
            <w:shd w:val="clear" w:color="auto" w:fill="CCC0D9"/>
            <w:vAlign w:val="center"/>
          </w:tcPr>
          <w:p w14:paraId="7DABB797"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xml:space="preserve">– sickle cell disease or other </w:t>
            </w:r>
            <w:proofErr w:type="spellStart"/>
            <w:r w:rsidRPr="00615E8B">
              <w:rPr>
                <w:rFonts w:asciiTheme="minorHAnsi" w:hAnsiTheme="minorHAnsi" w:cstheme="minorHAnsi"/>
                <w:color w:val="000000"/>
                <w:sz w:val="19"/>
                <w:szCs w:val="19"/>
              </w:rPr>
              <w:t>haemoglobinopathies</w:t>
            </w:r>
            <w:proofErr w:type="spellEnd"/>
          </w:p>
        </w:tc>
        <w:tc>
          <w:tcPr>
            <w:tcW w:w="715" w:type="pct"/>
            <w:shd w:val="clear" w:color="auto" w:fill="E8E8E8"/>
            <w:vAlign w:val="center"/>
          </w:tcPr>
          <w:p w14:paraId="3FAF1816"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E8E8E8"/>
            <w:vAlign w:val="center"/>
          </w:tcPr>
          <w:p w14:paraId="7784503D" w14:textId="2B62D371"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24A7A964" w14:textId="2A073603" w:rsidTr="00B24744">
        <w:trPr>
          <w:trHeight w:val="70"/>
        </w:trPr>
        <w:tc>
          <w:tcPr>
            <w:tcW w:w="3643" w:type="pct"/>
            <w:shd w:val="clear" w:color="auto" w:fill="CCC0D9"/>
            <w:vAlign w:val="center"/>
          </w:tcPr>
          <w:p w14:paraId="03A5BB73"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xml:space="preserve">– congenital or acquired </w:t>
            </w:r>
            <w:proofErr w:type="spellStart"/>
            <w:r w:rsidRPr="00615E8B">
              <w:rPr>
                <w:rFonts w:asciiTheme="minorHAnsi" w:hAnsiTheme="minorHAnsi" w:cstheme="minorHAnsi"/>
                <w:color w:val="000000"/>
                <w:sz w:val="19"/>
                <w:szCs w:val="19"/>
              </w:rPr>
              <w:t>asplenia</w:t>
            </w:r>
            <w:proofErr w:type="spellEnd"/>
            <w:r w:rsidRPr="00615E8B">
              <w:rPr>
                <w:rFonts w:asciiTheme="minorHAnsi" w:hAnsiTheme="minorHAnsi" w:cstheme="minorHAnsi"/>
                <w:color w:val="000000"/>
                <w:sz w:val="19"/>
                <w:szCs w:val="19"/>
              </w:rPr>
              <w:t xml:space="preserve"> (for example, splenectomy) or </w:t>
            </w:r>
            <w:proofErr w:type="spellStart"/>
            <w:r w:rsidRPr="00615E8B">
              <w:rPr>
                <w:rFonts w:asciiTheme="minorHAnsi" w:hAnsiTheme="minorHAnsi" w:cstheme="minorHAnsi"/>
                <w:color w:val="000000"/>
                <w:sz w:val="19"/>
                <w:szCs w:val="19"/>
              </w:rPr>
              <w:t>hyposplenia</w:t>
            </w:r>
            <w:proofErr w:type="spellEnd"/>
          </w:p>
        </w:tc>
        <w:tc>
          <w:tcPr>
            <w:tcW w:w="715" w:type="pct"/>
            <w:shd w:val="clear" w:color="auto" w:fill="E8E8E8"/>
            <w:vAlign w:val="center"/>
          </w:tcPr>
          <w:p w14:paraId="0814E526"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E8E8E8"/>
            <w:vAlign w:val="center"/>
          </w:tcPr>
          <w:p w14:paraId="71AFE2AF" w14:textId="0956646E"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01374EB7" w14:textId="03984C5D" w:rsidTr="00B24744">
        <w:trPr>
          <w:trHeight w:val="305"/>
        </w:trPr>
        <w:tc>
          <w:tcPr>
            <w:tcW w:w="3643" w:type="pct"/>
            <w:shd w:val="clear" w:color="auto" w:fill="CCC0D9"/>
            <w:vAlign w:val="center"/>
          </w:tcPr>
          <w:p w14:paraId="4F1A18D9" w14:textId="77777777" w:rsidR="00141F53" w:rsidRPr="00615E8B" w:rsidRDefault="00141F53" w:rsidP="00BF4DFC">
            <w:pPr>
              <w:spacing w:line="240" w:lineRule="auto"/>
              <w:rPr>
                <w:rFonts w:asciiTheme="minorHAnsi" w:hAnsiTheme="minorHAnsi" w:cstheme="minorHAnsi"/>
                <w:b/>
                <w:i/>
                <w:color w:val="000000"/>
                <w:sz w:val="19"/>
                <w:szCs w:val="19"/>
              </w:rPr>
            </w:pPr>
            <w:r w:rsidRPr="00615E8B">
              <w:rPr>
                <w:rFonts w:asciiTheme="minorHAnsi" w:hAnsiTheme="minorHAnsi" w:cstheme="minorHAnsi"/>
                <w:b/>
                <w:i/>
                <w:color w:val="000000"/>
                <w:sz w:val="19"/>
                <w:szCs w:val="19"/>
              </w:rPr>
              <w:t>Immunocompromising conditions, including</w:t>
            </w:r>
          </w:p>
        </w:tc>
        <w:tc>
          <w:tcPr>
            <w:tcW w:w="715" w:type="pct"/>
            <w:shd w:val="clear" w:color="auto" w:fill="auto"/>
            <w:vAlign w:val="center"/>
          </w:tcPr>
          <w:p w14:paraId="37382D86" w14:textId="77777777" w:rsidR="00141F53" w:rsidRPr="00615E8B" w:rsidRDefault="00141F53" w:rsidP="00615E8B">
            <w:pPr>
              <w:pStyle w:val="TableText1"/>
              <w:spacing w:before="0"/>
              <w:jc w:val="center"/>
              <w:rPr>
                <w:rFonts w:asciiTheme="minorHAnsi" w:hAnsiTheme="minorHAnsi" w:cstheme="minorHAnsi"/>
                <w:sz w:val="19"/>
                <w:szCs w:val="19"/>
              </w:rPr>
            </w:pPr>
          </w:p>
        </w:tc>
        <w:tc>
          <w:tcPr>
            <w:tcW w:w="643" w:type="pct"/>
            <w:vAlign w:val="center"/>
          </w:tcPr>
          <w:p w14:paraId="04B637C6"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775EA820" w14:textId="5D864BF1" w:rsidTr="00B24744">
        <w:trPr>
          <w:trHeight w:val="417"/>
        </w:trPr>
        <w:tc>
          <w:tcPr>
            <w:tcW w:w="3643" w:type="pct"/>
            <w:shd w:val="clear" w:color="auto" w:fill="CCC0D9"/>
            <w:vAlign w:val="center"/>
          </w:tcPr>
          <w:p w14:paraId="41D37E93"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congenital or acquired immune deficiency, including symptomatic IgG subclass or isolated IgA deficiency</w:t>
            </w:r>
          </w:p>
        </w:tc>
        <w:tc>
          <w:tcPr>
            <w:tcW w:w="715" w:type="pct"/>
            <w:shd w:val="clear" w:color="auto" w:fill="E8E8E8"/>
            <w:vAlign w:val="center"/>
          </w:tcPr>
          <w:p w14:paraId="69AB9ACD"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E8E8E8"/>
            <w:vAlign w:val="center"/>
          </w:tcPr>
          <w:p w14:paraId="041C526B" w14:textId="52578349"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78D21215" w14:textId="4D927BA2" w:rsidTr="00B24744">
        <w:trPr>
          <w:trHeight w:val="70"/>
        </w:trPr>
        <w:tc>
          <w:tcPr>
            <w:tcW w:w="3643" w:type="pct"/>
            <w:shd w:val="clear" w:color="auto" w:fill="CCC0D9"/>
            <w:vAlign w:val="center"/>
          </w:tcPr>
          <w:p w14:paraId="0564C4EC"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haematological malignancies</w:t>
            </w:r>
          </w:p>
        </w:tc>
        <w:tc>
          <w:tcPr>
            <w:tcW w:w="715" w:type="pct"/>
            <w:shd w:val="clear" w:color="auto" w:fill="E8E8E8"/>
            <w:vAlign w:val="center"/>
          </w:tcPr>
          <w:p w14:paraId="05E3376D"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E8E8E8"/>
            <w:vAlign w:val="center"/>
          </w:tcPr>
          <w:p w14:paraId="079DC880" w14:textId="0254719F"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6DE09DC2" w14:textId="4B219763" w:rsidTr="00B24744">
        <w:trPr>
          <w:trHeight w:val="70"/>
        </w:trPr>
        <w:tc>
          <w:tcPr>
            <w:tcW w:w="3643" w:type="pct"/>
            <w:shd w:val="clear" w:color="auto" w:fill="CCC0D9"/>
            <w:vAlign w:val="center"/>
          </w:tcPr>
          <w:p w14:paraId="2E0CA664"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solid organ transplant</w:t>
            </w:r>
          </w:p>
        </w:tc>
        <w:tc>
          <w:tcPr>
            <w:tcW w:w="715" w:type="pct"/>
            <w:shd w:val="clear" w:color="auto" w:fill="E8E8E8"/>
            <w:vAlign w:val="center"/>
          </w:tcPr>
          <w:p w14:paraId="3658206C"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E8E8E8"/>
            <w:vAlign w:val="center"/>
          </w:tcPr>
          <w:p w14:paraId="62B99657" w14:textId="7C979C0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4C4FF239" w14:textId="04C97E98" w:rsidTr="00B24744">
        <w:trPr>
          <w:trHeight w:val="70"/>
        </w:trPr>
        <w:tc>
          <w:tcPr>
            <w:tcW w:w="3643" w:type="pct"/>
            <w:shd w:val="clear" w:color="auto" w:fill="CCC0D9"/>
            <w:vAlign w:val="center"/>
          </w:tcPr>
          <w:p w14:paraId="5D11031A"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haematopoietic stem cell transplant</w:t>
            </w:r>
          </w:p>
        </w:tc>
        <w:tc>
          <w:tcPr>
            <w:tcW w:w="715" w:type="pct"/>
            <w:shd w:val="clear" w:color="auto" w:fill="E8E8E8"/>
            <w:vAlign w:val="center"/>
          </w:tcPr>
          <w:p w14:paraId="70B0DE60"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E8E8E8"/>
            <w:vAlign w:val="center"/>
          </w:tcPr>
          <w:p w14:paraId="410A51C7" w14:textId="5F49AC62"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58657B25" w14:textId="43F020DA" w:rsidTr="00B24744">
        <w:trPr>
          <w:trHeight w:val="70"/>
        </w:trPr>
        <w:tc>
          <w:tcPr>
            <w:tcW w:w="3643" w:type="pct"/>
            <w:shd w:val="clear" w:color="auto" w:fill="CCC0D9"/>
            <w:vAlign w:val="center"/>
          </w:tcPr>
          <w:p w14:paraId="320C5D62"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HIV infection</w:t>
            </w:r>
          </w:p>
        </w:tc>
        <w:tc>
          <w:tcPr>
            <w:tcW w:w="715" w:type="pct"/>
            <w:tcBorders>
              <w:bottom w:val="single" w:sz="4" w:space="0" w:color="A6A6A6" w:themeColor="background1" w:themeShade="A6"/>
            </w:tcBorders>
            <w:shd w:val="clear" w:color="auto" w:fill="E8E8E8"/>
            <w:vAlign w:val="center"/>
          </w:tcPr>
          <w:p w14:paraId="1F6748ED"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tcBorders>
              <w:bottom w:val="single" w:sz="4" w:space="0" w:color="A6A6A6" w:themeColor="background1" w:themeShade="A6"/>
            </w:tcBorders>
            <w:shd w:val="clear" w:color="auto" w:fill="E8E8E8"/>
            <w:vAlign w:val="center"/>
          </w:tcPr>
          <w:p w14:paraId="6E2911B3" w14:textId="28671554"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2AAF3C17" w14:textId="3898FD4F" w:rsidTr="00B24744">
        <w:trPr>
          <w:trHeight w:val="340"/>
        </w:trPr>
        <w:tc>
          <w:tcPr>
            <w:tcW w:w="3643" w:type="pct"/>
            <w:shd w:val="clear" w:color="auto" w:fill="CCC0D9"/>
            <w:vAlign w:val="center"/>
          </w:tcPr>
          <w:p w14:paraId="48322C7B"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immunosuppressive therapy, where sufficient immune reconstitution for vaccine response is expected; this includes those with underlying conditions requiring but not yet receiving immunosuppressive therapy</w:t>
            </w:r>
          </w:p>
        </w:tc>
        <w:tc>
          <w:tcPr>
            <w:tcW w:w="715" w:type="pct"/>
            <w:shd w:val="clear" w:color="auto" w:fill="auto"/>
            <w:vAlign w:val="center"/>
          </w:tcPr>
          <w:p w14:paraId="47E1560E" w14:textId="5D993418"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603A8E26"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64940670" w14:textId="416C2876" w:rsidTr="00B24744">
        <w:trPr>
          <w:trHeight w:val="340"/>
        </w:trPr>
        <w:tc>
          <w:tcPr>
            <w:tcW w:w="3643" w:type="pct"/>
            <w:shd w:val="clear" w:color="auto" w:fill="CCC0D9"/>
            <w:vAlign w:val="center"/>
          </w:tcPr>
          <w:p w14:paraId="1FA11281"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non-haematological malignancies receiving chemotherapy or radiotherapy (currently or anticipated)</w:t>
            </w:r>
          </w:p>
        </w:tc>
        <w:tc>
          <w:tcPr>
            <w:tcW w:w="715" w:type="pct"/>
            <w:tcBorders>
              <w:bottom w:val="single" w:sz="4" w:space="0" w:color="A6A6A6" w:themeColor="background1" w:themeShade="A6"/>
            </w:tcBorders>
            <w:shd w:val="clear" w:color="auto" w:fill="auto"/>
            <w:vAlign w:val="center"/>
          </w:tcPr>
          <w:p w14:paraId="014F91AB" w14:textId="59706D1C"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tcBorders>
              <w:bottom w:val="single" w:sz="4" w:space="0" w:color="A6A6A6" w:themeColor="background1" w:themeShade="A6"/>
            </w:tcBorders>
            <w:vAlign w:val="center"/>
          </w:tcPr>
          <w:p w14:paraId="6D591CD8"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1A9C029F" w14:textId="0EB46C7A" w:rsidTr="00B24744">
        <w:trPr>
          <w:trHeight w:val="345"/>
        </w:trPr>
        <w:tc>
          <w:tcPr>
            <w:tcW w:w="3643" w:type="pct"/>
            <w:shd w:val="clear" w:color="auto" w:fill="CCC0D9"/>
            <w:vAlign w:val="center"/>
          </w:tcPr>
          <w:p w14:paraId="1DC7F52C" w14:textId="77777777" w:rsidR="00141F53" w:rsidRPr="00615E8B" w:rsidRDefault="00141F53" w:rsidP="00BF4DFC">
            <w:pPr>
              <w:spacing w:line="240" w:lineRule="auto"/>
              <w:rPr>
                <w:rFonts w:asciiTheme="minorHAnsi" w:hAnsiTheme="minorHAnsi" w:cstheme="minorHAnsi"/>
                <w:b/>
                <w:i/>
                <w:color w:val="000000"/>
                <w:sz w:val="19"/>
                <w:szCs w:val="19"/>
              </w:rPr>
            </w:pPr>
            <w:r w:rsidRPr="00615E8B">
              <w:rPr>
                <w:rFonts w:asciiTheme="minorHAnsi" w:hAnsiTheme="minorHAnsi" w:cstheme="minorHAnsi"/>
                <w:b/>
                <w:i/>
                <w:color w:val="000000"/>
                <w:sz w:val="19"/>
                <w:szCs w:val="19"/>
              </w:rPr>
              <w:t>Proven or presumptive cerebrospinal fluid (CSF) leak, including</w:t>
            </w:r>
          </w:p>
        </w:tc>
        <w:tc>
          <w:tcPr>
            <w:tcW w:w="715" w:type="pct"/>
            <w:shd w:val="clear" w:color="auto" w:fill="auto"/>
            <w:vAlign w:val="center"/>
          </w:tcPr>
          <w:p w14:paraId="1B1548F1" w14:textId="77777777"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3AB24E46"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70B3AAC3" w14:textId="6571B7FB" w:rsidTr="00B24744">
        <w:trPr>
          <w:trHeight w:val="70"/>
        </w:trPr>
        <w:tc>
          <w:tcPr>
            <w:tcW w:w="3643" w:type="pct"/>
            <w:shd w:val="clear" w:color="auto" w:fill="CCC0D9"/>
            <w:vAlign w:val="center"/>
          </w:tcPr>
          <w:p w14:paraId="6E1D42A9"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cochlear implants</w:t>
            </w:r>
          </w:p>
        </w:tc>
        <w:tc>
          <w:tcPr>
            <w:tcW w:w="715" w:type="pct"/>
            <w:shd w:val="clear" w:color="auto" w:fill="E8E8E8"/>
            <w:vAlign w:val="center"/>
          </w:tcPr>
          <w:p w14:paraId="7393305F"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E8E8E8"/>
            <w:vAlign w:val="center"/>
          </w:tcPr>
          <w:p w14:paraId="56AC0F3E" w14:textId="15A9F64F"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6FFCB7A9" w14:textId="21D1AF6B" w:rsidTr="00B24744">
        <w:trPr>
          <w:trHeight w:val="70"/>
        </w:trPr>
        <w:tc>
          <w:tcPr>
            <w:tcW w:w="3643" w:type="pct"/>
            <w:shd w:val="clear" w:color="auto" w:fill="CCC0D9"/>
            <w:vAlign w:val="center"/>
          </w:tcPr>
          <w:p w14:paraId="37AAFD97"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intracranial shunts</w:t>
            </w:r>
          </w:p>
        </w:tc>
        <w:tc>
          <w:tcPr>
            <w:tcW w:w="715" w:type="pct"/>
            <w:tcBorders>
              <w:bottom w:val="single" w:sz="4" w:space="0" w:color="A6A6A6" w:themeColor="background1" w:themeShade="A6"/>
            </w:tcBorders>
            <w:shd w:val="clear" w:color="auto" w:fill="E8E8E8"/>
            <w:vAlign w:val="center"/>
          </w:tcPr>
          <w:p w14:paraId="35CF6259"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tcBorders>
              <w:bottom w:val="single" w:sz="4" w:space="0" w:color="A6A6A6" w:themeColor="background1" w:themeShade="A6"/>
            </w:tcBorders>
            <w:shd w:val="clear" w:color="auto" w:fill="E8E8E8"/>
            <w:vAlign w:val="center"/>
          </w:tcPr>
          <w:p w14:paraId="044352F3" w14:textId="345AF06B"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07B50C40" w14:textId="25D1D4CC" w:rsidTr="00B24744">
        <w:trPr>
          <w:trHeight w:val="385"/>
        </w:trPr>
        <w:tc>
          <w:tcPr>
            <w:tcW w:w="3643" w:type="pct"/>
            <w:shd w:val="clear" w:color="auto" w:fill="CCC0D9"/>
            <w:vAlign w:val="center"/>
          </w:tcPr>
          <w:p w14:paraId="4D1ECB99" w14:textId="1B869E74" w:rsidR="00141F53" w:rsidRPr="00615E8B" w:rsidRDefault="00141F53" w:rsidP="00BF4DFC">
            <w:pPr>
              <w:spacing w:line="240" w:lineRule="auto"/>
              <w:rPr>
                <w:rFonts w:asciiTheme="minorHAnsi" w:hAnsiTheme="minorHAnsi" w:cstheme="minorHAnsi"/>
                <w:b/>
                <w:i/>
                <w:color w:val="000000"/>
                <w:sz w:val="19"/>
                <w:szCs w:val="19"/>
              </w:rPr>
            </w:pPr>
            <w:r w:rsidRPr="00615E8B">
              <w:rPr>
                <w:rFonts w:asciiTheme="minorHAnsi" w:hAnsiTheme="minorHAnsi" w:cstheme="minorHAnsi"/>
                <w:b/>
                <w:i/>
                <w:color w:val="000000"/>
                <w:sz w:val="19"/>
                <w:szCs w:val="19"/>
              </w:rPr>
              <w:t>Chronic respiratory disease, including</w:t>
            </w:r>
            <w:r w:rsidR="008E2B7C" w:rsidRPr="00F31F73">
              <w:rPr>
                <w:rFonts w:asciiTheme="minorHAnsi" w:hAnsiTheme="minorHAnsi" w:cstheme="minorHAnsi"/>
                <w:sz w:val="14"/>
                <w:szCs w:val="14"/>
                <w:vertAlign w:val="superscript"/>
              </w:rPr>
              <w:t>¶</w:t>
            </w:r>
          </w:p>
        </w:tc>
        <w:tc>
          <w:tcPr>
            <w:tcW w:w="715" w:type="pct"/>
            <w:shd w:val="clear" w:color="auto" w:fill="auto"/>
            <w:vAlign w:val="center"/>
          </w:tcPr>
          <w:p w14:paraId="31759A81" w14:textId="77777777"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7DDD6980"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5E3DF7C2" w14:textId="32255A13" w:rsidTr="00B24744">
        <w:trPr>
          <w:trHeight w:val="166"/>
        </w:trPr>
        <w:tc>
          <w:tcPr>
            <w:tcW w:w="3643" w:type="pct"/>
            <w:shd w:val="clear" w:color="auto" w:fill="CCC0D9"/>
            <w:vAlign w:val="center"/>
          </w:tcPr>
          <w:p w14:paraId="47A3AE5E" w14:textId="77777777" w:rsidR="00141F53" w:rsidRPr="00615E8B" w:rsidRDefault="00141F53" w:rsidP="00BF4DFC">
            <w:pPr>
              <w:spacing w:line="240" w:lineRule="auto"/>
              <w:ind w:firstLine="179"/>
              <w:rPr>
                <w:rFonts w:asciiTheme="minorHAnsi" w:hAnsiTheme="minorHAnsi" w:cstheme="minorHAnsi"/>
                <w:color w:val="000000"/>
                <w:sz w:val="19"/>
                <w:szCs w:val="19"/>
              </w:rPr>
            </w:pPr>
            <w:r w:rsidRPr="00615E8B">
              <w:rPr>
                <w:rFonts w:asciiTheme="minorHAnsi" w:hAnsiTheme="minorHAnsi" w:cstheme="minorHAnsi"/>
                <w:color w:val="000000"/>
                <w:sz w:val="19"/>
                <w:szCs w:val="19"/>
              </w:rPr>
              <w:t xml:space="preserve">– </w:t>
            </w:r>
            <w:proofErr w:type="spellStart"/>
            <w:r w:rsidRPr="00615E8B">
              <w:rPr>
                <w:rFonts w:asciiTheme="minorHAnsi" w:hAnsiTheme="minorHAnsi" w:cstheme="minorHAnsi"/>
                <w:color w:val="000000"/>
                <w:sz w:val="19"/>
                <w:szCs w:val="19"/>
              </w:rPr>
              <w:t>suppurative</w:t>
            </w:r>
            <w:proofErr w:type="spellEnd"/>
            <w:r w:rsidRPr="00615E8B">
              <w:rPr>
                <w:rFonts w:asciiTheme="minorHAnsi" w:hAnsiTheme="minorHAnsi" w:cstheme="minorHAnsi"/>
                <w:color w:val="000000"/>
                <w:sz w:val="19"/>
                <w:szCs w:val="19"/>
              </w:rPr>
              <w:t xml:space="preserve"> lung disease, bronchiectasis and cystic fibrosis</w:t>
            </w:r>
          </w:p>
        </w:tc>
        <w:tc>
          <w:tcPr>
            <w:tcW w:w="715" w:type="pct"/>
            <w:shd w:val="clear" w:color="auto" w:fill="E8E8E8"/>
            <w:vAlign w:val="center"/>
          </w:tcPr>
          <w:p w14:paraId="6D65320C"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E8E8E8"/>
            <w:vAlign w:val="center"/>
          </w:tcPr>
          <w:p w14:paraId="5DFD4711" w14:textId="1FC609CC"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31BEF98C" w14:textId="589C51E8" w:rsidTr="00B24744">
        <w:trPr>
          <w:trHeight w:val="239"/>
        </w:trPr>
        <w:tc>
          <w:tcPr>
            <w:tcW w:w="3643" w:type="pct"/>
            <w:shd w:val="clear" w:color="auto" w:fill="CCC0D9"/>
            <w:vAlign w:val="center"/>
          </w:tcPr>
          <w:p w14:paraId="0A56C1FE"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chronic lung disease in preterm infants</w:t>
            </w:r>
          </w:p>
        </w:tc>
        <w:tc>
          <w:tcPr>
            <w:tcW w:w="715" w:type="pct"/>
            <w:tcBorders>
              <w:bottom w:val="single" w:sz="4" w:space="0" w:color="A6A6A6" w:themeColor="background1" w:themeShade="A6"/>
            </w:tcBorders>
            <w:shd w:val="clear" w:color="auto" w:fill="E8E8E8"/>
            <w:vAlign w:val="center"/>
          </w:tcPr>
          <w:p w14:paraId="3D5CF20F"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tcBorders>
              <w:bottom w:val="single" w:sz="4" w:space="0" w:color="A6A6A6" w:themeColor="background1" w:themeShade="A6"/>
            </w:tcBorders>
            <w:shd w:val="clear" w:color="auto" w:fill="E8E8E8"/>
            <w:vAlign w:val="center"/>
          </w:tcPr>
          <w:p w14:paraId="7FFF1F59" w14:textId="0B72912F"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0AB761B0" w14:textId="79629303" w:rsidTr="00B24744">
        <w:trPr>
          <w:trHeight w:val="70"/>
        </w:trPr>
        <w:tc>
          <w:tcPr>
            <w:tcW w:w="3643" w:type="pct"/>
            <w:shd w:val="clear" w:color="auto" w:fill="CCC0D9"/>
            <w:vAlign w:val="center"/>
          </w:tcPr>
          <w:p w14:paraId="0678505F"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chronic obstructive pulmonary disease (COPD) and chronic emphysema</w:t>
            </w:r>
          </w:p>
        </w:tc>
        <w:tc>
          <w:tcPr>
            <w:tcW w:w="715" w:type="pct"/>
            <w:tcBorders>
              <w:bottom w:val="single" w:sz="4" w:space="0" w:color="A6A6A6" w:themeColor="background1" w:themeShade="A6"/>
            </w:tcBorders>
            <w:shd w:val="clear" w:color="auto" w:fill="auto"/>
            <w:vAlign w:val="center"/>
          </w:tcPr>
          <w:p w14:paraId="50AFFE30" w14:textId="773E9262"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tcBorders>
              <w:bottom w:val="single" w:sz="4" w:space="0" w:color="A6A6A6" w:themeColor="background1" w:themeShade="A6"/>
            </w:tcBorders>
            <w:vAlign w:val="center"/>
          </w:tcPr>
          <w:p w14:paraId="55AED9B1"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670EE664" w14:textId="2FE24207" w:rsidTr="00B24744">
        <w:trPr>
          <w:trHeight w:val="275"/>
        </w:trPr>
        <w:tc>
          <w:tcPr>
            <w:tcW w:w="3643" w:type="pct"/>
            <w:shd w:val="clear" w:color="auto" w:fill="CCC0D9"/>
            <w:vAlign w:val="center"/>
          </w:tcPr>
          <w:p w14:paraId="382B6625"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severe asthma (defined as requiring frequent hospital visits or the use of multiple medications)</w:t>
            </w:r>
          </w:p>
        </w:tc>
        <w:tc>
          <w:tcPr>
            <w:tcW w:w="715" w:type="pct"/>
            <w:tcBorders>
              <w:bottom w:val="single" w:sz="4" w:space="0" w:color="A6A6A6" w:themeColor="background1" w:themeShade="A6"/>
            </w:tcBorders>
            <w:shd w:val="clear" w:color="auto" w:fill="auto"/>
            <w:vAlign w:val="center"/>
          </w:tcPr>
          <w:p w14:paraId="73FA5EAC" w14:textId="3682B7DB"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tcBorders>
              <w:bottom w:val="single" w:sz="4" w:space="0" w:color="A6A6A6" w:themeColor="background1" w:themeShade="A6"/>
            </w:tcBorders>
            <w:vAlign w:val="center"/>
          </w:tcPr>
          <w:p w14:paraId="160BE182"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30AD73E6" w14:textId="60D6FF55" w:rsidTr="00B24744">
        <w:trPr>
          <w:trHeight w:val="140"/>
        </w:trPr>
        <w:tc>
          <w:tcPr>
            <w:tcW w:w="3643" w:type="pct"/>
            <w:shd w:val="clear" w:color="auto" w:fill="CCC0D9"/>
            <w:vAlign w:val="center"/>
          </w:tcPr>
          <w:p w14:paraId="41A9788C"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interstitial and fibrotic lung disease</w:t>
            </w:r>
          </w:p>
        </w:tc>
        <w:tc>
          <w:tcPr>
            <w:tcW w:w="715" w:type="pct"/>
            <w:tcBorders>
              <w:bottom w:val="single" w:sz="4" w:space="0" w:color="A6A6A6" w:themeColor="background1" w:themeShade="A6"/>
            </w:tcBorders>
            <w:shd w:val="clear" w:color="auto" w:fill="auto"/>
            <w:vAlign w:val="center"/>
          </w:tcPr>
          <w:p w14:paraId="1D82741E" w14:textId="4FD428F2"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tcBorders>
              <w:bottom w:val="single" w:sz="4" w:space="0" w:color="A6A6A6" w:themeColor="background1" w:themeShade="A6"/>
            </w:tcBorders>
            <w:vAlign w:val="center"/>
          </w:tcPr>
          <w:p w14:paraId="330E482E"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799E5B5D" w14:textId="45F3E08E" w:rsidTr="00B24744">
        <w:trPr>
          <w:trHeight w:val="311"/>
        </w:trPr>
        <w:tc>
          <w:tcPr>
            <w:tcW w:w="3643" w:type="pct"/>
            <w:shd w:val="clear" w:color="auto" w:fill="CCC0D9"/>
            <w:vAlign w:val="center"/>
          </w:tcPr>
          <w:p w14:paraId="0943FF99" w14:textId="77777777" w:rsidR="00141F53" w:rsidRPr="00615E8B" w:rsidRDefault="00141F53" w:rsidP="00BF4DFC">
            <w:pPr>
              <w:spacing w:line="240" w:lineRule="auto"/>
              <w:rPr>
                <w:rFonts w:asciiTheme="minorHAnsi" w:hAnsiTheme="minorHAnsi" w:cstheme="minorHAnsi"/>
                <w:b/>
                <w:i/>
                <w:color w:val="000000"/>
                <w:sz w:val="19"/>
                <w:szCs w:val="19"/>
              </w:rPr>
            </w:pPr>
            <w:r w:rsidRPr="00615E8B">
              <w:rPr>
                <w:rFonts w:asciiTheme="minorHAnsi" w:hAnsiTheme="minorHAnsi" w:cstheme="minorHAnsi"/>
                <w:b/>
                <w:i/>
                <w:color w:val="000000"/>
                <w:sz w:val="19"/>
                <w:szCs w:val="19"/>
              </w:rPr>
              <w:t>Chronic renal disease</w:t>
            </w:r>
          </w:p>
        </w:tc>
        <w:tc>
          <w:tcPr>
            <w:tcW w:w="715" w:type="pct"/>
            <w:shd w:val="clear" w:color="auto" w:fill="auto"/>
            <w:vAlign w:val="center"/>
          </w:tcPr>
          <w:p w14:paraId="10B1372C" w14:textId="77777777"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37FA8B3E"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10C1145A" w14:textId="21BC9354" w:rsidTr="00B24744">
        <w:trPr>
          <w:trHeight w:val="274"/>
        </w:trPr>
        <w:tc>
          <w:tcPr>
            <w:tcW w:w="3643" w:type="pct"/>
            <w:shd w:val="clear" w:color="auto" w:fill="CCC0D9"/>
            <w:vAlign w:val="center"/>
          </w:tcPr>
          <w:p w14:paraId="4B23EA75"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relapsing or persistent nephrotic syndrome</w:t>
            </w:r>
          </w:p>
        </w:tc>
        <w:tc>
          <w:tcPr>
            <w:tcW w:w="715" w:type="pct"/>
            <w:shd w:val="clear" w:color="auto" w:fill="E8E8E8"/>
            <w:vAlign w:val="center"/>
          </w:tcPr>
          <w:p w14:paraId="3BE66518"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E8E8E8"/>
            <w:vAlign w:val="center"/>
          </w:tcPr>
          <w:p w14:paraId="5A6CD422" w14:textId="453862C9"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r>
      <w:tr w:rsidR="00141F53" w:rsidRPr="00D57407" w14:paraId="73140C3B" w14:textId="1C12F54B" w:rsidTr="00B24744">
        <w:trPr>
          <w:trHeight w:val="121"/>
        </w:trPr>
        <w:tc>
          <w:tcPr>
            <w:tcW w:w="3643" w:type="pct"/>
            <w:shd w:val="clear" w:color="auto" w:fill="CCC0D9"/>
            <w:vAlign w:val="center"/>
          </w:tcPr>
          <w:p w14:paraId="5A3670DF" w14:textId="65B4E46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xml:space="preserve">– chronic renal impairment – </w:t>
            </w:r>
            <w:proofErr w:type="spellStart"/>
            <w:r w:rsidRPr="00615E8B">
              <w:rPr>
                <w:rFonts w:asciiTheme="minorHAnsi" w:hAnsiTheme="minorHAnsi" w:cstheme="minorHAnsi"/>
                <w:color w:val="000000"/>
                <w:sz w:val="19"/>
                <w:szCs w:val="19"/>
              </w:rPr>
              <w:t>eGFR</w:t>
            </w:r>
            <w:proofErr w:type="spellEnd"/>
            <w:r w:rsidRPr="00615E8B">
              <w:rPr>
                <w:rFonts w:asciiTheme="minorHAnsi" w:hAnsiTheme="minorHAnsi" w:cstheme="minorHAnsi"/>
                <w:color w:val="000000"/>
                <w:sz w:val="19"/>
                <w:szCs w:val="19"/>
              </w:rPr>
              <w:t xml:space="preserve"> &lt;30 mL/min (stage 4 or 5 disease)</w:t>
            </w:r>
          </w:p>
        </w:tc>
        <w:tc>
          <w:tcPr>
            <w:tcW w:w="715" w:type="pct"/>
            <w:tcBorders>
              <w:bottom w:val="single" w:sz="4" w:space="0" w:color="A6A6A6" w:themeColor="background1" w:themeShade="A6"/>
            </w:tcBorders>
            <w:shd w:val="clear" w:color="auto" w:fill="E8E8E8"/>
            <w:vAlign w:val="center"/>
          </w:tcPr>
          <w:p w14:paraId="75951358" w14:textId="7777777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r w:rsidRPr="00615E8B">
              <w:rPr>
                <w:rFonts w:asciiTheme="minorHAnsi" w:hAnsiTheme="minorHAnsi" w:cstheme="minorHAnsi"/>
                <w:sz w:val="19"/>
                <w:szCs w:val="19"/>
              </w:rPr>
              <w:t>*</w:t>
            </w:r>
          </w:p>
        </w:tc>
        <w:tc>
          <w:tcPr>
            <w:tcW w:w="643" w:type="pct"/>
            <w:tcBorders>
              <w:bottom w:val="single" w:sz="4" w:space="0" w:color="A6A6A6" w:themeColor="background1" w:themeShade="A6"/>
            </w:tcBorders>
            <w:shd w:val="clear" w:color="auto" w:fill="E8E8E8"/>
            <w:vAlign w:val="center"/>
          </w:tcPr>
          <w:p w14:paraId="1E590907" w14:textId="1F32810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r w:rsidRPr="00615E8B">
              <w:rPr>
                <w:rFonts w:asciiTheme="minorHAnsi" w:hAnsiTheme="minorHAnsi" w:cstheme="minorHAnsi"/>
                <w:sz w:val="19"/>
                <w:szCs w:val="19"/>
              </w:rPr>
              <w:t>*</w:t>
            </w:r>
          </w:p>
        </w:tc>
      </w:tr>
      <w:tr w:rsidR="00141F53" w:rsidRPr="00D57407" w14:paraId="7DB39B9D" w14:textId="58BC0FA8" w:rsidTr="00B24744">
        <w:trPr>
          <w:trHeight w:val="323"/>
        </w:trPr>
        <w:tc>
          <w:tcPr>
            <w:tcW w:w="3643" w:type="pct"/>
            <w:shd w:val="clear" w:color="auto" w:fill="CCC0D9"/>
            <w:vAlign w:val="center"/>
          </w:tcPr>
          <w:p w14:paraId="6326179C" w14:textId="1679923F" w:rsidR="00141F53" w:rsidRPr="00615E8B" w:rsidRDefault="00141F53" w:rsidP="00BF4DFC">
            <w:pPr>
              <w:spacing w:line="240" w:lineRule="auto"/>
              <w:rPr>
                <w:rFonts w:asciiTheme="minorHAnsi" w:hAnsiTheme="minorHAnsi" w:cstheme="minorHAnsi"/>
                <w:b/>
                <w:i/>
                <w:color w:val="000000"/>
                <w:sz w:val="19"/>
                <w:szCs w:val="19"/>
              </w:rPr>
            </w:pPr>
            <w:r w:rsidRPr="00615E8B">
              <w:rPr>
                <w:rFonts w:asciiTheme="minorHAnsi" w:hAnsiTheme="minorHAnsi" w:cstheme="minorHAnsi"/>
                <w:b/>
                <w:i/>
                <w:color w:val="000000"/>
                <w:sz w:val="19"/>
                <w:szCs w:val="19"/>
              </w:rPr>
              <w:t>Cardiac disease, including</w:t>
            </w:r>
            <w:r w:rsidR="008E2B7C" w:rsidRPr="00F31F73">
              <w:rPr>
                <w:rFonts w:asciiTheme="minorHAnsi" w:hAnsiTheme="minorHAnsi" w:cstheme="minorHAnsi"/>
                <w:sz w:val="14"/>
                <w:szCs w:val="14"/>
                <w:vertAlign w:val="superscript"/>
              </w:rPr>
              <w:t>¶</w:t>
            </w:r>
          </w:p>
        </w:tc>
        <w:tc>
          <w:tcPr>
            <w:tcW w:w="715" w:type="pct"/>
            <w:shd w:val="clear" w:color="auto" w:fill="auto"/>
            <w:vAlign w:val="center"/>
          </w:tcPr>
          <w:p w14:paraId="4764B654" w14:textId="77777777"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41B19020"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72AD6F36" w14:textId="53F2EB46" w:rsidTr="00B24744">
        <w:trPr>
          <w:trHeight w:val="70"/>
        </w:trPr>
        <w:tc>
          <w:tcPr>
            <w:tcW w:w="3643" w:type="pct"/>
            <w:shd w:val="clear" w:color="auto" w:fill="CCC0D9"/>
            <w:vAlign w:val="center"/>
          </w:tcPr>
          <w:p w14:paraId="6E65D3D6"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congenital heart disease</w:t>
            </w:r>
          </w:p>
        </w:tc>
        <w:tc>
          <w:tcPr>
            <w:tcW w:w="715" w:type="pct"/>
            <w:shd w:val="clear" w:color="auto" w:fill="E8E8E8"/>
            <w:vAlign w:val="center"/>
          </w:tcPr>
          <w:p w14:paraId="537CB80B" w14:textId="578D8635"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auto"/>
            <w:vAlign w:val="center"/>
          </w:tcPr>
          <w:p w14:paraId="2938B97E" w14:textId="77362098"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7292E20B" w14:textId="0030E12E" w:rsidTr="00B24744">
        <w:trPr>
          <w:trHeight w:val="101"/>
        </w:trPr>
        <w:tc>
          <w:tcPr>
            <w:tcW w:w="3643" w:type="pct"/>
            <w:shd w:val="clear" w:color="auto" w:fill="CCC0D9"/>
            <w:vAlign w:val="center"/>
          </w:tcPr>
          <w:p w14:paraId="02905612"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coronary artery disease</w:t>
            </w:r>
          </w:p>
        </w:tc>
        <w:tc>
          <w:tcPr>
            <w:tcW w:w="715" w:type="pct"/>
            <w:shd w:val="clear" w:color="auto" w:fill="E8E8E8"/>
            <w:vAlign w:val="center"/>
          </w:tcPr>
          <w:p w14:paraId="76428FC8" w14:textId="6B627C2A"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auto"/>
            <w:vAlign w:val="center"/>
          </w:tcPr>
          <w:p w14:paraId="6E3B6358" w14:textId="728D6745"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31C41EC0" w14:textId="775F2BAA" w:rsidTr="00B24744">
        <w:trPr>
          <w:trHeight w:val="70"/>
        </w:trPr>
        <w:tc>
          <w:tcPr>
            <w:tcW w:w="3643" w:type="pct"/>
            <w:shd w:val="clear" w:color="auto" w:fill="CCC0D9"/>
            <w:vAlign w:val="center"/>
          </w:tcPr>
          <w:p w14:paraId="07F6B078"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heart failure</w:t>
            </w:r>
          </w:p>
        </w:tc>
        <w:tc>
          <w:tcPr>
            <w:tcW w:w="715" w:type="pct"/>
            <w:shd w:val="clear" w:color="auto" w:fill="E8E8E8"/>
            <w:vAlign w:val="center"/>
          </w:tcPr>
          <w:p w14:paraId="1DDC916F" w14:textId="3C423A17"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auto"/>
            <w:vAlign w:val="center"/>
          </w:tcPr>
          <w:p w14:paraId="191B1B36" w14:textId="35BFAC3E"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2A594D3D" w14:textId="3FEFA33C" w:rsidTr="00B24744">
        <w:trPr>
          <w:trHeight w:val="94"/>
        </w:trPr>
        <w:tc>
          <w:tcPr>
            <w:tcW w:w="3643" w:type="pct"/>
            <w:shd w:val="clear" w:color="auto" w:fill="CCC0D9"/>
            <w:vAlign w:val="center"/>
          </w:tcPr>
          <w:p w14:paraId="4BDC73E8" w14:textId="77777777" w:rsidR="00141F53" w:rsidRPr="00615E8B" w:rsidRDefault="00141F53" w:rsidP="00BF4DFC">
            <w:pPr>
              <w:spacing w:line="240" w:lineRule="auto"/>
              <w:rPr>
                <w:rFonts w:asciiTheme="minorHAnsi" w:hAnsiTheme="minorHAnsi" w:cstheme="minorHAnsi"/>
                <w:color w:val="000000"/>
                <w:sz w:val="19"/>
                <w:szCs w:val="19"/>
              </w:rPr>
            </w:pPr>
            <w:r w:rsidRPr="00615E8B">
              <w:rPr>
                <w:rFonts w:asciiTheme="minorHAnsi" w:hAnsiTheme="minorHAnsi" w:cstheme="minorHAnsi"/>
                <w:color w:val="000000"/>
                <w:sz w:val="19"/>
                <w:szCs w:val="19"/>
              </w:rPr>
              <w:t>Children born less than 28 weeks gestation</w:t>
            </w:r>
          </w:p>
        </w:tc>
        <w:tc>
          <w:tcPr>
            <w:tcW w:w="715" w:type="pct"/>
            <w:shd w:val="clear" w:color="auto" w:fill="E8E8E8"/>
            <w:vAlign w:val="center"/>
          </w:tcPr>
          <w:p w14:paraId="6357620C" w14:textId="53BB4E4F"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shd w:val="clear" w:color="auto" w:fill="auto"/>
            <w:vAlign w:val="center"/>
          </w:tcPr>
          <w:p w14:paraId="67560C9C" w14:textId="153F88D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6FFAD7E0" w14:textId="6B2EB860" w:rsidTr="00B24744">
        <w:trPr>
          <w:trHeight w:val="70"/>
        </w:trPr>
        <w:tc>
          <w:tcPr>
            <w:tcW w:w="3643" w:type="pct"/>
            <w:shd w:val="clear" w:color="auto" w:fill="CCC0D9"/>
            <w:vAlign w:val="center"/>
          </w:tcPr>
          <w:p w14:paraId="3EF4DFB2" w14:textId="77777777" w:rsidR="00141F53" w:rsidRPr="00615E8B" w:rsidRDefault="00141F53" w:rsidP="00BF4DFC">
            <w:pPr>
              <w:spacing w:line="240" w:lineRule="auto"/>
              <w:rPr>
                <w:rFonts w:asciiTheme="minorHAnsi" w:hAnsiTheme="minorHAnsi" w:cstheme="minorHAnsi"/>
                <w:color w:val="000000"/>
                <w:sz w:val="19"/>
                <w:szCs w:val="19"/>
              </w:rPr>
            </w:pPr>
            <w:r w:rsidRPr="00615E8B">
              <w:rPr>
                <w:rFonts w:asciiTheme="minorHAnsi" w:hAnsiTheme="minorHAnsi" w:cstheme="minorHAnsi"/>
                <w:color w:val="000000"/>
                <w:sz w:val="19"/>
                <w:szCs w:val="19"/>
              </w:rPr>
              <w:t>Trisomy 21</w:t>
            </w:r>
          </w:p>
        </w:tc>
        <w:tc>
          <w:tcPr>
            <w:tcW w:w="715" w:type="pct"/>
            <w:tcBorders>
              <w:bottom w:val="single" w:sz="4" w:space="0" w:color="A6A6A6" w:themeColor="background1" w:themeShade="A6"/>
            </w:tcBorders>
            <w:shd w:val="clear" w:color="auto" w:fill="E8E8E8"/>
            <w:vAlign w:val="center"/>
          </w:tcPr>
          <w:p w14:paraId="533694E4" w14:textId="53B81141" w:rsidR="00141F53" w:rsidRPr="00615E8B" w:rsidRDefault="00141F53" w:rsidP="00615E8B">
            <w:pPr>
              <w:pStyle w:val="TableText1"/>
              <w:spacing w:before="0" w:after="0"/>
              <w:jc w:val="center"/>
              <w:rPr>
                <w:rFonts w:asciiTheme="minorHAnsi" w:hAnsiTheme="minorHAnsi" w:cstheme="minorHAnsi"/>
                <w:sz w:val="19"/>
                <w:szCs w:val="19"/>
              </w:rPr>
            </w:pPr>
            <w:r w:rsidRPr="00615E8B">
              <w:rPr>
                <w:rFonts w:asciiTheme="minorHAnsi" w:hAnsiTheme="minorHAnsi" w:cstheme="minorHAnsi"/>
                <w:sz w:val="19"/>
                <w:szCs w:val="19"/>
              </w:rPr>
              <w:sym w:font="Wingdings" w:char="F0FC"/>
            </w:r>
          </w:p>
        </w:tc>
        <w:tc>
          <w:tcPr>
            <w:tcW w:w="643" w:type="pct"/>
            <w:tcBorders>
              <w:bottom w:val="single" w:sz="4" w:space="0" w:color="A6A6A6" w:themeColor="background1" w:themeShade="A6"/>
            </w:tcBorders>
            <w:shd w:val="clear" w:color="auto" w:fill="auto"/>
            <w:vAlign w:val="center"/>
          </w:tcPr>
          <w:p w14:paraId="7A6436CE" w14:textId="41714A11"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795037F8" w14:textId="7197674E" w:rsidTr="00B24744">
        <w:trPr>
          <w:trHeight w:val="349"/>
        </w:trPr>
        <w:tc>
          <w:tcPr>
            <w:tcW w:w="3643" w:type="pct"/>
            <w:shd w:val="clear" w:color="auto" w:fill="CCC0D9"/>
            <w:vAlign w:val="center"/>
          </w:tcPr>
          <w:p w14:paraId="05389F8B" w14:textId="50EC4703" w:rsidR="00141F53" w:rsidRPr="00615E8B" w:rsidRDefault="00141F53" w:rsidP="00BF4DFC">
            <w:pPr>
              <w:spacing w:line="240" w:lineRule="auto"/>
              <w:rPr>
                <w:rFonts w:asciiTheme="minorHAnsi" w:hAnsiTheme="minorHAnsi" w:cstheme="minorHAnsi"/>
                <w:b/>
                <w:i/>
                <w:color w:val="000000"/>
                <w:sz w:val="19"/>
                <w:szCs w:val="19"/>
              </w:rPr>
            </w:pPr>
            <w:r w:rsidRPr="00615E8B">
              <w:rPr>
                <w:rFonts w:asciiTheme="minorHAnsi" w:hAnsiTheme="minorHAnsi" w:cstheme="minorHAnsi"/>
                <w:b/>
                <w:i/>
                <w:color w:val="000000"/>
                <w:sz w:val="19"/>
                <w:szCs w:val="19"/>
              </w:rPr>
              <w:t>Chronic liver disease, including</w:t>
            </w:r>
            <w:r w:rsidR="008E2B7C" w:rsidRPr="00F31F73">
              <w:rPr>
                <w:rFonts w:asciiTheme="minorHAnsi" w:hAnsiTheme="minorHAnsi" w:cstheme="minorHAnsi"/>
                <w:sz w:val="14"/>
                <w:szCs w:val="14"/>
                <w:vertAlign w:val="superscript"/>
              </w:rPr>
              <w:t>¶</w:t>
            </w:r>
          </w:p>
        </w:tc>
        <w:tc>
          <w:tcPr>
            <w:tcW w:w="715" w:type="pct"/>
            <w:shd w:val="clear" w:color="auto" w:fill="auto"/>
            <w:vAlign w:val="center"/>
          </w:tcPr>
          <w:p w14:paraId="684D5203" w14:textId="77777777"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58631FE2"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034AA78B" w14:textId="6DCB0760" w:rsidTr="00B24744">
        <w:trPr>
          <w:trHeight w:val="131"/>
        </w:trPr>
        <w:tc>
          <w:tcPr>
            <w:tcW w:w="3643" w:type="pct"/>
            <w:shd w:val="clear" w:color="auto" w:fill="CCC0D9"/>
            <w:vAlign w:val="center"/>
          </w:tcPr>
          <w:p w14:paraId="1580211A"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chronic hepatitis</w:t>
            </w:r>
          </w:p>
        </w:tc>
        <w:tc>
          <w:tcPr>
            <w:tcW w:w="715" w:type="pct"/>
            <w:shd w:val="clear" w:color="auto" w:fill="auto"/>
            <w:vAlign w:val="center"/>
          </w:tcPr>
          <w:p w14:paraId="6F82AD99" w14:textId="1933A455"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20E6EBC2"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364C97FA" w14:textId="55EF2AF2" w:rsidTr="00B24744">
        <w:trPr>
          <w:trHeight w:val="206"/>
        </w:trPr>
        <w:tc>
          <w:tcPr>
            <w:tcW w:w="3643" w:type="pct"/>
            <w:shd w:val="clear" w:color="auto" w:fill="CCC0D9"/>
            <w:vAlign w:val="center"/>
          </w:tcPr>
          <w:p w14:paraId="620A349E"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cirrhosis</w:t>
            </w:r>
          </w:p>
        </w:tc>
        <w:tc>
          <w:tcPr>
            <w:tcW w:w="715" w:type="pct"/>
            <w:shd w:val="clear" w:color="auto" w:fill="auto"/>
            <w:vAlign w:val="center"/>
          </w:tcPr>
          <w:p w14:paraId="3C918949" w14:textId="6D34113D"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534F6BF7"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29C7EFB8" w14:textId="28EDCBB5" w:rsidTr="00B24744">
        <w:trPr>
          <w:trHeight w:val="137"/>
        </w:trPr>
        <w:tc>
          <w:tcPr>
            <w:tcW w:w="3643" w:type="pct"/>
            <w:shd w:val="clear" w:color="auto" w:fill="CCC0D9"/>
            <w:vAlign w:val="center"/>
          </w:tcPr>
          <w:p w14:paraId="336F1F39" w14:textId="77777777" w:rsidR="00141F53" w:rsidRPr="00615E8B" w:rsidRDefault="00141F53" w:rsidP="00BF4DFC">
            <w:pPr>
              <w:spacing w:line="240" w:lineRule="auto"/>
              <w:ind w:left="170"/>
              <w:rPr>
                <w:rFonts w:asciiTheme="minorHAnsi" w:hAnsiTheme="minorHAnsi" w:cstheme="minorHAnsi"/>
                <w:color w:val="000000"/>
                <w:sz w:val="19"/>
                <w:szCs w:val="19"/>
              </w:rPr>
            </w:pPr>
            <w:r w:rsidRPr="00615E8B">
              <w:rPr>
                <w:rFonts w:asciiTheme="minorHAnsi" w:hAnsiTheme="minorHAnsi" w:cstheme="minorHAnsi"/>
                <w:color w:val="000000"/>
                <w:sz w:val="19"/>
                <w:szCs w:val="19"/>
              </w:rPr>
              <w:t>– biliary atresia</w:t>
            </w:r>
          </w:p>
        </w:tc>
        <w:tc>
          <w:tcPr>
            <w:tcW w:w="715" w:type="pct"/>
            <w:shd w:val="clear" w:color="auto" w:fill="auto"/>
            <w:vAlign w:val="center"/>
          </w:tcPr>
          <w:p w14:paraId="490D9989" w14:textId="0186527E"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45ACA496"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42E61A11" w14:textId="0B32F36D" w:rsidTr="00B24744">
        <w:trPr>
          <w:trHeight w:val="288"/>
        </w:trPr>
        <w:tc>
          <w:tcPr>
            <w:tcW w:w="3643" w:type="pct"/>
            <w:shd w:val="clear" w:color="auto" w:fill="CCC0D9"/>
            <w:vAlign w:val="center"/>
          </w:tcPr>
          <w:p w14:paraId="76441C3D" w14:textId="77777777" w:rsidR="00141F53" w:rsidRPr="00615E8B" w:rsidRDefault="00141F53" w:rsidP="00BF4DFC">
            <w:pPr>
              <w:spacing w:line="240" w:lineRule="auto"/>
              <w:rPr>
                <w:rFonts w:asciiTheme="minorHAnsi" w:hAnsiTheme="minorHAnsi" w:cstheme="minorHAnsi"/>
                <w:color w:val="000000"/>
                <w:sz w:val="19"/>
                <w:szCs w:val="19"/>
              </w:rPr>
            </w:pPr>
            <w:r w:rsidRPr="00615E8B">
              <w:rPr>
                <w:rFonts w:asciiTheme="minorHAnsi" w:hAnsiTheme="minorHAnsi" w:cstheme="minorHAnsi"/>
                <w:color w:val="000000"/>
                <w:sz w:val="19"/>
                <w:szCs w:val="19"/>
              </w:rPr>
              <w:t>Diabetes</w:t>
            </w:r>
          </w:p>
        </w:tc>
        <w:tc>
          <w:tcPr>
            <w:tcW w:w="715" w:type="pct"/>
            <w:shd w:val="clear" w:color="auto" w:fill="auto"/>
            <w:vAlign w:val="center"/>
          </w:tcPr>
          <w:p w14:paraId="2DFC4B6B" w14:textId="19174C85"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3CB14369"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6F9C1F78" w14:textId="7773F06D" w:rsidTr="00B24744">
        <w:trPr>
          <w:trHeight w:val="277"/>
        </w:trPr>
        <w:tc>
          <w:tcPr>
            <w:tcW w:w="3643" w:type="pct"/>
            <w:shd w:val="clear" w:color="auto" w:fill="CCC0D9"/>
            <w:vAlign w:val="center"/>
          </w:tcPr>
          <w:p w14:paraId="1082E1FC" w14:textId="77777777" w:rsidR="00141F53" w:rsidRPr="00615E8B" w:rsidRDefault="00141F53" w:rsidP="00BF4DFC">
            <w:pPr>
              <w:spacing w:line="240" w:lineRule="auto"/>
              <w:rPr>
                <w:rFonts w:asciiTheme="minorHAnsi" w:hAnsiTheme="minorHAnsi" w:cstheme="minorHAnsi"/>
                <w:color w:val="000000"/>
                <w:sz w:val="19"/>
                <w:szCs w:val="19"/>
              </w:rPr>
            </w:pPr>
            <w:r w:rsidRPr="00615E8B">
              <w:rPr>
                <w:rFonts w:asciiTheme="minorHAnsi" w:hAnsiTheme="minorHAnsi" w:cstheme="minorHAnsi"/>
                <w:color w:val="000000"/>
                <w:sz w:val="19"/>
                <w:szCs w:val="19"/>
              </w:rPr>
              <w:t>Smoking (current or in the immediate past)</w:t>
            </w:r>
          </w:p>
        </w:tc>
        <w:tc>
          <w:tcPr>
            <w:tcW w:w="715" w:type="pct"/>
            <w:shd w:val="clear" w:color="auto" w:fill="auto"/>
            <w:vAlign w:val="center"/>
          </w:tcPr>
          <w:p w14:paraId="082431EE" w14:textId="2DDF4C42"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35DB8B45"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r w:rsidR="00141F53" w:rsidRPr="00D57407" w14:paraId="30FC8323" w14:textId="427AB1B4" w:rsidTr="00B24744">
        <w:trPr>
          <w:trHeight w:val="340"/>
        </w:trPr>
        <w:tc>
          <w:tcPr>
            <w:tcW w:w="3643" w:type="pct"/>
            <w:shd w:val="clear" w:color="auto" w:fill="CCC0D9"/>
            <w:vAlign w:val="center"/>
          </w:tcPr>
          <w:p w14:paraId="31BFE149" w14:textId="77777777" w:rsidR="00141F53" w:rsidRPr="00615E8B" w:rsidRDefault="00141F53" w:rsidP="00BF4DFC">
            <w:pPr>
              <w:spacing w:line="240" w:lineRule="auto"/>
              <w:rPr>
                <w:sz w:val="19"/>
                <w:szCs w:val="19"/>
              </w:rPr>
            </w:pPr>
            <w:r w:rsidRPr="00615E8B">
              <w:rPr>
                <w:rFonts w:asciiTheme="minorHAnsi" w:hAnsiTheme="minorHAnsi" w:cstheme="minorHAnsi"/>
                <w:color w:val="000000"/>
                <w:sz w:val="19"/>
                <w:szCs w:val="19"/>
              </w:rPr>
              <w:t xml:space="preserve">Harmful use of </w:t>
            </w:r>
            <w:r w:rsidRPr="00615E8B">
              <w:rPr>
                <w:sz w:val="19"/>
                <w:szCs w:val="19"/>
              </w:rPr>
              <w:t>alcohol</w:t>
            </w:r>
          </w:p>
          <w:p w14:paraId="53703EA5" w14:textId="293284D0" w:rsidR="00141F53" w:rsidRPr="00615E8B" w:rsidRDefault="00141F53" w:rsidP="00BF4DFC">
            <w:pPr>
              <w:spacing w:line="240" w:lineRule="auto"/>
              <w:rPr>
                <w:rFonts w:asciiTheme="minorHAnsi" w:hAnsiTheme="minorHAnsi" w:cstheme="minorHAnsi"/>
                <w:color w:val="000000"/>
                <w:sz w:val="19"/>
                <w:szCs w:val="19"/>
              </w:rPr>
            </w:pPr>
            <w:r w:rsidRPr="00615E8B">
              <w:rPr>
                <w:sz w:val="19"/>
                <w:szCs w:val="19"/>
              </w:rPr>
              <w:t>(Defined as consuming on average ≥60 g of alcohol (6 Australian standard drinks) per day for males and ≥40 g of alcohol (4 Australian standard drinks) per day for females)</w:t>
            </w:r>
          </w:p>
        </w:tc>
        <w:tc>
          <w:tcPr>
            <w:tcW w:w="715" w:type="pct"/>
            <w:shd w:val="clear" w:color="auto" w:fill="auto"/>
            <w:vAlign w:val="center"/>
          </w:tcPr>
          <w:p w14:paraId="14202A1E" w14:textId="6A7D38F5" w:rsidR="00141F53" w:rsidRPr="00615E8B" w:rsidRDefault="00141F53" w:rsidP="00615E8B">
            <w:pPr>
              <w:pStyle w:val="TableText1"/>
              <w:spacing w:before="0" w:after="0"/>
              <w:jc w:val="center"/>
              <w:rPr>
                <w:rFonts w:asciiTheme="minorHAnsi" w:hAnsiTheme="minorHAnsi" w:cstheme="minorHAnsi"/>
                <w:sz w:val="19"/>
                <w:szCs w:val="19"/>
              </w:rPr>
            </w:pPr>
          </w:p>
        </w:tc>
        <w:tc>
          <w:tcPr>
            <w:tcW w:w="643" w:type="pct"/>
            <w:vAlign w:val="center"/>
          </w:tcPr>
          <w:p w14:paraId="780025D9" w14:textId="77777777" w:rsidR="00141F53" w:rsidRPr="00615E8B" w:rsidRDefault="00141F53" w:rsidP="00615E8B">
            <w:pPr>
              <w:pStyle w:val="TableText1"/>
              <w:spacing w:before="0" w:after="0"/>
              <w:jc w:val="center"/>
              <w:rPr>
                <w:rFonts w:asciiTheme="minorHAnsi" w:hAnsiTheme="minorHAnsi" w:cstheme="minorHAnsi"/>
                <w:sz w:val="19"/>
                <w:szCs w:val="19"/>
              </w:rPr>
            </w:pPr>
          </w:p>
        </w:tc>
      </w:tr>
    </w:tbl>
    <w:p w14:paraId="6EBCB97B" w14:textId="77777777" w:rsidR="00B24744" w:rsidRDefault="00413927" w:rsidP="00B24744">
      <w:pPr>
        <w:pStyle w:val="BulletedList"/>
        <w:numPr>
          <w:ilvl w:val="0"/>
          <w:numId w:val="0"/>
        </w:numPr>
        <w:spacing w:line="240" w:lineRule="auto"/>
        <w:rPr>
          <w:sz w:val="16"/>
          <w:szCs w:val="16"/>
          <w:lang w:eastAsia="en-US"/>
        </w:rPr>
      </w:pPr>
      <w:r w:rsidRPr="00B24744">
        <w:rPr>
          <w:sz w:val="16"/>
          <w:szCs w:val="16"/>
          <w:lang w:eastAsia="en-US"/>
        </w:rPr>
        <w:t xml:space="preserve">* Funded under the NIP for </w:t>
      </w:r>
      <w:proofErr w:type="spellStart"/>
      <w:r w:rsidRPr="00B24744">
        <w:rPr>
          <w:sz w:val="16"/>
          <w:szCs w:val="16"/>
          <w:lang w:eastAsia="en-US"/>
        </w:rPr>
        <w:t>eGFR</w:t>
      </w:r>
      <w:proofErr w:type="spellEnd"/>
      <w:r w:rsidRPr="00B24744">
        <w:rPr>
          <w:sz w:val="16"/>
          <w:szCs w:val="16"/>
          <w:lang w:eastAsia="en-US"/>
        </w:rPr>
        <w:t xml:space="preserve"> &lt;15 mL/min only (including patients on dialysis)</w:t>
      </w:r>
    </w:p>
    <w:p w14:paraId="37461B57" w14:textId="77777777" w:rsidR="008E2B7C" w:rsidRPr="008E2B7C" w:rsidRDefault="008E2B7C" w:rsidP="008E2B7C">
      <w:pPr>
        <w:pStyle w:val="BulletedList"/>
        <w:numPr>
          <w:ilvl w:val="0"/>
          <w:numId w:val="0"/>
        </w:numPr>
        <w:spacing w:line="240" w:lineRule="auto"/>
        <w:rPr>
          <w:sz w:val="16"/>
          <w:szCs w:val="16"/>
          <w:lang w:eastAsia="en-US"/>
        </w:rPr>
      </w:pPr>
      <w:r w:rsidRPr="008E2B7C">
        <w:rPr>
          <w:sz w:val="16"/>
          <w:szCs w:val="16"/>
          <w:lang w:eastAsia="en-US"/>
        </w:rPr>
        <w:t>¶</w:t>
      </w:r>
      <w:r w:rsidRPr="008E2B7C">
        <w:rPr>
          <w:sz w:val="16"/>
          <w:szCs w:val="16"/>
          <w:vertAlign w:val="superscript"/>
          <w:lang w:eastAsia="en-US"/>
        </w:rPr>
        <w:t xml:space="preserve"> </w:t>
      </w:r>
      <w:r w:rsidRPr="008E2B7C">
        <w:rPr>
          <w:sz w:val="16"/>
          <w:szCs w:val="16"/>
          <w:lang w:eastAsia="en-US"/>
        </w:rPr>
        <w:t>Individual conditions listed beneath or those that are similar based on clinical judgment</w:t>
      </w:r>
    </w:p>
    <w:p w14:paraId="34763E70" w14:textId="77777777" w:rsidR="008E2B7C" w:rsidRDefault="008E2B7C" w:rsidP="00B24744">
      <w:pPr>
        <w:pStyle w:val="BulletedList"/>
        <w:numPr>
          <w:ilvl w:val="0"/>
          <w:numId w:val="0"/>
        </w:numPr>
        <w:spacing w:line="240" w:lineRule="auto"/>
        <w:rPr>
          <w:sz w:val="16"/>
          <w:szCs w:val="16"/>
          <w:lang w:eastAsia="en-US"/>
        </w:rPr>
      </w:pPr>
    </w:p>
    <w:p w14:paraId="3146A25F" w14:textId="77777777" w:rsidR="00B24744" w:rsidRPr="00B24744" w:rsidRDefault="00B24744" w:rsidP="00B24744">
      <w:pPr>
        <w:pStyle w:val="BulletedList"/>
        <w:numPr>
          <w:ilvl w:val="0"/>
          <w:numId w:val="0"/>
        </w:numPr>
        <w:spacing w:line="240" w:lineRule="auto"/>
        <w:rPr>
          <w:sz w:val="16"/>
          <w:szCs w:val="16"/>
          <w:lang w:eastAsia="en-US"/>
        </w:rPr>
      </w:pPr>
    </w:p>
    <w:p w14:paraId="3D36C31C" w14:textId="55F9C1EB" w:rsidR="00615E8B" w:rsidRPr="00B24744" w:rsidRDefault="00B24744" w:rsidP="00B24744">
      <w:pPr>
        <w:pStyle w:val="BulletedList"/>
        <w:numPr>
          <w:ilvl w:val="0"/>
          <w:numId w:val="0"/>
        </w:numPr>
        <w:spacing w:before="240" w:line="240" w:lineRule="auto"/>
        <w:rPr>
          <w:sz w:val="14"/>
          <w:szCs w:val="14"/>
          <w:lang w:eastAsia="en-US"/>
        </w:rPr>
      </w:pPr>
      <w:r w:rsidRPr="00B24744">
        <w:rPr>
          <w:b/>
          <w:sz w:val="18"/>
          <w:szCs w:val="18"/>
        </w:rPr>
        <w:t>Note:</w:t>
      </w:r>
      <w:r>
        <w:rPr>
          <w:sz w:val="18"/>
          <w:szCs w:val="18"/>
        </w:rPr>
        <w:t xml:space="preserve"> All c</w:t>
      </w:r>
      <w:r w:rsidRPr="00B24744">
        <w:rPr>
          <w:sz w:val="18"/>
          <w:szCs w:val="18"/>
        </w:rPr>
        <w:t xml:space="preserve">hildren and adults with </w:t>
      </w:r>
      <w:r>
        <w:rPr>
          <w:sz w:val="18"/>
          <w:szCs w:val="18"/>
        </w:rPr>
        <w:t>above</w:t>
      </w:r>
      <w:r w:rsidRPr="00B24744">
        <w:rPr>
          <w:sz w:val="18"/>
          <w:szCs w:val="18"/>
        </w:rPr>
        <w:t xml:space="preserve"> conditions are recommended to receive additional pneumococcal vaccine</w:t>
      </w:r>
      <w:r>
        <w:rPr>
          <w:sz w:val="18"/>
          <w:szCs w:val="18"/>
        </w:rPr>
        <w:t xml:space="preserve"> dose</w:t>
      </w:r>
      <w:r w:rsidR="007E5816">
        <w:rPr>
          <w:sz w:val="18"/>
          <w:szCs w:val="18"/>
        </w:rPr>
        <w:t>s</w:t>
      </w:r>
      <w:r w:rsidRPr="00B24744">
        <w:rPr>
          <w:sz w:val="18"/>
          <w:szCs w:val="18"/>
        </w:rPr>
        <w:t xml:space="preserve"> but</w:t>
      </w:r>
      <w:r>
        <w:rPr>
          <w:sz w:val="18"/>
          <w:szCs w:val="18"/>
        </w:rPr>
        <w:t xml:space="preserve"> they are </w:t>
      </w:r>
      <w:r w:rsidRPr="00B24744">
        <w:rPr>
          <w:sz w:val="18"/>
          <w:szCs w:val="18"/>
        </w:rPr>
        <w:t xml:space="preserve">funded </w:t>
      </w:r>
      <w:r>
        <w:rPr>
          <w:sz w:val="18"/>
          <w:szCs w:val="18"/>
        </w:rPr>
        <w:t>under</w:t>
      </w:r>
      <w:r w:rsidR="008E2B7C">
        <w:rPr>
          <w:sz w:val="18"/>
          <w:szCs w:val="18"/>
        </w:rPr>
        <w:t xml:space="preserve"> the NIP for those</w:t>
      </w:r>
      <w:r w:rsidRPr="00B24744">
        <w:rPr>
          <w:sz w:val="18"/>
          <w:szCs w:val="18"/>
        </w:rPr>
        <w:t xml:space="preserve"> with </w:t>
      </w:r>
      <w:r>
        <w:rPr>
          <w:sz w:val="18"/>
          <w:szCs w:val="18"/>
        </w:rPr>
        <w:t xml:space="preserve">the </w:t>
      </w:r>
      <w:r w:rsidRPr="00B24744">
        <w:rPr>
          <w:sz w:val="18"/>
          <w:szCs w:val="18"/>
        </w:rPr>
        <w:t>shaded conditions</w:t>
      </w:r>
    </w:p>
    <w:p w14:paraId="78E7EEFF" w14:textId="77777777" w:rsidR="00615E8B" w:rsidRDefault="00615E8B" w:rsidP="003017B5">
      <w:pPr>
        <w:pStyle w:val="Heading3"/>
        <w:spacing w:after="40"/>
        <w:rPr>
          <w:sz w:val="18"/>
          <w:szCs w:val="18"/>
        </w:rPr>
      </w:pPr>
    </w:p>
    <w:p w14:paraId="57ACA4BD" w14:textId="77777777" w:rsidR="00B24744" w:rsidRDefault="00B24744" w:rsidP="00B24744"/>
    <w:p w14:paraId="08E29CC5" w14:textId="77777777" w:rsidR="00AF146F" w:rsidRDefault="00AF146F" w:rsidP="003017B5">
      <w:pPr>
        <w:pStyle w:val="Heading3"/>
        <w:spacing w:after="40"/>
        <w:rPr>
          <w:sz w:val="18"/>
          <w:szCs w:val="18"/>
        </w:rPr>
      </w:pPr>
    </w:p>
    <w:p w14:paraId="309815CC" w14:textId="1ECBBB71" w:rsidR="003017B5" w:rsidRDefault="00EC3910" w:rsidP="003017B5">
      <w:pPr>
        <w:pStyle w:val="Heading3"/>
        <w:spacing w:after="40"/>
        <w:rPr>
          <w:sz w:val="18"/>
          <w:szCs w:val="18"/>
        </w:rPr>
      </w:pPr>
      <w:r>
        <w:rPr>
          <w:sz w:val="18"/>
          <w:szCs w:val="18"/>
        </w:rPr>
        <w:t>R</w:t>
      </w:r>
      <w:r w:rsidR="00D138CD">
        <w:rPr>
          <w:sz w:val="18"/>
          <w:szCs w:val="18"/>
        </w:rPr>
        <w:t>ecommended schedule</w:t>
      </w:r>
      <w:r w:rsidR="003017B5" w:rsidRPr="003017B5">
        <w:rPr>
          <w:sz w:val="18"/>
          <w:szCs w:val="18"/>
        </w:rPr>
        <w:t xml:space="preserve"> of pneumococcal vaccines for people with risk condition</w:t>
      </w:r>
      <w:r w:rsidR="00DF0F5F">
        <w:rPr>
          <w:sz w:val="18"/>
          <w:szCs w:val="18"/>
        </w:rPr>
        <w:t>s</w:t>
      </w:r>
    </w:p>
    <w:p w14:paraId="35B895B6" w14:textId="41035189" w:rsidR="00B64E55" w:rsidRPr="00BF7587" w:rsidRDefault="002F0C8F" w:rsidP="00BF7587">
      <w:pPr>
        <w:pStyle w:val="BulletedList"/>
        <w:ind w:left="426" w:hanging="426"/>
        <w:rPr>
          <w:sz w:val="18"/>
          <w:szCs w:val="18"/>
        </w:rPr>
      </w:pPr>
      <w:r w:rsidRPr="00BF7587">
        <w:rPr>
          <w:sz w:val="18"/>
          <w:szCs w:val="18"/>
        </w:rPr>
        <w:t>P</w:t>
      </w:r>
      <w:r w:rsidR="00BC6B1A" w:rsidRPr="00BF7587">
        <w:rPr>
          <w:sz w:val="18"/>
          <w:szCs w:val="18"/>
        </w:rPr>
        <w:t>neumococcal vaccine recommendation</w:t>
      </w:r>
      <w:r w:rsidR="00A67E42" w:rsidRPr="00BF7587">
        <w:rPr>
          <w:sz w:val="18"/>
          <w:szCs w:val="18"/>
        </w:rPr>
        <w:t>s</w:t>
      </w:r>
      <w:r w:rsidR="00BC6B1A" w:rsidRPr="00BF7587">
        <w:rPr>
          <w:sz w:val="18"/>
          <w:szCs w:val="18"/>
        </w:rPr>
        <w:t xml:space="preserve"> for </w:t>
      </w:r>
      <w:r w:rsidR="00A67E42" w:rsidRPr="00BF7587">
        <w:rPr>
          <w:sz w:val="18"/>
          <w:szCs w:val="18"/>
        </w:rPr>
        <w:t>people</w:t>
      </w:r>
      <w:r w:rsidR="00BC6B1A" w:rsidRPr="00BF7587">
        <w:rPr>
          <w:sz w:val="18"/>
          <w:szCs w:val="18"/>
        </w:rPr>
        <w:t xml:space="preserve"> </w:t>
      </w:r>
      <w:r w:rsidR="00A67E42" w:rsidRPr="00BF7587">
        <w:rPr>
          <w:sz w:val="18"/>
          <w:szCs w:val="18"/>
        </w:rPr>
        <w:t xml:space="preserve">with </w:t>
      </w:r>
      <w:r w:rsidR="00BC6B1A" w:rsidRPr="00BF7587">
        <w:rPr>
          <w:sz w:val="18"/>
          <w:szCs w:val="18"/>
        </w:rPr>
        <w:t>the list</w:t>
      </w:r>
      <w:r w:rsidR="00A67E42" w:rsidRPr="00BF7587">
        <w:rPr>
          <w:sz w:val="18"/>
          <w:szCs w:val="18"/>
        </w:rPr>
        <w:t>ed risk conditions</w:t>
      </w:r>
      <w:r w:rsidR="00BC6B1A" w:rsidRPr="00BF7587">
        <w:rPr>
          <w:sz w:val="18"/>
          <w:szCs w:val="18"/>
        </w:rPr>
        <w:t xml:space="preserve"> </w:t>
      </w:r>
      <w:r w:rsidR="00D138CD" w:rsidRPr="00BF7587">
        <w:rPr>
          <w:sz w:val="18"/>
          <w:szCs w:val="18"/>
        </w:rPr>
        <w:t>are</w:t>
      </w:r>
      <w:r w:rsidR="00B1432D" w:rsidRPr="00BF7587">
        <w:rPr>
          <w:sz w:val="18"/>
          <w:szCs w:val="18"/>
        </w:rPr>
        <w:t xml:space="preserve"> </w:t>
      </w:r>
      <w:r w:rsidR="00B64E55" w:rsidRPr="00BF7587">
        <w:rPr>
          <w:sz w:val="18"/>
          <w:szCs w:val="18"/>
        </w:rPr>
        <w:t>1 dose of 13vPCV</w:t>
      </w:r>
      <w:r w:rsidR="00A67E42" w:rsidRPr="00BF7587">
        <w:rPr>
          <w:sz w:val="18"/>
          <w:szCs w:val="18"/>
        </w:rPr>
        <w:t xml:space="preserve"> followed by</w:t>
      </w:r>
      <w:r w:rsidR="00B64E55" w:rsidRPr="00BF7587">
        <w:rPr>
          <w:sz w:val="18"/>
          <w:szCs w:val="18"/>
        </w:rPr>
        <w:t xml:space="preserve"> 2 doses of 23vPPV. </w:t>
      </w:r>
    </w:p>
    <w:p w14:paraId="36631DD2" w14:textId="5FB0961F" w:rsidR="00737C94" w:rsidRPr="003017B5" w:rsidRDefault="00BC6B1A" w:rsidP="00737C94">
      <w:pPr>
        <w:pStyle w:val="BulletedList"/>
        <w:numPr>
          <w:ilvl w:val="1"/>
          <w:numId w:val="4"/>
        </w:numPr>
        <w:rPr>
          <w:i/>
          <w:sz w:val="18"/>
          <w:szCs w:val="18"/>
        </w:rPr>
      </w:pPr>
      <w:r>
        <w:rPr>
          <w:i/>
          <w:sz w:val="18"/>
          <w:szCs w:val="18"/>
          <w:lang w:val="en-AU"/>
        </w:rPr>
        <w:t>In Australia</w:t>
      </w:r>
      <w:r w:rsidR="00EE36CC">
        <w:rPr>
          <w:i/>
          <w:sz w:val="18"/>
          <w:szCs w:val="18"/>
          <w:lang w:val="en-AU"/>
        </w:rPr>
        <w:t>,</w:t>
      </w:r>
      <w:r>
        <w:rPr>
          <w:i/>
          <w:sz w:val="18"/>
          <w:szCs w:val="18"/>
          <w:lang w:val="en-AU"/>
        </w:rPr>
        <w:t xml:space="preserve"> data for invasive pneumococcal disease (IPD) </w:t>
      </w:r>
      <w:r w:rsidR="00EE36CC">
        <w:rPr>
          <w:i/>
          <w:sz w:val="18"/>
          <w:szCs w:val="18"/>
          <w:lang w:val="en-AU"/>
        </w:rPr>
        <w:t xml:space="preserve">shows that </w:t>
      </w:r>
      <w:r w:rsidR="00DD4028">
        <w:rPr>
          <w:i/>
          <w:sz w:val="18"/>
          <w:szCs w:val="18"/>
          <w:lang w:val="en-AU"/>
        </w:rPr>
        <w:t xml:space="preserve">a </w:t>
      </w:r>
      <w:r w:rsidR="006A7B0E">
        <w:rPr>
          <w:i/>
          <w:sz w:val="18"/>
          <w:szCs w:val="18"/>
          <w:lang w:val="en-AU"/>
        </w:rPr>
        <w:t xml:space="preserve"> considerable</w:t>
      </w:r>
      <w:r w:rsidR="00DD4028">
        <w:rPr>
          <w:i/>
          <w:sz w:val="18"/>
          <w:szCs w:val="18"/>
          <w:lang w:val="en-AU"/>
        </w:rPr>
        <w:t xml:space="preserve"> proportion of disease in </w:t>
      </w:r>
      <w:r>
        <w:rPr>
          <w:i/>
          <w:sz w:val="18"/>
          <w:szCs w:val="18"/>
          <w:lang w:val="en-AU"/>
        </w:rPr>
        <w:t xml:space="preserve">people with risk </w:t>
      </w:r>
      <w:r w:rsidR="000D0D9D">
        <w:rPr>
          <w:i/>
          <w:sz w:val="18"/>
          <w:szCs w:val="18"/>
          <w:lang w:val="en-AU"/>
        </w:rPr>
        <w:t>conditions</w:t>
      </w:r>
      <w:r>
        <w:rPr>
          <w:i/>
          <w:sz w:val="18"/>
          <w:szCs w:val="18"/>
          <w:lang w:val="en-AU"/>
        </w:rPr>
        <w:t xml:space="preserve"> </w:t>
      </w:r>
      <w:r w:rsidR="00DD4028">
        <w:rPr>
          <w:i/>
          <w:sz w:val="18"/>
          <w:szCs w:val="18"/>
          <w:lang w:val="en-AU"/>
        </w:rPr>
        <w:t xml:space="preserve">is </w:t>
      </w:r>
      <w:r w:rsidR="000D0D9D">
        <w:rPr>
          <w:i/>
          <w:sz w:val="18"/>
          <w:szCs w:val="18"/>
          <w:lang w:val="en-AU"/>
        </w:rPr>
        <w:t>caused by the additional serotypes in the 23vPPV above those in the 13vPCV</w:t>
      </w:r>
      <w:r w:rsidR="006A7B0E">
        <w:rPr>
          <w:i/>
          <w:sz w:val="18"/>
          <w:szCs w:val="18"/>
          <w:lang w:val="en-AU"/>
        </w:rPr>
        <w:t xml:space="preserve"> (23v-non-13v types)</w:t>
      </w:r>
      <w:r w:rsidR="000D0D9D">
        <w:rPr>
          <w:i/>
          <w:sz w:val="18"/>
          <w:szCs w:val="18"/>
          <w:lang w:val="en-AU"/>
        </w:rPr>
        <w:t xml:space="preserve">. </w:t>
      </w:r>
      <w:r w:rsidR="00967D6A">
        <w:rPr>
          <w:i/>
          <w:sz w:val="18"/>
          <w:szCs w:val="18"/>
          <w:lang w:val="en-AU"/>
        </w:rPr>
        <w:t>Therefore the</w:t>
      </w:r>
      <w:r w:rsidR="00916F11">
        <w:rPr>
          <w:i/>
          <w:sz w:val="18"/>
          <w:szCs w:val="18"/>
          <w:lang w:val="en-AU"/>
        </w:rPr>
        <w:t xml:space="preserve"> </w:t>
      </w:r>
      <w:r w:rsidR="00916F11" w:rsidRPr="00F93B20">
        <w:rPr>
          <w:i/>
          <w:sz w:val="18"/>
          <w:szCs w:val="18"/>
          <w:lang w:val="en-AU"/>
        </w:rPr>
        <w:t xml:space="preserve">schedule </w:t>
      </w:r>
      <w:r w:rsidR="00916F11">
        <w:rPr>
          <w:i/>
          <w:sz w:val="18"/>
          <w:szCs w:val="18"/>
          <w:lang w:val="en-AU"/>
        </w:rPr>
        <w:t>that u</w:t>
      </w:r>
      <w:r w:rsidR="00916F11" w:rsidRPr="00F93B20">
        <w:rPr>
          <w:i/>
          <w:sz w:val="18"/>
          <w:szCs w:val="18"/>
          <w:lang w:val="en-AU"/>
        </w:rPr>
        <w:t>ses both 13vPCV and 23vPPV</w:t>
      </w:r>
      <w:r w:rsidR="00916F11">
        <w:rPr>
          <w:i/>
          <w:sz w:val="18"/>
          <w:szCs w:val="18"/>
          <w:lang w:val="en-AU"/>
        </w:rPr>
        <w:t xml:space="preserve"> will maximise </w:t>
      </w:r>
      <w:r w:rsidR="00B64E55" w:rsidRPr="00F93B20">
        <w:rPr>
          <w:i/>
          <w:sz w:val="18"/>
          <w:szCs w:val="18"/>
          <w:lang w:val="en-AU"/>
        </w:rPr>
        <w:t>benefit from pneumococcal</w:t>
      </w:r>
      <w:r w:rsidR="00916F11">
        <w:rPr>
          <w:i/>
          <w:sz w:val="18"/>
          <w:szCs w:val="18"/>
          <w:lang w:val="en-AU"/>
        </w:rPr>
        <w:t xml:space="preserve"> vaccination in people with risk </w:t>
      </w:r>
      <w:r w:rsidR="00967D6A">
        <w:rPr>
          <w:i/>
          <w:sz w:val="18"/>
          <w:szCs w:val="18"/>
          <w:lang w:val="en-AU"/>
        </w:rPr>
        <w:t>conditions</w:t>
      </w:r>
      <w:r w:rsidR="00916F11">
        <w:rPr>
          <w:i/>
          <w:sz w:val="18"/>
          <w:szCs w:val="18"/>
          <w:lang w:val="en-AU"/>
        </w:rPr>
        <w:t xml:space="preserve">. </w:t>
      </w:r>
    </w:p>
    <w:p w14:paraId="53E590D5" w14:textId="6807DD7B" w:rsidR="00ED5B7F" w:rsidRDefault="00ED5B7F" w:rsidP="00BF7587">
      <w:pPr>
        <w:pStyle w:val="BulletedList"/>
        <w:ind w:left="426" w:hanging="426"/>
        <w:rPr>
          <w:sz w:val="18"/>
          <w:szCs w:val="18"/>
        </w:rPr>
      </w:pPr>
      <w:r>
        <w:rPr>
          <w:sz w:val="18"/>
          <w:szCs w:val="18"/>
        </w:rPr>
        <w:t>T</w:t>
      </w:r>
      <w:r w:rsidRPr="00ED5B7F">
        <w:rPr>
          <w:sz w:val="18"/>
          <w:szCs w:val="18"/>
        </w:rPr>
        <w:t>he recommended</w:t>
      </w:r>
      <w:r w:rsidR="007A097D">
        <w:rPr>
          <w:sz w:val="18"/>
          <w:szCs w:val="18"/>
        </w:rPr>
        <w:t xml:space="preserve"> </w:t>
      </w:r>
      <w:r w:rsidR="007A097D" w:rsidRPr="00ED5B7F">
        <w:rPr>
          <w:sz w:val="18"/>
          <w:szCs w:val="18"/>
        </w:rPr>
        <w:t>interval</w:t>
      </w:r>
      <w:r w:rsidRPr="00ED5B7F">
        <w:rPr>
          <w:sz w:val="18"/>
          <w:szCs w:val="18"/>
        </w:rPr>
        <w:t xml:space="preserve"> between the last dose of 13vPCV and the first dose of 23vPPV is 12 months (although an interval of at least 2 months is acceptable)</w:t>
      </w:r>
      <w:r w:rsidR="003017B5">
        <w:rPr>
          <w:sz w:val="18"/>
          <w:szCs w:val="18"/>
        </w:rPr>
        <w:t>.</w:t>
      </w:r>
      <w:r w:rsidR="007A097D">
        <w:rPr>
          <w:sz w:val="18"/>
          <w:szCs w:val="18"/>
        </w:rPr>
        <w:t xml:space="preserve"> The recommended interval between 23vPPV doses is at least 5 years.</w:t>
      </w:r>
    </w:p>
    <w:p w14:paraId="04FBB6CB" w14:textId="73319395" w:rsidR="007A097D" w:rsidRPr="007A097D" w:rsidRDefault="007A097D" w:rsidP="007A097D">
      <w:pPr>
        <w:pStyle w:val="BulletedList"/>
        <w:numPr>
          <w:ilvl w:val="1"/>
          <w:numId w:val="4"/>
        </w:numPr>
        <w:rPr>
          <w:i/>
          <w:sz w:val="18"/>
          <w:szCs w:val="18"/>
        </w:rPr>
      </w:pPr>
      <w:r w:rsidRPr="00B771BD">
        <w:rPr>
          <w:i/>
          <w:sz w:val="18"/>
          <w:szCs w:val="18"/>
        </w:rPr>
        <w:t>Evidence shows that 23vPPV elicit</w:t>
      </w:r>
      <w:r>
        <w:rPr>
          <w:i/>
          <w:sz w:val="18"/>
          <w:szCs w:val="18"/>
        </w:rPr>
        <w:t>s</w:t>
      </w:r>
      <w:r w:rsidRPr="00B771BD">
        <w:rPr>
          <w:i/>
          <w:sz w:val="18"/>
          <w:szCs w:val="18"/>
        </w:rPr>
        <w:t xml:space="preserve"> a good immune response when given at least 2 months after a PCV.</w:t>
      </w:r>
      <w:r w:rsidRPr="00967D6A">
        <w:rPr>
          <w:i/>
          <w:sz w:val="18"/>
          <w:szCs w:val="18"/>
          <w:lang w:val="en-AU"/>
        </w:rPr>
        <w:t>The 2</w:t>
      </w:r>
      <w:r>
        <w:rPr>
          <w:i/>
          <w:sz w:val="18"/>
          <w:szCs w:val="18"/>
          <w:lang w:val="en-AU"/>
        </w:rPr>
        <w:t>–</w:t>
      </w:r>
      <w:r w:rsidRPr="00967D6A">
        <w:rPr>
          <w:i/>
          <w:sz w:val="18"/>
          <w:szCs w:val="18"/>
          <w:lang w:val="en-AU"/>
        </w:rPr>
        <w:t>12 month interval</w:t>
      </w:r>
      <w:r>
        <w:rPr>
          <w:i/>
          <w:sz w:val="18"/>
          <w:szCs w:val="18"/>
          <w:lang w:val="en-AU"/>
        </w:rPr>
        <w:t xml:space="preserve"> between doses</w:t>
      </w:r>
      <w:r w:rsidRPr="00967D6A">
        <w:rPr>
          <w:i/>
          <w:sz w:val="18"/>
          <w:szCs w:val="18"/>
          <w:lang w:val="en-AU"/>
        </w:rPr>
        <w:t xml:space="preserve"> is recommended to ensure that extended protection against 23v-non-13v serotypes is </w:t>
      </w:r>
      <w:r>
        <w:rPr>
          <w:i/>
          <w:sz w:val="18"/>
          <w:szCs w:val="18"/>
          <w:lang w:val="en-AU"/>
        </w:rPr>
        <w:t>achieved</w:t>
      </w:r>
      <w:r>
        <w:rPr>
          <w:i/>
          <w:sz w:val="18"/>
          <w:szCs w:val="18"/>
        </w:rPr>
        <w:t xml:space="preserve"> </w:t>
      </w:r>
      <w:r w:rsidRPr="00D336CE">
        <w:rPr>
          <w:i/>
          <w:sz w:val="18"/>
          <w:szCs w:val="18"/>
          <w:lang w:val="en-AU"/>
        </w:rPr>
        <w:t>without delay</w:t>
      </w:r>
      <w:r>
        <w:rPr>
          <w:i/>
          <w:sz w:val="18"/>
          <w:szCs w:val="18"/>
          <w:lang w:val="en-AU"/>
        </w:rPr>
        <w:t>, while acknowledging that initial protection from the serotypes in common between the two vaccines will be provided by 13vPCV.</w:t>
      </w:r>
    </w:p>
    <w:p w14:paraId="3AB76EE9" w14:textId="55ADC3E4" w:rsidR="006C699F" w:rsidRPr="00F25365" w:rsidRDefault="006C699F" w:rsidP="00BF7587">
      <w:pPr>
        <w:pStyle w:val="BulletedList"/>
        <w:ind w:left="426" w:hanging="426"/>
        <w:rPr>
          <w:sz w:val="18"/>
          <w:szCs w:val="18"/>
        </w:rPr>
      </w:pPr>
      <w:r>
        <w:rPr>
          <w:sz w:val="18"/>
          <w:szCs w:val="18"/>
        </w:rPr>
        <w:t>T</w:t>
      </w:r>
      <w:r w:rsidRPr="00ED5B7F">
        <w:rPr>
          <w:sz w:val="18"/>
          <w:szCs w:val="18"/>
        </w:rPr>
        <w:t>he youngest age recommended for r</w:t>
      </w:r>
      <w:r>
        <w:rPr>
          <w:sz w:val="18"/>
          <w:szCs w:val="18"/>
        </w:rPr>
        <w:t>eceiving the first dose of 23vPP</w:t>
      </w:r>
      <w:r w:rsidRPr="00ED5B7F">
        <w:rPr>
          <w:sz w:val="18"/>
          <w:szCs w:val="18"/>
        </w:rPr>
        <w:t xml:space="preserve">V after the required dose(s) of 13vPCV is </w:t>
      </w:r>
      <w:r w:rsidRPr="00B24744">
        <w:rPr>
          <w:sz w:val="18"/>
          <w:szCs w:val="18"/>
          <w:u w:val="single"/>
        </w:rPr>
        <w:t>4 years</w:t>
      </w:r>
      <w:r w:rsidRPr="00F25365">
        <w:rPr>
          <w:sz w:val="18"/>
          <w:szCs w:val="18"/>
        </w:rPr>
        <w:t>.</w:t>
      </w:r>
    </w:p>
    <w:p w14:paraId="33BE23A4" w14:textId="44468268" w:rsidR="003017B5" w:rsidRPr="006C699F" w:rsidRDefault="003017B5" w:rsidP="00BF7587">
      <w:pPr>
        <w:pStyle w:val="BulletedList"/>
        <w:ind w:left="426" w:hanging="426"/>
        <w:rPr>
          <w:sz w:val="18"/>
          <w:szCs w:val="18"/>
        </w:rPr>
      </w:pPr>
      <w:r w:rsidRPr="00BF7587">
        <w:rPr>
          <w:sz w:val="18"/>
          <w:szCs w:val="18"/>
        </w:rPr>
        <w:t>For children</w:t>
      </w:r>
      <w:r w:rsidR="00DE702F" w:rsidRPr="00BF7587">
        <w:rPr>
          <w:sz w:val="18"/>
          <w:szCs w:val="18"/>
        </w:rPr>
        <w:t xml:space="preserve"> with risk conditions</w:t>
      </w:r>
      <w:r w:rsidR="00765E98" w:rsidRPr="00BF7587">
        <w:rPr>
          <w:sz w:val="18"/>
          <w:szCs w:val="18"/>
        </w:rPr>
        <w:t>,</w:t>
      </w:r>
      <w:r w:rsidR="00DE702F" w:rsidRPr="00BF7587">
        <w:rPr>
          <w:sz w:val="18"/>
          <w:szCs w:val="18"/>
        </w:rPr>
        <w:t xml:space="preserve"> </w:t>
      </w:r>
      <w:r w:rsidRPr="00BF7587">
        <w:rPr>
          <w:sz w:val="18"/>
          <w:szCs w:val="18"/>
        </w:rPr>
        <w:t xml:space="preserve">this will mean an extra dose of 13vPCV additional to what is recommended for healthy children of the same age (with the exception of Aboriginal and Torres Strait Islander children in </w:t>
      </w:r>
      <w:r w:rsidRPr="00AF2DFA">
        <w:rPr>
          <w:sz w:val="18"/>
          <w:szCs w:val="18"/>
        </w:rPr>
        <w:t xml:space="preserve">NT, </w:t>
      </w:r>
      <w:proofErr w:type="spellStart"/>
      <w:r w:rsidR="000F155E">
        <w:rPr>
          <w:sz w:val="18"/>
          <w:szCs w:val="18"/>
        </w:rPr>
        <w:t>Qld</w:t>
      </w:r>
      <w:proofErr w:type="spellEnd"/>
      <w:r w:rsidRPr="00AF2DFA">
        <w:rPr>
          <w:sz w:val="18"/>
          <w:szCs w:val="18"/>
        </w:rPr>
        <w:t xml:space="preserve">, SA or WA who already receive an additional </w:t>
      </w:r>
      <w:r w:rsidR="006A7B0E">
        <w:rPr>
          <w:sz w:val="18"/>
          <w:szCs w:val="18"/>
        </w:rPr>
        <w:t xml:space="preserve">13vPCV </w:t>
      </w:r>
      <w:r w:rsidRPr="00AF2DFA">
        <w:rPr>
          <w:sz w:val="18"/>
          <w:szCs w:val="18"/>
        </w:rPr>
        <w:t>dose</w:t>
      </w:r>
      <w:r w:rsidR="006C699F">
        <w:rPr>
          <w:sz w:val="18"/>
          <w:szCs w:val="18"/>
        </w:rPr>
        <w:t xml:space="preserve"> at 6 months of age</w:t>
      </w:r>
      <w:r w:rsidRPr="00BF7587">
        <w:rPr>
          <w:sz w:val="18"/>
          <w:szCs w:val="18"/>
        </w:rPr>
        <w:t>).</w:t>
      </w:r>
      <w:r w:rsidR="00DE702F" w:rsidRPr="00BF7587">
        <w:rPr>
          <w:sz w:val="18"/>
          <w:szCs w:val="18"/>
        </w:rPr>
        <w:t xml:space="preserve"> </w:t>
      </w:r>
    </w:p>
    <w:p w14:paraId="0CF68D6B" w14:textId="42A3A8E4" w:rsidR="00FE7C90" w:rsidRPr="00F25365" w:rsidRDefault="00FE7C90" w:rsidP="00BF7587">
      <w:pPr>
        <w:pStyle w:val="BulletedList"/>
        <w:ind w:left="426" w:hanging="426"/>
        <w:rPr>
          <w:sz w:val="18"/>
          <w:szCs w:val="18"/>
        </w:rPr>
      </w:pPr>
      <w:r w:rsidRPr="00F25365">
        <w:rPr>
          <w:sz w:val="18"/>
          <w:szCs w:val="18"/>
        </w:rPr>
        <w:t xml:space="preserve">The number of </w:t>
      </w:r>
      <w:r w:rsidR="00C22D05" w:rsidRPr="00F25365">
        <w:rPr>
          <w:sz w:val="18"/>
          <w:szCs w:val="18"/>
        </w:rPr>
        <w:t xml:space="preserve">recommended </w:t>
      </w:r>
      <w:r w:rsidRPr="00F25365">
        <w:rPr>
          <w:sz w:val="18"/>
          <w:szCs w:val="18"/>
        </w:rPr>
        <w:t xml:space="preserve">lifetime doses of 23vPPV </w:t>
      </w:r>
      <w:r w:rsidR="00134E71" w:rsidRPr="00F25365">
        <w:rPr>
          <w:sz w:val="18"/>
          <w:szCs w:val="18"/>
        </w:rPr>
        <w:t>is</w:t>
      </w:r>
      <w:r w:rsidRPr="00F25365">
        <w:rPr>
          <w:sz w:val="18"/>
          <w:szCs w:val="18"/>
        </w:rPr>
        <w:t xml:space="preserve"> now </w:t>
      </w:r>
      <w:r w:rsidRPr="00C50DAB">
        <w:rPr>
          <w:b/>
          <w:sz w:val="18"/>
          <w:szCs w:val="18"/>
        </w:rPr>
        <w:t>limited to 2 doses</w:t>
      </w:r>
      <w:r w:rsidR="00C22D05" w:rsidRPr="00BF7587">
        <w:rPr>
          <w:sz w:val="18"/>
          <w:szCs w:val="18"/>
        </w:rPr>
        <w:t xml:space="preserve"> </w:t>
      </w:r>
      <w:r w:rsidR="00C22D05" w:rsidRPr="00F25365">
        <w:rPr>
          <w:sz w:val="18"/>
          <w:szCs w:val="18"/>
        </w:rPr>
        <w:t>for all people</w:t>
      </w:r>
      <w:r w:rsidR="00F65D3A" w:rsidRPr="00F25365">
        <w:rPr>
          <w:sz w:val="18"/>
          <w:szCs w:val="18"/>
        </w:rPr>
        <w:t xml:space="preserve">. The doses of 23vPPV received in the past are also counted </w:t>
      </w:r>
      <w:r w:rsidR="00C537B6">
        <w:rPr>
          <w:sz w:val="18"/>
          <w:szCs w:val="18"/>
        </w:rPr>
        <w:t>when deciding</w:t>
      </w:r>
      <w:r w:rsidR="00F65D3A" w:rsidRPr="00F25365">
        <w:rPr>
          <w:sz w:val="18"/>
          <w:szCs w:val="18"/>
        </w:rPr>
        <w:t xml:space="preserve"> how many more are required. If a person has already received at least two doses based on previous recommendations</w:t>
      </w:r>
      <w:r w:rsidR="00F25365" w:rsidRPr="00F25365">
        <w:rPr>
          <w:sz w:val="18"/>
          <w:szCs w:val="18"/>
        </w:rPr>
        <w:t>,</w:t>
      </w:r>
      <w:r w:rsidR="00F65D3A" w:rsidRPr="00F25365">
        <w:rPr>
          <w:sz w:val="18"/>
          <w:szCs w:val="18"/>
        </w:rPr>
        <w:t xml:space="preserve"> no further doses of 23vPPV are to be given</w:t>
      </w:r>
      <w:r w:rsidR="00F25365" w:rsidRPr="00F25365">
        <w:rPr>
          <w:sz w:val="18"/>
          <w:szCs w:val="18"/>
        </w:rPr>
        <w:t xml:space="preserve"> (</w:t>
      </w:r>
      <w:r w:rsidR="00FD22AF" w:rsidRPr="00BF7587">
        <w:rPr>
          <w:sz w:val="18"/>
          <w:szCs w:val="18"/>
        </w:rPr>
        <w:t>refer to</w:t>
      </w:r>
      <w:r w:rsidR="00F25365" w:rsidRPr="00F25365">
        <w:rPr>
          <w:sz w:val="18"/>
          <w:szCs w:val="18"/>
        </w:rPr>
        <w:t xml:space="preserve"> </w:t>
      </w:r>
      <w:hyperlink r:id="rId16" w:history="1">
        <w:r w:rsidR="00F25365" w:rsidRPr="004676AE">
          <w:rPr>
            <w:rStyle w:val="Hyperlink"/>
            <w:i/>
            <w:sz w:val="18"/>
            <w:szCs w:val="18"/>
          </w:rPr>
          <w:t>The Australian Immunisation Handbook</w:t>
        </w:r>
      </w:hyperlink>
      <w:r w:rsidR="00F25365" w:rsidRPr="00BF7587">
        <w:rPr>
          <w:sz w:val="18"/>
          <w:szCs w:val="18"/>
        </w:rPr>
        <w:t xml:space="preserve"> for further</w:t>
      </w:r>
      <w:r w:rsidR="00F25365" w:rsidRPr="00F25365">
        <w:rPr>
          <w:sz w:val="18"/>
          <w:szCs w:val="18"/>
        </w:rPr>
        <w:t xml:space="preserve"> details)</w:t>
      </w:r>
      <w:r w:rsidR="00CD7E37" w:rsidRPr="00F25365">
        <w:rPr>
          <w:sz w:val="18"/>
          <w:szCs w:val="18"/>
        </w:rPr>
        <w:t>.</w:t>
      </w:r>
      <w:r w:rsidR="00227AD3">
        <w:rPr>
          <w:sz w:val="18"/>
          <w:szCs w:val="18"/>
        </w:rPr>
        <w:t xml:space="preserve"> </w:t>
      </w:r>
      <w:r w:rsidR="004902FA">
        <w:rPr>
          <w:sz w:val="18"/>
          <w:szCs w:val="18"/>
        </w:rPr>
        <w:t>When administering 13vPCV for people who have previously received 23vPPV</w:t>
      </w:r>
      <w:r w:rsidR="00765E98">
        <w:rPr>
          <w:sz w:val="18"/>
          <w:szCs w:val="18"/>
        </w:rPr>
        <w:t>,</w:t>
      </w:r>
      <w:r w:rsidR="004902FA">
        <w:rPr>
          <w:sz w:val="18"/>
          <w:szCs w:val="18"/>
        </w:rPr>
        <w:t xml:space="preserve"> the interval should be a minimum of 12 months.</w:t>
      </w:r>
    </w:p>
    <w:p w14:paraId="35DD163B" w14:textId="007C1476" w:rsidR="00227AD3" w:rsidRPr="00342B31" w:rsidRDefault="00F65D3A" w:rsidP="00227AD3">
      <w:pPr>
        <w:pStyle w:val="BulletedList"/>
        <w:numPr>
          <w:ilvl w:val="1"/>
          <w:numId w:val="4"/>
        </w:numPr>
        <w:rPr>
          <w:sz w:val="18"/>
          <w:szCs w:val="18"/>
        </w:rPr>
      </w:pPr>
      <w:r>
        <w:rPr>
          <w:i/>
          <w:sz w:val="18"/>
          <w:szCs w:val="18"/>
          <w:lang w:val="en-AU"/>
        </w:rPr>
        <w:t xml:space="preserve">Immunogenicity data supports </w:t>
      </w:r>
      <w:r w:rsidR="00C22D05">
        <w:rPr>
          <w:i/>
          <w:sz w:val="18"/>
          <w:szCs w:val="18"/>
          <w:lang w:val="en-AU"/>
        </w:rPr>
        <w:t xml:space="preserve">the use of </w:t>
      </w:r>
      <w:r>
        <w:rPr>
          <w:i/>
          <w:sz w:val="18"/>
          <w:szCs w:val="18"/>
          <w:lang w:val="en-AU"/>
        </w:rPr>
        <w:t xml:space="preserve">one repeat dose of 23vPPV </w:t>
      </w:r>
      <w:r w:rsidR="00C22D05">
        <w:rPr>
          <w:i/>
          <w:sz w:val="18"/>
          <w:szCs w:val="18"/>
          <w:lang w:val="en-AU"/>
        </w:rPr>
        <w:t xml:space="preserve">approximately </w:t>
      </w:r>
      <w:r>
        <w:rPr>
          <w:i/>
          <w:sz w:val="18"/>
          <w:szCs w:val="18"/>
          <w:lang w:val="en-AU"/>
        </w:rPr>
        <w:t xml:space="preserve">5 years </w:t>
      </w:r>
      <w:r w:rsidR="00C22D05">
        <w:rPr>
          <w:i/>
          <w:sz w:val="18"/>
          <w:szCs w:val="18"/>
          <w:lang w:val="en-AU"/>
        </w:rPr>
        <w:t xml:space="preserve">after the first 23vPPV doses, </w:t>
      </w:r>
      <w:r>
        <w:rPr>
          <w:i/>
          <w:sz w:val="18"/>
          <w:szCs w:val="18"/>
          <w:lang w:val="en-AU"/>
        </w:rPr>
        <w:t xml:space="preserve">but more doses of </w:t>
      </w:r>
      <w:r w:rsidR="00995951">
        <w:rPr>
          <w:i/>
          <w:sz w:val="18"/>
          <w:szCs w:val="18"/>
          <w:lang w:val="en-AU"/>
        </w:rPr>
        <w:t>23vPPV beyond</w:t>
      </w:r>
      <w:r w:rsidR="00C14AA9">
        <w:rPr>
          <w:i/>
          <w:sz w:val="18"/>
          <w:szCs w:val="18"/>
          <w:lang w:val="en-AU"/>
        </w:rPr>
        <w:t xml:space="preserve"> </w:t>
      </w:r>
      <w:r>
        <w:rPr>
          <w:i/>
          <w:sz w:val="18"/>
          <w:szCs w:val="18"/>
          <w:lang w:val="en-AU"/>
        </w:rPr>
        <w:t xml:space="preserve">that </w:t>
      </w:r>
      <w:r w:rsidR="00C22D05">
        <w:rPr>
          <w:i/>
          <w:sz w:val="18"/>
          <w:szCs w:val="18"/>
          <w:lang w:val="en-AU"/>
        </w:rPr>
        <w:t xml:space="preserve">have </w:t>
      </w:r>
      <w:r w:rsidR="00C14AA9">
        <w:rPr>
          <w:i/>
          <w:sz w:val="18"/>
          <w:szCs w:val="18"/>
          <w:lang w:val="en-AU"/>
        </w:rPr>
        <w:t xml:space="preserve">not </w:t>
      </w:r>
      <w:r w:rsidR="00C22D05">
        <w:rPr>
          <w:i/>
          <w:sz w:val="18"/>
          <w:szCs w:val="18"/>
          <w:lang w:val="en-AU"/>
        </w:rPr>
        <w:t xml:space="preserve">been </w:t>
      </w:r>
      <w:r w:rsidR="00C14AA9">
        <w:rPr>
          <w:i/>
          <w:sz w:val="18"/>
          <w:szCs w:val="18"/>
          <w:lang w:val="en-AU"/>
        </w:rPr>
        <w:t xml:space="preserve">shown </w:t>
      </w:r>
      <w:r w:rsidR="00134E71">
        <w:rPr>
          <w:i/>
          <w:sz w:val="18"/>
          <w:szCs w:val="18"/>
          <w:lang w:val="en-AU"/>
        </w:rPr>
        <w:t xml:space="preserve">to </w:t>
      </w:r>
      <w:r>
        <w:rPr>
          <w:i/>
          <w:sz w:val="18"/>
          <w:szCs w:val="18"/>
          <w:lang w:val="en-AU"/>
        </w:rPr>
        <w:t xml:space="preserve">provide </w:t>
      </w:r>
      <w:r w:rsidR="00C22D05">
        <w:rPr>
          <w:i/>
          <w:sz w:val="18"/>
          <w:szCs w:val="18"/>
          <w:lang w:val="en-AU"/>
        </w:rPr>
        <w:t xml:space="preserve">significant </w:t>
      </w:r>
      <w:r>
        <w:rPr>
          <w:i/>
          <w:sz w:val="18"/>
          <w:szCs w:val="18"/>
          <w:lang w:val="en-AU"/>
        </w:rPr>
        <w:t>further</w:t>
      </w:r>
      <w:r w:rsidR="00C22D05">
        <w:rPr>
          <w:i/>
          <w:sz w:val="18"/>
          <w:szCs w:val="18"/>
          <w:lang w:val="en-AU"/>
        </w:rPr>
        <w:t xml:space="preserve"> </w:t>
      </w:r>
      <w:r>
        <w:rPr>
          <w:i/>
          <w:sz w:val="18"/>
          <w:szCs w:val="18"/>
          <w:lang w:val="en-AU"/>
        </w:rPr>
        <w:t xml:space="preserve">benefit. </w:t>
      </w:r>
      <w:r w:rsidR="00443A3C">
        <w:rPr>
          <w:i/>
          <w:sz w:val="18"/>
          <w:szCs w:val="18"/>
          <w:lang w:val="en-AU"/>
        </w:rPr>
        <w:t xml:space="preserve">Repeat doses of 23vPPV are </w:t>
      </w:r>
      <w:r w:rsidR="00FE7C90" w:rsidRPr="0024184A">
        <w:rPr>
          <w:i/>
          <w:sz w:val="18"/>
          <w:szCs w:val="18"/>
          <w:lang w:val="en-AU"/>
        </w:rPr>
        <w:t>associated with higher rates of adverse events, especially injection site reactions.</w:t>
      </w:r>
      <w:r w:rsidR="00C14AA9">
        <w:rPr>
          <w:i/>
          <w:sz w:val="18"/>
          <w:szCs w:val="18"/>
          <w:lang w:val="en-AU"/>
        </w:rPr>
        <w:t xml:space="preserve"> There is also</w:t>
      </w:r>
      <w:r w:rsidR="00F25365">
        <w:rPr>
          <w:i/>
          <w:sz w:val="18"/>
          <w:szCs w:val="18"/>
          <w:lang w:val="en-AU"/>
        </w:rPr>
        <w:t xml:space="preserve"> a possibility</w:t>
      </w:r>
      <w:r w:rsidR="00C14AA9">
        <w:rPr>
          <w:i/>
          <w:sz w:val="18"/>
          <w:szCs w:val="18"/>
          <w:lang w:val="en-AU"/>
        </w:rPr>
        <w:t xml:space="preserve"> that</w:t>
      </w:r>
      <w:r w:rsidR="00FE7C90" w:rsidRPr="0024184A">
        <w:rPr>
          <w:i/>
          <w:sz w:val="18"/>
          <w:szCs w:val="18"/>
          <w:lang w:val="en-AU"/>
        </w:rPr>
        <w:t xml:space="preserve"> additional doses of 23vPPV</w:t>
      </w:r>
      <w:r w:rsidR="00134E71">
        <w:rPr>
          <w:i/>
          <w:sz w:val="18"/>
          <w:szCs w:val="18"/>
          <w:lang w:val="en-AU"/>
        </w:rPr>
        <w:t xml:space="preserve"> beyond 2 doses</w:t>
      </w:r>
      <w:r w:rsidR="00FE7C90" w:rsidRPr="0024184A">
        <w:rPr>
          <w:i/>
          <w:sz w:val="18"/>
          <w:szCs w:val="18"/>
          <w:lang w:val="en-AU"/>
        </w:rPr>
        <w:t xml:space="preserve"> may lea</w:t>
      </w:r>
      <w:r w:rsidR="00F25365">
        <w:rPr>
          <w:i/>
          <w:sz w:val="18"/>
          <w:szCs w:val="18"/>
          <w:lang w:val="en-AU"/>
        </w:rPr>
        <w:t xml:space="preserve">d to immune </w:t>
      </w:r>
      <w:proofErr w:type="spellStart"/>
      <w:r w:rsidR="00F25365">
        <w:rPr>
          <w:i/>
          <w:sz w:val="18"/>
          <w:szCs w:val="18"/>
          <w:lang w:val="en-AU"/>
        </w:rPr>
        <w:t>hyporesponsiveness</w:t>
      </w:r>
      <w:proofErr w:type="spellEnd"/>
      <w:r w:rsidR="00F25365">
        <w:rPr>
          <w:i/>
          <w:sz w:val="18"/>
          <w:szCs w:val="18"/>
          <w:lang w:val="en-AU"/>
        </w:rPr>
        <w:t>.</w:t>
      </w:r>
    </w:p>
    <w:p w14:paraId="20621A86" w14:textId="77777777" w:rsidR="00E26508" w:rsidRPr="003017B5" w:rsidRDefault="00E26508" w:rsidP="00420FEC">
      <w:pPr>
        <w:pStyle w:val="Heading3"/>
        <w:spacing w:after="40"/>
        <w:rPr>
          <w:b/>
          <w:sz w:val="20"/>
          <w:szCs w:val="18"/>
        </w:rPr>
      </w:pPr>
      <w:r w:rsidRPr="003017B5">
        <w:rPr>
          <w:b/>
          <w:sz w:val="20"/>
          <w:szCs w:val="18"/>
        </w:rPr>
        <w:t>Aboriginal and Torres Strait Islander people</w:t>
      </w:r>
    </w:p>
    <w:p w14:paraId="6EA03881" w14:textId="782D2C20" w:rsidR="001457C3" w:rsidRPr="00EF00D3" w:rsidRDefault="001457C3" w:rsidP="00BF7587">
      <w:pPr>
        <w:pStyle w:val="BulletedList"/>
        <w:ind w:left="426" w:hanging="426"/>
        <w:rPr>
          <w:sz w:val="18"/>
          <w:szCs w:val="18"/>
        </w:rPr>
      </w:pPr>
      <w:r w:rsidRPr="003017B5">
        <w:rPr>
          <w:sz w:val="18"/>
          <w:szCs w:val="18"/>
        </w:rPr>
        <w:t xml:space="preserve">Aboriginal and Torres Strait Islander children in </w:t>
      </w:r>
      <w:r w:rsidRPr="00BF7587">
        <w:rPr>
          <w:sz w:val="18"/>
          <w:szCs w:val="18"/>
        </w:rPr>
        <w:t xml:space="preserve">the NT, </w:t>
      </w:r>
      <w:proofErr w:type="spellStart"/>
      <w:r w:rsidRPr="00BF7587">
        <w:rPr>
          <w:sz w:val="18"/>
          <w:szCs w:val="18"/>
        </w:rPr>
        <w:t>Qld</w:t>
      </w:r>
      <w:proofErr w:type="spellEnd"/>
      <w:r w:rsidRPr="00BF7587">
        <w:rPr>
          <w:sz w:val="18"/>
          <w:szCs w:val="18"/>
        </w:rPr>
        <w:t xml:space="preserve">, SA or WA are </w:t>
      </w:r>
      <w:r w:rsidRPr="003017B5">
        <w:rPr>
          <w:sz w:val="18"/>
          <w:szCs w:val="18"/>
        </w:rPr>
        <w:t xml:space="preserve">already recommended to </w:t>
      </w:r>
      <w:r w:rsidR="00BC6CCD" w:rsidRPr="003017B5">
        <w:rPr>
          <w:sz w:val="18"/>
          <w:szCs w:val="18"/>
        </w:rPr>
        <w:t>receive an</w:t>
      </w:r>
      <w:r w:rsidR="00BC6CCD">
        <w:rPr>
          <w:sz w:val="18"/>
          <w:szCs w:val="18"/>
        </w:rPr>
        <w:t xml:space="preserve"> extra dose of 13vPCV </w:t>
      </w:r>
      <w:r w:rsidR="00617DC8">
        <w:rPr>
          <w:sz w:val="18"/>
          <w:szCs w:val="18"/>
        </w:rPr>
        <w:t>(</w:t>
      </w:r>
      <w:r w:rsidR="00CB6B9B">
        <w:rPr>
          <w:sz w:val="18"/>
          <w:szCs w:val="18"/>
        </w:rPr>
        <w:t>i.e.</w:t>
      </w:r>
      <w:r w:rsidR="00617DC8">
        <w:rPr>
          <w:sz w:val="18"/>
          <w:szCs w:val="18"/>
        </w:rPr>
        <w:t xml:space="preserve"> </w:t>
      </w:r>
      <w:r w:rsidR="00CD7E37">
        <w:rPr>
          <w:sz w:val="18"/>
          <w:szCs w:val="18"/>
        </w:rPr>
        <w:t>3</w:t>
      </w:r>
      <w:r w:rsidR="00617DC8">
        <w:rPr>
          <w:sz w:val="18"/>
          <w:szCs w:val="18"/>
        </w:rPr>
        <w:t xml:space="preserve"> primary doses </w:t>
      </w:r>
      <w:r w:rsidR="00FE3A7C">
        <w:rPr>
          <w:sz w:val="18"/>
          <w:szCs w:val="18"/>
        </w:rPr>
        <w:t xml:space="preserve">in infancy </w:t>
      </w:r>
      <w:r w:rsidR="00617DC8">
        <w:rPr>
          <w:sz w:val="18"/>
          <w:szCs w:val="18"/>
        </w:rPr>
        <w:t xml:space="preserve">followed by a booster dose of 13vPCV </w:t>
      </w:r>
      <w:r w:rsidR="00FE3A7C">
        <w:rPr>
          <w:sz w:val="18"/>
          <w:szCs w:val="18"/>
        </w:rPr>
        <w:t xml:space="preserve">at </w:t>
      </w:r>
      <w:r w:rsidR="0055198C">
        <w:rPr>
          <w:sz w:val="18"/>
          <w:szCs w:val="18"/>
        </w:rPr>
        <w:t xml:space="preserve">12 months of </w:t>
      </w:r>
      <w:r w:rsidR="00FE3A7C">
        <w:rPr>
          <w:sz w:val="18"/>
          <w:szCs w:val="18"/>
        </w:rPr>
        <w:t xml:space="preserve">age  </w:t>
      </w:r>
      <w:r w:rsidR="00617DC8">
        <w:rPr>
          <w:sz w:val="18"/>
          <w:szCs w:val="18"/>
        </w:rPr>
        <w:t>[3+1 schedule])</w:t>
      </w:r>
      <w:r w:rsidR="00CD7E37">
        <w:rPr>
          <w:sz w:val="18"/>
          <w:szCs w:val="18"/>
        </w:rPr>
        <w:t>.</w:t>
      </w:r>
      <w:r w:rsidRPr="00E661A1">
        <w:rPr>
          <w:sz w:val="18"/>
          <w:szCs w:val="18"/>
        </w:rPr>
        <w:t xml:space="preserve"> They</w:t>
      </w:r>
      <w:r w:rsidR="00617DC8">
        <w:rPr>
          <w:sz w:val="18"/>
          <w:szCs w:val="18"/>
        </w:rPr>
        <w:t xml:space="preserve"> are now recommended to </w:t>
      </w:r>
      <w:r w:rsidRPr="00E661A1">
        <w:rPr>
          <w:sz w:val="18"/>
          <w:szCs w:val="18"/>
        </w:rPr>
        <w:t>also receive 2 doses of 23vPPV</w:t>
      </w:r>
      <w:r w:rsidR="00765E98">
        <w:rPr>
          <w:sz w:val="18"/>
          <w:szCs w:val="18"/>
        </w:rPr>
        <w:t>,</w:t>
      </w:r>
      <w:r w:rsidR="00617DC8">
        <w:rPr>
          <w:sz w:val="18"/>
          <w:szCs w:val="18"/>
        </w:rPr>
        <w:t xml:space="preserve"> first at 4years of age</w:t>
      </w:r>
      <w:r w:rsidR="00765E98">
        <w:rPr>
          <w:sz w:val="18"/>
          <w:szCs w:val="18"/>
        </w:rPr>
        <w:t>,</w:t>
      </w:r>
      <w:r w:rsidR="00617DC8">
        <w:rPr>
          <w:sz w:val="18"/>
          <w:szCs w:val="18"/>
        </w:rPr>
        <w:t xml:space="preserve"> followed by the second dose </w:t>
      </w:r>
      <w:r w:rsidR="008F7124">
        <w:rPr>
          <w:sz w:val="18"/>
          <w:szCs w:val="18"/>
        </w:rPr>
        <w:t xml:space="preserve">at least </w:t>
      </w:r>
      <w:r w:rsidR="00617DC8">
        <w:rPr>
          <w:sz w:val="18"/>
          <w:szCs w:val="18"/>
        </w:rPr>
        <w:t>5</w:t>
      </w:r>
      <w:r w:rsidR="008F7124">
        <w:rPr>
          <w:sz w:val="18"/>
          <w:szCs w:val="18"/>
        </w:rPr>
        <w:t xml:space="preserve"> </w:t>
      </w:r>
      <w:r w:rsidR="00617DC8">
        <w:rPr>
          <w:sz w:val="18"/>
          <w:szCs w:val="18"/>
        </w:rPr>
        <w:t xml:space="preserve">years later </w:t>
      </w:r>
    </w:p>
    <w:p w14:paraId="13A4A50D" w14:textId="7802C055" w:rsidR="001457C3" w:rsidRPr="00001A5F" w:rsidRDefault="001457C3" w:rsidP="001457C3">
      <w:pPr>
        <w:pStyle w:val="BulletedList"/>
        <w:numPr>
          <w:ilvl w:val="1"/>
          <w:numId w:val="4"/>
        </w:numPr>
        <w:rPr>
          <w:i/>
          <w:sz w:val="18"/>
          <w:szCs w:val="18"/>
        </w:rPr>
      </w:pPr>
      <w:r w:rsidRPr="00001A5F">
        <w:rPr>
          <w:i/>
          <w:sz w:val="18"/>
          <w:szCs w:val="18"/>
          <w:lang w:val="en-AU"/>
        </w:rPr>
        <w:t>Evidence shows that</w:t>
      </w:r>
      <w:r w:rsidRPr="0033079A">
        <w:rPr>
          <w:i/>
          <w:sz w:val="18"/>
          <w:szCs w:val="18"/>
          <w:lang w:val="en-AU"/>
        </w:rPr>
        <w:t xml:space="preserve"> </w:t>
      </w:r>
      <w:r>
        <w:rPr>
          <w:i/>
          <w:sz w:val="18"/>
          <w:szCs w:val="18"/>
          <w:lang w:val="en-AU"/>
        </w:rPr>
        <w:t xml:space="preserve">a </w:t>
      </w:r>
      <w:r w:rsidR="00CD7E37">
        <w:rPr>
          <w:i/>
          <w:sz w:val="18"/>
          <w:szCs w:val="18"/>
          <w:lang w:val="en-AU"/>
        </w:rPr>
        <w:t>large</w:t>
      </w:r>
      <w:r w:rsidRPr="0033079A">
        <w:rPr>
          <w:i/>
          <w:sz w:val="18"/>
          <w:szCs w:val="18"/>
          <w:lang w:val="en-AU"/>
        </w:rPr>
        <w:t xml:space="preserve"> proportion of IPD in Aboriginal and Torres Strait Islander children living in the NT, Qld, SA or WA is caused by serotypes</w:t>
      </w:r>
      <w:r w:rsidR="00FE3A7C">
        <w:rPr>
          <w:i/>
          <w:sz w:val="18"/>
          <w:szCs w:val="18"/>
          <w:lang w:val="en-AU"/>
        </w:rPr>
        <w:t xml:space="preserve"> that are included in the 23vPPV but not in the 13vPCV</w:t>
      </w:r>
      <w:r w:rsidR="00617DC8">
        <w:rPr>
          <w:i/>
          <w:sz w:val="18"/>
          <w:szCs w:val="18"/>
          <w:lang w:val="en-AU"/>
        </w:rPr>
        <w:t xml:space="preserve">. </w:t>
      </w:r>
      <w:r w:rsidR="00BF480D">
        <w:rPr>
          <w:i/>
          <w:sz w:val="18"/>
          <w:szCs w:val="18"/>
          <w:lang w:val="en-AU"/>
        </w:rPr>
        <w:t>Therefore a</w:t>
      </w:r>
      <w:r w:rsidRPr="0033079A">
        <w:rPr>
          <w:i/>
          <w:sz w:val="18"/>
          <w:szCs w:val="18"/>
          <w:lang w:val="en-AU"/>
        </w:rPr>
        <w:t xml:space="preserve"> schedule that includes both 13vPCV and 23vPPV will maximise protection for these children. </w:t>
      </w:r>
    </w:p>
    <w:p w14:paraId="2E5CA4B0" w14:textId="6987ECBB" w:rsidR="00EF00D3" w:rsidRPr="00BF7587" w:rsidRDefault="00443A3C" w:rsidP="00BF7587">
      <w:pPr>
        <w:pStyle w:val="BulletedList"/>
        <w:ind w:left="426" w:hanging="426"/>
        <w:rPr>
          <w:sz w:val="18"/>
          <w:szCs w:val="18"/>
        </w:rPr>
      </w:pPr>
      <w:r w:rsidRPr="00BF7587">
        <w:rPr>
          <w:sz w:val="18"/>
          <w:szCs w:val="18"/>
        </w:rPr>
        <w:t xml:space="preserve">The recommendation of pneumococcal vaccines for </w:t>
      </w:r>
      <w:r w:rsidR="00CB6B9B" w:rsidRPr="00BF7587">
        <w:rPr>
          <w:sz w:val="18"/>
          <w:szCs w:val="18"/>
        </w:rPr>
        <w:t>all Aboriginal</w:t>
      </w:r>
      <w:r w:rsidR="00F6779B" w:rsidRPr="00BF7587">
        <w:rPr>
          <w:sz w:val="18"/>
          <w:szCs w:val="18"/>
        </w:rPr>
        <w:t xml:space="preserve"> and Torres Strait Islander adults </w:t>
      </w:r>
      <w:r w:rsidRPr="00BF7587">
        <w:rPr>
          <w:sz w:val="18"/>
          <w:szCs w:val="18"/>
        </w:rPr>
        <w:t xml:space="preserve">from age 50 </w:t>
      </w:r>
      <w:r w:rsidR="00F6779B" w:rsidRPr="00BF7587">
        <w:rPr>
          <w:sz w:val="18"/>
          <w:szCs w:val="18"/>
        </w:rPr>
        <w:t>will continue</w:t>
      </w:r>
      <w:r w:rsidRPr="00BF7587">
        <w:rPr>
          <w:sz w:val="18"/>
          <w:szCs w:val="18"/>
        </w:rPr>
        <w:t>.</w:t>
      </w:r>
      <w:r w:rsidR="000E1A53" w:rsidRPr="00BF7587">
        <w:rPr>
          <w:sz w:val="18"/>
          <w:szCs w:val="18"/>
        </w:rPr>
        <w:t xml:space="preserve"> </w:t>
      </w:r>
      <w:r w:rsidR="002F0C8F" w:rsidRPr="00BF7587">
        <w:rPr>
          <w:sz w:val="18"/>
          <w:szCs w:val="18"/>
        </w:rPr>
        <w:t>It</w:t>
      </w:r>
      <w:r w:rsidR="002240A0" w:rsidRPr="00BF7587">
        <w:rPr>
          <w:sz w:val="18"/>
          <w:szCs w:val="18"/>
        </w:rPr>
        <w:t xml:space="preserve"> is </w:t>
      </w:r>
      <w:r w:rsidR="002F0C8F" w:rsidRPr="00BF7587">
        <w:rPr>
          <w:sz w:val="18"/>
          <w:szCs w:val="18"/>
        </w:rPr>
        <w:t xml:space="preserve">now </w:t>
      </w:r>
      <w:r w:rsidRPr="00BF7587">
        <w:rPr>
          <w:sz w:val="18"/>
          <w:szCs w:val="18"/>
        </w:rPr>
        <w:t>recommend</w:t>
      </w:r>
      <w:r w:rsidR="00653F30" w:rsidRPr="00BF7587">
        <w:rPr>
          <w:sz w:val="18"/>
          <w:szCs w:val="18"/>
        </w:rPr>
        <w:t>ed</w:t>
      </w:r>
      <w:r w:rsidRPr="00BF7587">
        <w:rPr>
          <w:sz w:val="18"/>
          <w:szCs w:val="18"/>
        </w:rPr>
        <w:t xml:space="preserve"> </w:t>
      </w:r>
      <w:r w:rsidR="002240A0" w:rsidRPr="00BF7587">
        <w:rPr>
          <w:sz w:val="18"/>
          <w:szCs w:val="18"/>
        </w:rPr>
        <w:t xml:space="preserve">that </w:t>
      </w:r>
      <w:r w:rsidR="00BF480D">
        <w:rPr>
          <w:sz w:val="18"/>
          <w:szCs w:val="18"/>
        </w:rPr>
        <w:t xml:space="preserve">they receive </w:t>
      </w:r>
      <w:r w:rsidR="002240A0" w:rsidRPr="00BF7587">
        <w:rPr>
          <w:sz w:val="18"/>
          <w:szCs w:val="18"/>
        </w:rPr>
        <w:t>a single dose of</w:t>
      </w:r>
      <w:r w:rsidRPr="00BF7587">
        <w:rPr>
          <w:sz w:val="18"/>
          <w:szCs w:val="18"/>
        </w:rPr>
        <w:t xml:space="preserve"> </w:t>
      </w:r>
      <w:r w:rsidR="00CB6B9B" w:rsidRPr="00BF7587">
        <w:rPr>
          <w:sz w:val="18"/>
          <w:szCs w:val="18"/>
        </w:rPr>
        <w:t>13vPCV followed</w:t>
      </w:r>
      <w:r w:rsidR="00BC02AF" w:rsidRPr="00BF7587">
        <w:rPr>
          <w:sz w:val="18"/>
          <w:szCs w:val="18"/>
        </w:rPr>
        <w:t xml:space="preserve"> by</w:t>
      </w:r>
      <w:r w:rsidR="00F6779B" w:rsidRPr="00BF7587">
        <w:rPr>
          <w:sz w:val="18"/>
          <w:szCs w:val="18"/>
        </w:rPr>
        <w:t xml:space="preserve"> </w:t>
      </w:r>
      <w:r w:rsidR="002240A0" w:rsidRPr="00BF7587">
        <w:rPr>
          <w:sz w:val="18"/>
          <w:szCs w:val="18"/>
        </w:rPr>
        <w:t xml:space="preserve">two doses of </w:t>
      </w:r>
      <w:r w:rsidR="00F6779B" w:rsidRPr="00BF7587">
        <w:rPr>
          <w:sz w:val="18"/>
          <w:szCs w:val="18"/>
        </w:rPr>
        <w:t>23vPPV</w:t>
      </w:r>
      <w:r w:rsidR="002240A0" w:rsidRPr="00BF7587">
        <w:rPr>
          <w:sz w:val="18"/>
          <w:szCs w:val="18"/>
        </w:rPr>
        <w:t xml:space="preserve"> (replacing the recommendation for</w:t>
      </w:r>
      <w:r w:rsidR="00FE3A7C" w:rsidRPr="00BF7587">
        <w:rPr>
          <w:sz w:val="18"/>
          <w:szCs w:val="18"/>
        </w:rPr>
        <w:t xml:space="preserve"> </w:t>
      </w:r>
      <w:r w:rsidR="00BC02AF" w:rsidRPr="00BF7587">
        <w:rPr>
          <w:sz w:val="18"/>
          <w:szCs w:val="18"/>
        </w:rPr>
        <w:t>23</w:t>
      </w:r>
      <w:r w:rsidR="00C056B2" w:rsidRPr="00BF7587">
        <w:rPr>
          <w:sz w:val="18"/>
          <w:szCs w:val="18"/>
        </w:rPr>
        <w:t>vPPV only</w:t>
      </w:r>
      <w:r w:rsidR="002240A0" w:rsidRPr="00BF7587">
        <w:rPr>
          <w:sz w:val="18"/>
          <w:szCs w:val="18"/>
        </w:rPr>
        <w:t>)</w:t>
      </w:r>
      <w:r w:rsidR="00C04199" w:rsidRPr="00BF7587">
        <w:rPr>
          <w:sz w:val="18"/>
          <w:szCs w:val="18"/>
        </w:rPr>
        <w:t xml:space="preserve">. </w:t>
      </w:r>
      <w:r w:rsidR="000E1A53" w:rsidRPr="00BF7587">
        <w:rPr>
          <w:sz w:val="18"/>
          <w:szCs w:val="18"/>
        </w:rPr>
        <w:t xml:space="preserve">All pneumococcal vaccine doses </w:t>
      </w:r>
      <w:r w:rsidR="00A862AE" w:rsidRPr="00BF7587">
        <w:rPr>
          <w:sz w:val="18"/>
          <w:szCs w:val="18"/>
        </w:rPr>
        <w:t>recommended</w:t>
      </w:r>
      <w:r w:rsidR="0096411F" w:rsidRPr="00BF7587">
        <w:rPr>
          <w:sz w:val="18"/>
          <w:szCs w:val="18"/>
        </w:rPr>
        <w:t xml:space="preserve"> specifically</w:t>
      </w:r>
      <w:r w:rsidR="00A862AE" w:rsidRPr="00BF7587">
        <w:rPr>
          <w:sz w:val="18"/>
          <w:szCs w:val="18"/>
        </w:rPr>
        <w:t xml:space="preserve"> </w:t>
      </w:r>
      <w:r w:rsidR="000E1A53" w:rsidRPr="00BF7587">
        <w:rPr>
          <w:sz w:val="18"/>
          <w:szCs w:val="18"/>
        </w:rPr>
        <w:t>for Aboriginal and Torres Strait Islander adults will be funded under the NIP.</w:t>
      </w:r>
    </w:p>
    <w:p w14:paraId="3326B9EC" w14:textId="656461A9" w:rsidR="001457C3" w:rsidRDefault="001C540A" w:rsidP="00BF480D">
      <w:pPr>
        <w:pStyle w:val="BulletedList"/>
        <w:numPr>
          <w:ilvl w:val="1"/>
          <w:numId w:val="4"/>
        </w:numPr>
        <w:rPr>
          <w:i/>
          <w:sz w:val="18"/>
          <w:szCs w:val="18"/>
          <w:lang w:val="en-AU"/>
        </w:rPr>
      </w:pPr>
      <w:r>
        <w:rPr>
          <w:i/>
          <w:sz w:val="18"/>
          <w:szCs w:val="18"/>
          <w:lang w:val="en-AU"/>
        </w:rPr>
        <w:t>C</w:t>
      </w:r>
      <w:r w:rsidR="00E45CB1" w:rsidRPr="00001A5F">
        <w:rPr>
          <w:i/>
          <w:sz w:val="18"/>
          <w:szCs w:val="18"/>
          <w:lang w:val="en-AU"/>
        </w:rPr>
        <w:t>ompared with non-Indigenous adults, in Aboriginal and Torres Strait Islander adults</w:t>
      </w:r>
      <w:r w:rsidR="00420FEC" w:rsidRPr="00001A5F">
        <w:rPr>
          <w:i/>
          <w:sz w:val="18"/>
          <w:szCs w:val="18"/>
          <w:lang w:val="en-AU"/>
        </w:rPr>
        <w:t xml:space="preserve"> </w:t>
      </w:r>
      <w:r w:rsidR="00E45CB1" w:rsidRPr="00001A5F">
        <w:rPr>
          <w:i/>
          <w:sz w:val="18"/>
          <w:szCs w:val="18"/>
          <w:lang w:val="en-AU"/>
        </w:rPr>
        <w:t>IPD incidence star</w:t>
      </w:r>
      <w:r w:rsidR="00F6779B" w:rsidRPr="00001A5F">
        <w:rPr>
          <w:i/>
          <w:sz w:val="18"/>
          <w:szCs w:val="18"/>
          <w:lang w:val="en-AU"/>
        </w:rPr>
        <w:t>ts to increase at a younger age</w:t>
      </w:r>
      <w:r w:rsidR="00653F30">
        <w:rPr>
          <w:i/>
          <w:sz w:val="18"/>
          <w:szCs w:val="18"/>
          <w:lang w:val="en-AU"/>
        </w:rPr>
        <w:t xml:space="preserve"> and reaches a </w:t>
      </w:r>
      <w:r w:rsidR="004A788C">
        <w:rPr>
          <w:i/>
          <w:sz w:val="18"/>
          <w:szCs w:val="18"/>
          <w:lang w:val="en-AU"/>
        </w:rPr>
        <w:t>13</w:t>
      </w:r>
      <w:r w:rsidR="00653F30">
        <w:rPr>
          <w:i/>
          <w:sz w:val="18"/>
          <w:szCs w:val="18"/>
          <w:lang w:val="en-AU"/>
        </w:rPr>
        <w:t>–fold higher rate than for</w:t>
      </w:r>
      <w:r w:rsidR="00653F30" w:rsidRPr="00653F30">
        <w:t xml:space="preserve"> </w:t>
      </w:r>
      <w:r w:rsidR="00653F30" w:rsidRPr="00653F30">
        <w:rPr>
          <w:i/>
          <w:sz w:val="18"/>
          <w:szCs w:val="18"/>
          <w:lang w:val="en-AU"/>
        </w:rPr>
        <w:t>non-Indigenous Australians</w:t>
      </w:r>
      <w:r w:rsidR="00653F30">
        <w:rPr>
          <w:i/>
          <w:sz w:val="18"/>
          <w:szCs w:val="18"/>
          <w:lang w:val="en-AU"/>
        </w:rPr>
        <w:t>.</w:t>
      </w:r>
      <w:r w:rsidR="001457C3">
        <w:rPr>
          <w:i/>
          <w:sz w:val="18"/>
          <w:szCs w:val="18"/>
          <w:lang w:val="en-AU"/>
        </w:rPr>
        <w:t xml:space="preserve"> </w:t>
      </w:r>
      <w:r w:rsidR="00CA3737">
        <w:rPr>
          <w:i/>
          <w:sz w:val="18"/>
          <w:szCs w:val="18"/>
          <w:lang w:val="en-AU"/>
        </w:rPr>
        <w:t>T</w:t>
      </w:r>
      <w:r w:rsidR="00E45CB1" w:rsidRPr="00001A5F">
        <w:rPr>
          <w:i/>
          <w:sz w:val="18"/>
          <w:szCs w:val="18"/>
          <w:lang w:val="en-AU"/>
        </w:rPr>
        <w:t>he pre</w:t>
      </w:r>
      <w:r w:rsidR="00653F30">
        <w:rPr>
          <w:i/>
          <w:sz w:val="18"/>
          <w:szCs w:val="18"/>
          <w:lang w:val="en-AU"/>
        </w:rPr>
        <w:t>sence</w:t>
      </w:r>
      <w:r w:rsidR="00E45CB1" w:rsidRPr="00001A5F">
        <w:rPr>
          <w:i/>
          <w:sz w:val="18"/>
          <w:szCs w:val="18"/>
          <w:lang w:val="en-AU"/>
        </w:rPr>
        <w:t xml:space="preserve"> of risk conditions for pneumococcal dis</w:t>
      </w:r>
      <w:r w:rsidR="00F6779B" w:rsidRPr="00001A5F">
        <w:rPr>
          <w:i/>
          <w:sz w:val="18"/>
          <w:szCs w:val="18"/>
          <w:lang w:val="en-AU"/>
        </w:rPr>
        <w:t xml:space="preserve">ease is </w:t>
      </w:r>
      <w:r w:rsidR="00CA3737">
        <w:rPr>
          <w:i/>
          <w:sz w:val="18"/>
          <w:szCs w:val="18"/>
          <w:lang w:val="en-AU"/>
        </w:rPr>
        <w:t xml:space="preserve">also </w:t>
      </w:r>
      <w:r w:rsidR="00F6779B" w:rsidRPr="00001A5F">
        <w:rPr>
          <w:i/>
          <w:sz w:val="18"/>
          <w:szCs w:val="18"/>
          <w:lang w:val="en-AU"/>
        </w:rPr>
        <w:t>higher at younger ages</w:t>
      </w:r>
      <w:r w:rsidR="00BF480D">
        <w:rPr>
          <w:i/>
          <w:sz w:val="18"/>
          <w:szCs w:val="18"/>
          <w:lang w:val="en-AU"/>
        </w:rPr>
        <w:t xml:space="preserve"> in </w:t>
      </w:r>
      <w:r w:rsidR="00BF480D" w:rsidRPr="00BF480D">
        <w:rPr>
          <w:i/>
          <w:sz w:val="18"/>
          <w:szCs w:val="18"/>
          <w:lang w:val="en-AU"/>
        </w:rPr>
        <w:t>Aboriginal and Torres Strait Islander adults</w:t>
      </w:r>
      <w:r w:rsidR="00183691">
        <w:rPr>
          <w:i/>
          <w:sz w:val="18"/>
          <w:szCs w:val="18"/>
          <w:lang w:val="en-AU"/>
        </w:rPr>
        <w:t>.</w:t>
      </w:r>
      <w:r w:rsidR="001457C3">
        <w:rPr>
          <w:i/>
          <w:sz w:val="18"/>
          <w:szCs w:val="18"/>
          <w:lang w:val="en-AU"/>
        </w:rPr>
        <w:t xml:space="preserve"> </w:t>
      </w:r>
      <w:r w:rsidR="00183691">
        <w:rPr>
          <w:i/>
          <w:sz w:val="18"/>
          <w:szCs w:val="18"/>
          <w:lang w:val="en-AU"/>
        </w:rPr>
        <w:t>T</w:t>
      </w:r>
      <w:r w:rsidR="001457C3">
        <w:rPr>
          <w:i/>
          <w:sz w:val="18"/>
          <w:szCs w:val="18"/>
          <w:lang w:val="en-AU"/>
        </w:rPr>
        <w:t>herefore</w:t>
      </w:r>
      <w:r w:rsidR="0096411F">
        <w:rPr>
          <w:i/>
          <w:sz w:val="18"/>
          <w:szCs w:val="18"/>
          <w:lang w:val="en-AU"/>
        </w:rPr>
        <w:t>,</w:t>
      </w:r>
      <w:r w:rsidR="001457C3">
        <w:rPr>
          <w:i/>
          <w:sz w:val="18"/>
          <w:szCs w:val="18"/>
          <w:lang w:val="en-AU"/>
        </w:rPr>
        <w:t xml:space="preserve"> </w:t>
      </w:r>
      <w:r w:rsidR="001457C3" w:rsidRPr="00001A5F">
        <w:rPr>
          <w:i/>
          <w:sz w:val="18"/>
          <w:szCs w:val="18"/>
          <w:lang w:val="en-AU"/>
        </w:rPr>
        <w:t xml:space="preserve">ATAGI </w:t>
      </w:r>
      <w:r w:rsidR="001457C3">
        <w:rPr>
          <w:i/>
          <w:sz w:val="18"/>
          <w:szCs w:val="18"/>
          <w:lang w:val="en-AU"/>
        </w:rPr>
        <w:t>recommends</w:t>
      </w:r>
      <w:r w:rsidR="001457C3" w:rsidRPr="00001A5F">
        <w:rPr>
          <w:i/>
          <w:sz w:val="18"/>
          <w:szCs w:val="18"/>
          <w:lang w:val="en-AU"/>
        </w:rPr>
        <w:t xml:space="preserve"> that all Aboriginal and Torres Strait Islander adults continue to receive pneumococcal vaccines </w:t>
      </w:r>
      <w:r w:rsidR="004A788C">
        <w:rPr>
          <w:b/>
          <w:i/>
          <w:sz w:val="18"/>
          <w:szCs w:val="18"/>
          <w:lang w:val="en-AU"/>
        </w:rPr>
        <w:t xml:space="preserve">from </w:t>
      </w:r>
      <w:r w:rsidR="001457C3" w:rsidRPr="004A788C">
        <w:rPr>
          <w:b/>
          <w:i/>
          <w:sz w:val="18"/>
          <w:szCs w:val="18"/>
          <w:lang w:val="en-AU"/>
        </w:rPr>
        <w:t>50</w:t>
      </w:r>
      <w:r w:rsidR="004A788C">
        <w:rPr>
          <w:b/>
          <w:i/>
          <w:sz w:val="18"/>
          <w:szCs w:val="18"/>
          <w:lang w:val="en-AU"/>
        </w:rPr>
        <w:t xml:space="preserve"> years of age</w:t>
      </w:r>
      <w:r w:rsidR="001457C3">
        <w:rPr>
          <w:i/>
          <w:sz w:val="18"/>
          <w:szCs w:val="18"/>
          <w:lang w:val="en-AU"/>
        </w:rPr>
        <w:t>.</w:t>
      </w:r>
    </w:p>
    <w:p w14:paraId="6FB75F3C" w14:textId="7DDC081D" w:rsidR="00F6779B" w:rsidRDefault="000C6E7E" w:rsidP="000841D3">
      <w:pPr>
        <w:pStyle w:val="BulletedList"/>
        <w:numPr>
          <w:ilvl w:val="1"/>
          <w:numId w:val="4"/>
        </w:numPr>
        <w:rPr>
          <w:i/>
          <w:sz w:val="18"/>
          <w:szCs w:val="18"/>
          <w:lang w:val="en-AU"/>
        </w:rPr>
      </w:pPr>
      <w:r>
        <w:rPr>
          <w:i/>
          <w:sz w:val="18"/>
          <w:szCs w:val="18"/>
          <w:lang w:val="en-AU"/>
        </w:rPr>
        <w:t>Although</w:t>
      </w:r>
      <w:r w:rsidR="001457C3">
        <w:rPr>
          <w:i/>
          <w:sz w:val="18"/>
          <w:szCs w:val="18"/>
          <w:lang w:val="en-AU"/>
        </w:rPr>
        <w:t xml:space="preserve"> PCV</w:t>
      </w:r>
      <w:r>
        <w:rPr>
          <w:i/>
          <w:sz w:val="18"/>
          <w:szCs w:val="18"/>
          <w:lang w:val="en-AU"/>
        </w:rPr>
        <w:t>s have been used in the population for more than a decade</w:t>
      </w:r>
      <w:r w:rsidR="00183691">
        <w:rPr>
          <w:i/>
          <w:sz w:val="18"/>
          <w:szCs w:val="18"/>
          <w:lang w:val="en-AU"/>
        </w:rPr>
        <w:t>,</w:t>
      </w:r>
      <w:r w:rsidR="001457C3">
        <w:rPr>
          <w:i/>
          <w:sz w:val="18"/>
          <w:szCs w:val="18"/>
          <w:lang w:val="en-AU"/>
        </w:rPr>
        <w:t xml:space="preserve"> t</w:t>
      </w:r>
      <w:r w:rsidR="001457C3" w:rsidRPr="003F4738">
        <w:rPr>
          <w:i/>
          <w:sz w:val="18"/>
          <w:szCs w:val="18"/>
          <w:lang w:val="en-AU"/>
        </w:rPr>
        <w:t>he incidence of IPD has continued to increase in Aboriginal and Torres Strait Islander adults</w:t>
      </w:r>
      <w:r w:rsidR="000D49BD">
        <w:rPr>
          <w:i/>
          <w:sz w:val="18"/>
          <w:szCs w:val="18"/>
          <w:lang w:val="en-AU"/>
        </w:rPr>
        <w:t>,</w:t>
      </w:r>
      <w:r w:rsidR="001457C3">
        <w:rPr>
          <w:i/>
          <w:sz w:val="18"/>
          <w:szCs w:val="18"/>
          <w:lang w:val="en-AU"/>
        </w:rPr>
        <w:t xml:space="preserve"> with the herd</w:t>
      </w:r>
      <w:r>
        <w:rPr>
          <w:i/>
          <w:sz w:val="18"/>
          <w:szCs w:val="18"/>
          <w:lang w:val="en-AU"/>
        </w:rPr>
        <w:t xml:space="preserve"> protection</w:t>
      </w:r>
      <w:r w:rsidR="001457C3">
        <w:rPr>
          <w:i/>
          <w:sz w:val="18"/>
          <w:szCs w:val="18"/>
          <w:lang w:val="en-AU"/>
        </w:rPr>
        <w:t xml:space="preserve"> impact </w:t>
      </w:r>
      <w:r>
        <w:rPr>
          <w:i/>
          <w:sz w:val="18"/>
          <w:szCs w:val="18"/>
          <w:lang w:val="en-AU"/>
        </w:rPr>
        <w:t xml:space="preserve">resulting </w:t>
      </w:r>
      <w:r w:rsidR="001457C3">
        <w:rPr>
          <w:i/>
          <w:sz w:val="18"/>
          <w:szCs w:val="18"/>
          <w:lang w:val="en-AU"/>
        </w:rPr>
        <w:t xml:space="preserve">from </w:t>
      </w:r>
      <w:r>
        <w:rPr>
          <w:i/>
          <w:sz w:val="18"/>
          <w:szCs w:val="18"/>
          <w:lang w:val="en-AU"/>
        </w:rPr>
        <w:t xml:space="preserve">the use of </w:t>
      </w:r>
      <w:r w:rsidR="001457C3">
        <w:rPr>
          <w:i/>
          <w:sz w:val="18"/>
          <w:szCs w:val="18"/>
          <w:lang w:val="en-AU"/>
        </w:rPr>
        <w:t xml:space="preserve">PCVs </w:t>
      </w:r>
      <w:r>
        <w:rPr>
          <w:i/>
          <w:sz w:val="18"/>
          <w:szCs w:val="18"/>
          <w:lang w:val="en-AU"/>
        </w:rPr>
        <w:t xml:space="preserve">in the population </w:t>
      </w:r>
      <w:r w:rsidR="001457C3">
        <w:rPr>
          <w:i/>
          <w:sz w:val="18"/>
          <w:szCs w:val="18"/>
          <w:lang w:val="en-AU"/>
        </w:rPr>
        <w:t xml:space="preserve">less than in non-Indigenous Australians. </w:t>
      </w:r>
      <w:r w:rsidR="0096411F">
        <w:rPr>
          <w:i/>
          <w:sz w:val="18"/>
          <w:szCs w:val="18"/>
          <w:lang w:val="en-AU"/>
        </w:rPr>
        <w:t xml:space="preserve">The new 13vPCV </w:t>
      </w:r>
      <w:r w:rsidR="00183691">
        <w:rPr>
          <w:i/>
          <w:sz w:val="18"/>
          <w:szCs w:val="18"/>
          <w:lang w:val="en-AU"/>
        </w:rPr>
        <w:t>r</w:t>
      </w:r>
      <w:r w:rsidR="001457C3">
        <w:rPr>
          <w:i/>
          <w:sz w:val="18"/>
          <w:szCs w:val="18"/>
          <w:lang w:val="en-AU"/>
        </w:rPr>
        <w:t xml:space="preserve">ecommendation is expected to reduce </w:t>
      </w:r>
      <w:r w:rsidR="00183691">
        <w:rPr>
          <w:i/>
          <w:sz w:val="18"/>
          <w:szCs w:val="18"/>
          <w:lang w:val="en-AU"/>
        </w:rPr>
        <w:t xml:space="preserve">the </w:t>
      </w:r>
      <w:r w:rsidR="001457C3">
        <w:rPr>
          <w:i/>
          <w:sz w:val="18"/>
          <w:szCs w:val="18"/>
          <w:lang w:val="en-AU"/>
        </w:rPr>
        <w:t xml:space="preserve">burden of IPD </w:t>
      </w:r>
      <w:r w:rsidR="00183691">
        <w:rPr>
          <w:i/>
          <w:sz w:val="18"/>
          <w:szCs w:val="18"/>
          <w:lang w:val="en-AU"/>
        </w:rPr>
        <w:t>and</w:t>
      </w:r>
      <w:r w:rsidR="001457C3">
        <w:rPr>
          <w:i/>
          <w:sz w:val="18"/>
          <w:szCs w:val="18"/>
          <w:lang w:val="en-AU"/>
        </w:rPr>
        <w:t xml:space="preserve"> community acquired pneumonia </w:t>
      </w:r>
      <w:r w:rsidR="000841D3">
        <w:rPr>
          <w:i/>
          <w:sz w:val="18"/>
          <w:szCs w:val="18"/>
          <w:lang w:val="en-AU"/>
        </w:rPr>
        <w:t xml:space="preserve">due to 13vPCV </w:t>
      </w:r>
      <w:r w:rsidR="00C24C93">
        <w:rPr>
          <w:i/>
          <w:sz w:val="18"/>
          <w:szCs w:val="18"/>
          <w:lang w:val="en-AU"/>
        </w:rPr>
        <w:t>sero</w:t>
      </w:r>
      <w:r w:rsidR="000841D3">
        <w:rPr>
          <w:i/>
          <w:sz w:val="18"/>
          <w:szCs w:val="18"/>
          <w:lang w:val="en-AU"/>
        </w:rPr>
        <w:t xml:space="preserve">types among </w:t>
      </w:r>
      <w:r w:rsidR="000841D3" w:rsidRPr="000841D3">
        <w:rPr>
          <w:i/>
          <w:sz w:val="18"/>
          <w:szCs w:val="18"/>
          <w:lang w:val="en-AU"/>
        </w:rPr>
        <w:t>Aboriginal and Torres Strait Islander adults</w:t>
      </w:r>
      <w:r w:rsidR="000841D3">
        <w:rPr>
          <w:i/>
          <w:sz w:val="18"/>
          <w:szCs w:val="18"/>
          <w:lang w:val="en-AU"/>
        </w:rPr>
        <w:t>.</w:t>
      </w:r>
      <w:r w:rsidR="009355A7" w:rsidRPr="00001A5F">
        <w:rPr>
          <w:i/>
          <w:sz w:val="18"/>
          <w:szCs w:val="18"/>
          <w:lang w:val="en-AU"/>
        </w:rPr>
        <w:t xml:space="preserve"> </w:t>
      </w:r>
    </w:p>
    <w:p w14:paraId="68CD6C18" w14:textId="228EB83A" w:rsidR="00FF7FCE" w:rsidRDefault="00C24C93" w:rsidP="00FF7FCE">
      <w:pPr>
        <w:pStyle w:val="BulletedList"/>
        <w:numPr>
          <w:ilvl w:val="1"/>
          <w:numId w:val="4"/>
        </w:numPr>
        <w:rPr>
          <w:i/>
          <w:sz w:val="18"/>
          <w:szCs w:val="18"/>
          <w:lang w:val="en-AU"/>
        </w:rPr>
      </w:pPr>
      <w:r>
        <w:rPr>
          <w:i/>
          <w:sz w:val="18"/>
          <w:szCs w:val="18"/>
          <w:lang w:val="en-AU"/>
        </w:rPr>
        <w:t xml:space="preserve"> A</w:t>
      </w:r>
      <w:r w:rsidR="00FF7FCE" w:rsidRPr="001C540A">
        <w:rPr>
          <w:i/>
          <w:sz w:val="18"/>
          <w:szCs w:val="18"/>
          <w:lang w:val="en-AU"/>
        </w:rPr>
        <w:t xml:space="preserve"> considerable proportion of IPD in Aboriginal and Torres Strait Islander </w:t>
      </w:r>
      <w:r w:rsidR="00BF480D">
        <w:rPr>
          <w:i/>
          <w:sz w:val="18"/>
          <w:szCs w:val="18"/>
          <w:lang w:val="en-AU"/>
        </w:rPr>
        <w:t xml:space="preserve"> adults</w:t>
      </w:r>
      <w:r w:rsidR="00FF7FCE" w:rsidRPr="001C540A">
        <w:rPr>
          <w:i/>
          <w:sz w:val="18"/>
          <w:szCs w:val="18"/>
          <w:lang w:val="en-AU"/>
        </w:rPr>
        <w:t xml:space="preserve"> is </w:t>
      </w:r>
      <w:r>
        <w:rPr>
          <w:i/>
          <w:sz w:val="18"/>
          <w:szCs w:val="18"/>
          <w:lang w:val="en-AU"/>
        </w:rPr>
        <w:t xml:space="preserve">still </w:t>
      </w:r>
      <w:r w:rsidR="00FF7FCE" w:rsidRPr="001C540A">
        <w:rPr>
          <w:i/>
          <w:sz w:val="18"/>
          <w:szCs w:val="18"/>
          <w:lang w:val="en-AU"/>
        </w:rPr>
        <w:t>c</w:t>
      </w:r>
      <w:r w:rsidR="00FF7FCE">
        <w:rPr>
          <w:i/>
          <w:sz w:val="18"/>
          <w:szCs w:val="18"/>
          <w:lang w:val="en-AU"/>
        </w:rPr>
        <w:t>aused by serotypes</w:t>
      </w:r>
      <w:r w:rsidR="000C6E7E">
        <w:rPr>
          <w:i/>
          <w:sz w:val="18"/>
          <w:szCs w:val="18"/>
          <w:lang w:val="en-AU"/>
        </w:rPr>
        <w:t xml:space="preserve"> that are included in the 23vPPV but not in the 13vPCV</w:t>
      </w:r>
      <w:r w:rsidR="00183691">
        <w:rPr>
          <w:i/>
          <w:sz w:val="18"/>
          <w:szCs w:val="18"/>
          <w:lang w:val="en-AU"/>
        </w:rPr>
        <w:t>,</w:t>
      </w:r>
      <w:r>
        <w:rPr>
          <w:i/>
          <w:sz w:val="18"/>
          <w:szCs w:val="18"/>
          <w:lang w:val="en-AU"/>
        </w:rPr>
        <w:t xml:space="preserve"> therefore </w:t>
      </w:r>
      <w:r w:rsidR="00C04199">
        <w:rPr>
          <w:i/>
          <w:sz w:val="18"/>
          <w:szCs w:val="18"/>
          <w:lang w:val="en-AU"/>
        </w:rPr>
        <w:t>two doses of</w:t>
      </w:r>
      <w:r>
        <w:rPr>
          <w:i/>
          <w:sz w:val="18"/>
          <w:szCs w:val="18"/>
          <w:lang w:val="en-AU"/>
        </w:rPr>
        <w:t xml:space="preserve"> 23vPPV following the dose of 13vPCV is considered </w:t>
      </w:r>
      <w:r w:rsidR="00183691">
        <w:rPr>
          <w:i/>
          <w:sz w:val="18"/>
          <w:szCs w:val="18"/>
          <w:lang w:val="en-AU"/>
        </w:rPr>
        <w:t>essential</w:t>
      </w:r>
      <w:r w:rsidR="00C04199">
        <w:rPr>
          <w:i/>
          <w:sz w:val="18"/>
          <w:szCs w:val="18"/>
          <w:lang w:val="en-AU"/>
        </w:rPr>
        <w:t xml:space="preserve"> to </w:t>
      </w:r>
      <w:r w:rsidR="000E1A53">
        <w:rPr>
          <w:i/>
          <w:sz w:val="18"/>
          <w:szCs w:val="18"/>
          <w:lang w:val="en-AU"/>
        </w:rPr>
        <w:t>offer</w:t>
      </w:r>
      <w:r w:rsidR="00C04199">
        <w:rPr>
          <w:i/>
          <w:sz w:val="18"/>
          <w:szCs w:val="18"/>
          <w:lang w:val="en-AU"/>
        </w:rPr>
        <w:t xml:space="preserve"> maximum protection</w:t>
      </w:r>
      <w:r>
        <w:rPr>
          <w:i/>
          <w:sz w:val="18"/>
          <w:szCs w:val="18"/>
          <w:lang w:val="en-AU"/>
        </w:rPr>
        <w:t>.</w:t>
      </w:r>
    </w:p>
    <w:p w14:paraId="2BB8B2C1" w14:textId="77777777" w:rsidR="00021FE0" w:rsidRPr="004641F5" w:rsidRDefault="00021FE0" w:rsidP="005E0544">
      <w:pPr>
        <w:pStyle w:val="BulletedList"/>
        <w:numPr>
          <w:ilvl w:val="0"/>
          <w:numId w:val="0"/>
        </w:numPr>
        <w:ind w:left="360"/>
        <w:rPr>
          <w:sz w:val="18"/>
          <w:szCs w:val="18"/>
          <w:lang w:val="en-AU"/>
        </w:rPr>
      </w:pPr>
    </w:p>
    <w:p w14:paraId="1E91A42B" w14:textId="77777777" w:rsidR="00B24744" w:rsidRDefault="00B24744" w:rsidP="002E1636">
      <w:pPr>
        <w:pStyle w:val="Heading3"/>
        <w:spacing w:after="40"/>
        <w:rPr>
          <w:sz w:val="18"/>
          <w:szCs w:val="18"/>
        </w:rPr>
      </w:pPr>
    </w:p>
    <w:p w14:paraId="67AE6E60" w14:textId="0F3B665A" w:rsidR="00C24C93" w:rsidRPr="00496B94" w:rsidRDefault="00BE0FB9" w:rsidP="002E1636">
      <w:pPr>
        <w:pStyle w:val="Heading3"/>
        <w:spacing w:after="40"/>
        <w:rPr>
          <w:b/>
          <w:sz w:val="20"/>
          <w:szCs w:val="20"/>
        </w:rPr>
      </w:pPr>
      <w:r w:rsidRPr="00496B94">
        <w:rPr>
          <w:b/>
          <w:sz w:val="20"/>
          <w:szCs w:val="20"/>
        </w:rPr>
        <w:t>Non-</w:t>
      </w:r>
      <w:r w:rsidR="00BE375E" w:rsidRPr="00496B94">
        <w:rPr>
          <w:b/>
          <w:sz w:val="20"/>
          <w:szCs w:val="20"/>
        </w:rPr>
        <w:t xml:space="preserve">Indigenous </w:t>
      </w:r>
      <w:r w:rsidRPr="00496B94">
        <w:rPr>
          <w:b/>
          <w:sz w:val="20"/>
          <w:szCs w:val="20"/>
        </w:rPr>
        <w:t xml:space="preserve">older adults </w:t>
      </w:r>
      <w:r w:rsidR="00A12455">
        <w:rPr>
          <w:b/>
          <w:sz w:val="20"/>
          <w:szCs w:val="20"/>
        </w:rPr>
        <w:t>with no risk conditions</w:t>
      </w:r>
    </w:p>
    <w:p w14:paraId="29CD5808" w14:textId="42BF251F" w:rsidR="00C04199" w:rsidRPr="00ED47A2" w:rsidRDefault="002F0C8F" w:rsidP="00BF7587">
      <w:pPr>
        <w:pStyle w:val="BulletedList"/>
        <w:ind w:left="426" w:hanging="426"/>
        <w:rPr>
          <w:sz w:val="18"/>
          <w:szCs w:val="18"/>
        </w:rPr>
      </w:pPr>
      <w:r w:rsidRPr="00ED47A2">
        <w:rPr>
          <w:sz w:val="18"/>
          <w:szCs w:val="18"/>
        </w:rPr>
        <w:t>All</w:t>
      </w:r>
      <w:r w:rsidR="002A0CF2" w:rsidRPr="00ED47A2">
        <w:rPr>
          <w:sz w:val="18"/>
          <w:szCs w:val="18"/>
        </w:rPr>
        <w:t xml:space="preserve"> non</w:t>
      </w:r>
      <w:r w:rsidR="00617DC8" w:rsidRPr="00ED47A2">
        <w:rPr>
          <w:sz w:val="18"/>
          <w:szCs w:val="18"/>
        </w:rPr>
        <w:t>-</w:t>
      </w:r>
      <w:r w:rsidR="00BE375E" w:rsidRPr="00ED47A2">
        <w:rPr>
          <w:sz w:val="18"/>
          <w:szCs w:val="18"/>
        </w:rPr>
        <w:t xml:space="preserve">Indigenous </w:t>
      </w:r>
      <w:r w:rsidR="00617DC8" w:rsidRPr="00ED47A2">
        <w:rPr>
          <w:sz w:val="18"/>
          <w:szCs w:val="18"/>
        </w:rPr>
        <w:t xml:space="preserve">older adults </w:t>
      </w:r>
      <w:r w:rsidR="00A12455" w:rsidRPr="00ED47A2">
        <w:rPr>
          <w:sz w:val="18"/>
          <w:szCs w:val="18"/>
        </w:rPr>
        <w:t xml:space="preserve">aged 70 years or over with no risk conditions </w:t>
      </w:r>
      <w:r w:rsidR="00617DC8" w:rsidRPr="00ED47A2">
        <w:rPr>
          <w:sz w:val="18"/>
          <w:szCs w:val="18"/>
        </w:rPr>
        <w:t>are recommended to receive one dose of 13vPCV</w:t>
      </w:r>
      <w:r w:rsidR="00A12455" w:rsidRPr="00ED47A2">
        <w:rPr>
          <w:sz w:val="18"/>
          <w:szCs w:val="18"/>
        </w:rPr>
        <w:t>, regardless of receipt of 23vPPV previously</w:t>
      </w:r>
      <w:r w:rsidR="00617DC8" w:rsidRPr="00ED47A2">
        <w:rPr>
          <w:sz w:val="18"/>
          <w:szCs w:val="18"/>
        </w:rPr>
        <w:t>.</w:t>
      </w:r>
      <w:r w:rsidR="00127BBE" w:rsidRPr="00ED47A2">
        <w:rPr>
          <w:sz w:val="18"/>
          <w:szCs w:val="18"/>
        </w:rPr>
        <w:t xml:space="preserve"> This will replace the previously recommended single dose of 23vPPV at 65 years of age.</w:t>
      </w:r>
    </w:p>
    <w:p w14:paraId="45B6E7BF" w14:textId="6A5F5FAB" w:rsidR="00617DC8" w:rsidRDefault="00C04199" w:rsidP="00617DC8">
      <w:pPr>
        <w:pStyle w:val="BulletedList"/>
        <w:numPr>
          <w:ilvl w:val="1"/>
          <w:numId w:val="4"/>
        </w:numPr>
        <w:rPr>
          <w:i/>
          <w:sz w:val="18"/>
          <w:szCs w:val="18"/>
        </w:rPr>
      </w:pPr>
      <w:r>
        <w:rPr>
          <w:i/>
          <w:sz w:val="18"/>
          <w:szCs w:val="18"/>
        </w:rPr>
        <w:t xml:space="preserve">Among Australian adults the incidence of IPD is much </w:t>
      </w:r>
      <w:r w:rsidR="002A0CF2">
        <w:rPr>
          <w:i/>
          <w:sz w:val="18"/>
          <w:szCs w:val="18"/>
        </w:rPr>
        <w:t>greater from</w:t>
      </w:r>
      <w:r w:rsidR="000A55B7">
        <w:rPr>
          <w:i/>
          <w:sz w:val="18"/>
          <w:szCs w:val="18"/>
        </w:rPr>
        <w:t xml:space="preserve"> </w:t>
      </w:r>
      <w:r w:rsidR="00617DC8" w:rsidRPr="00B226D6">
        <w:rPr>
          <w:i/>
          <w:sz w:val="18"/>
          <w:szCs w:val="18"/>
        </w:rPr>
        <w:t xml:space="preserve">70 years of age </w:t>
      </w:r>
      <w:r w:rsidR="002A0CF2" w:rsidRPr="00B226D6">
        <w:rPr>
          <w:i/>
          <w:sz w:val="18"/>
          <w:szCs w:val="18"/>
        </w:rPr>
        <w:t>than 65</w:t>
      </w:r>
      <w:r w:rsidR="00617DC8" w:rsidRPr="00B226D6">
        <w:rPr>
          <w:i/>
          <w:sz w:val="18"/>
          <w:szCs w:val="18"/>
        </w:rPr>
        <w:t>–69 years</w:t>
      </w:r>
      <w:r w:rsidR="008666B8">
        <w:rPr>
          <w:i/>
          <w:sz w:val="18"/>
          <w:szCs w:val="18"/>
        </w:rPr>
        <w:t xml:space="preserve"> of age</w:t>
      </w:r>
      <w:r w:rsidR="00617DC8" w:rsidRPr="00B226D6">
        <w:rPr>
          <w:i/>
          <w:sz w:val="18"/>
          <w:szCs w:val="18"/>
        </w:rPr>
        <w:t xml:space="preserve">. Because the effectiveness of pneumococcal vaccines reduces over time, moving </w:t>
      </w:r>
      <w:r>
        <w:rPr>
          <w:i/>
          <w:sz w:val="18"/>
          <w:szCs w:val="18"/>
        </w:rPr>
        <w:t xml:space="preserve">the age </w:t>
      </w:r>
      <w:r w:rsidR="008666B8">
        <w:rPr>
          <w:i/>
          <w:sz w:val="18"/>
          <w:szCs w:val="18"/>
        </w:rPr>
        <w:t xml:space="preserve">of </w:t>
      </w:r>
      <w:r>
        <w:rPr>
          <w:i/>
          <w:sz w:val="18"/>
          <w:szCs w:val="18"/>
        </w:rPr>
        <w:t>pneumococcal vaccin</w:t>
      </w:r>
      <w:r w:rsidR="008666B8">
        <w:rPr>
          <w:i/>
          <w:sz w:val="18"/>
          <w:szCs w:val="18"/>
        </w:rPr>
        <w:t>ation</w:t>
      </w:r>
      <w:r>
        <w:rPr>
          <w:i/>
          <w:sz w:val="18"/>
          <w:szCs w:val="18"/>
        </w:rPr>
        <w:t xml:space="preserve"> from 65 years</w:t>
      </w:r>
      <w:r w:rsidR="008666B8">
        <w:rPr>
          <w:i/>
          <w:sz w:val="18"/>
          <w:szCs w:val="18"/>
        </w:rPr>
        <w:t xml:space="preserve"> of age</w:t>
      </w:r>
      <w:r w:rsidR="00617DC8" w:rsidRPr="00B226D6">
        <w:rPr>
          <w:i/>
          <w:sz w:val="18"/>
          <w:szCs w:val="18"/>
        </w:rPr>
        <w:t xml:space="preserve"> to 70 years</w:t>
      </w:r>
      <w:r w:rsidR="008666B8">
        <w:rPr>
          <w:i/>
          <w:sz w:val="18"/>
          <w:szCs w:val="18"/>
        </w:rPr>
        <w:t xml:space="preserve"> of age</w:t>
      </w:r>
      <w:r w:rsidR="00617DC8" w:rsidRPr="00B226D6">
        <w:rPr>
          <w:i/>
          <w:sz w:val="18"/>
          <w:szCs w:val="18"/>
        </w:rPr>
        <w:t xml:space="preserve"> will </w:t>
      </w:r>
      <w:r w:rsidR="00200764">
        <w:rPr>
          <w:i/>
          <w:sz w:val="18"/>
          <w:szCs w:val="18"/>
        </w:rPr>
        <w:t>provid</w:t>
      </w:r>
      <w:r w:rsidR="00485852">
        <w:rPr>
          <w:i/>
          <w:sz w:val="18"/>
          <w:szCs w:val="18"/>
        </w:rPr>
        <w:t>e better</w:t>
      </w:r>
      <w:r w:rsidR="00200764" w:rsidRPr="00B226D6">
        <w:rPr>
          <w:i/>
          <w:sz w:val="18"/>
          <w:szCs w:val="18"/>
        </w:rPr>
        <w:t xml:space="preserve"> </w:t>
      </w:r>
      <w:r w:rsidR="00617DC8" w:rsidRPr="00B226D6">
        <w:rPr>
          <w:i/>
          <w:sz w:val="18"/>
          <w:szCs w:val="18"/>
        </w:rPr>
        <w:t>protection as people move into o</w:t>
      </w:r>
      <w:r w:rsidR="00C50DAB">
        <w:rPr>
          <w:i/>
          <w:sz w:val="18"/>
          <w:szCs w:val="18"/>
        </w:rPr>
        <w:t>lder age groups with increasing</w:t>
      </w:r>
      <w:r w:rsidR="00BF480D">
        <w:rPr>
          <w:i/>
          <w:sz w:val="18"/>
          <w:szCs w:val="18"/>
        </w:rPr>
        <w:t xml:space="preserve"> pneumococcal disease</w:t>
      </w:r>
      <w:r w:rsidR="00617DC8" w:rsidRPr="00B226D6">
        <w:rPr>
          <w:i/>
          <w:sz w:val="18"/>
          <w:szCs w:val="18"/>
        </w:rPr>
        <w:t xml:space="preserve"> risk.</w:t>
      </w:r>
    </w:p>
    <w:p w14:paraId="14E5771C" w14:textId="1300CF2D" w:rsidR="00C04199" w:rsidRDefault="00C04199" w:rsidP="00617DC8">
      <w:pPr>
        <w:pStyle w:val="BulletedList"/>
        <w:numPr>
          <w:ilvl w:val="1"/>
          <w:numId w:val="4"/>
        </w:numPr>
        <w:rPr>
          <w:i/>
          <w:sz w:val="18"/>
          <w:szCs w:val="18"/>
        </w:rPr>
      </w:pPr>
      <w:r>
        <w:rPr>
          <w:i/>
          <w:sz w:val="18"/>
          <w:szCs w:val="18"/>
        </w:rPr>
        <w:t>The dose of 13vPCV w</w:t>
      </w:r>
      <w:r w:rsidR="008666B8">
        <w:rPr>
          <w:i/>
          <w:sz w:val="18"/>
          <w:szCs w:val="18"/>
        </w:rPr>
        <w:t>ill</w:t>
      </w:r>
      <w:r>
        <w:rPr>
          <w:i/>
          <w:sz w:val="18"/>
          <w:szCs w:val="18"/>
        </w:rPr>
        <w:t xml:space="preserve"> provide more assured protection against </w:t>
      </w:r>
      <w:r w:rsidR="008D1A5C">
        <w:rPr>
          <w:i/>
          <w:sz w:val="18"/>
          <w:szCs w:val="18"/>
        </w:rPr>
        <w:t>community acquired pneumonia due to vaccine serotypes, compared to 23vPPV,</w:t>
      </w:r>
      <w:r w:rsidR="000E1A53">
        <w:rPr>
          <w:i/>
          <w:sz w:val="18"/>
          <w:szCs w:val="18"/>
        </w:rPr>
        <w:t xml:space="preserve"> </w:t>
      </w:r>
      <w:r w:rsidR="008D1A5C">
        <w:rPr>
          <w:i/>
          <w:sz w:val="18"/>
          <w:szCs w:val="18"/>
        </w:rPr>
        <w:t>and</w:t>
      </w:r>
      <w:r w:rsidR="000E1A53">
        <w:rPr>
          <w:i/>
          <w:sz w:val="18"/>
          <w:szCs w:val="18"/>
        </w:rPr>
        <w:t xml:space="preserve"> </w:t>
      </w:r>
      <w:r w:rsidR="008666B8">
        <w:rPr>
          <w:i/>
          <w:sz w:val="18"/>
          <w:szCs w:val="18"/>
        </w:rPr>
        <w:t xml:space="preserve">will </w:t>
      </w:r>
      <w:r w:rsidR="008D1A5C">
        <w:rPr>
          <w:i/>
          <w:sz w:val="18"/>
          <w:szCs w:val="18"/>
        </w:rPr>
        <w:t>also further reduce remaining 13vPCV type IPD among older adults</w:t>
      </w:r>
      <w:r w:rsidR="008666B8">
        <w:rPr>
          <w:i/>
          <w:sz w:val="18"/>
          <w:szCs w:val="18"/>
        </w:rPr>
        <w:t>.</w:t>
      </w:r>
      <w:r w:rsidR="008D1A5C">
        <w:rPr>
          <w:i/>
          <w:sz w:val="18"/>
          <w:szCs w:val="18"/>
        </w:rPr>
        <w:t xml:space="preserve"> </w:t>
      </w:r>
    </w:p>
    <w:p w14:paraId="79816810" w14:textId="436C3898" w:rsidR="00054304" w:rsidRPr="00ED47A2" w:rsidRDefault="00DE59A1" w:rsidP="00DE59A1">
      <w:pPr>
        <w:pStyle w:val="BulletedList"/>
        <w:ind w:left="426" w:hanging="426"/>
        <w:rPr>
          <w:sz w:val="18"/>
          <w:szCs w:val="18"/>
        </w:rPr>
      </w:pPr>
      <w:r w:rsidRPr="00ED47A2">
        <w:rPr>
          <w:sz w:val="18"/>
          <w:szCs w:val="18"/>
        </w:rPr>
        <w:t xml:space="preserve">This single dose of 13vPCV is </w:t>
      </w:r>
      <w:r w:rsidR="00A12455" w:rsidRPr="00ED47A2">
        <w:rPr>
          <w:sz w:val="18"/>
          <w:szCs w:val="18"/>
        </w:rPr>
        <w:t xml:space="preserve">NIP-funded for those turning </w:t>
      </w:r>
      <w:r w:rsidRPr="00ED47A2">
        <w:rPr>
          <w:sz w:val="18"/>
          <w:szCs w:val="18"/>
        </w:rPr>
        <w:t xml:space="preserve">70 years of age </w:t>
      </w:r>
      <w:r w:rsidR="00A12455" w:rsidRPr="00ED47A2">
        <w:rPr>
          <w:sz w:val="18"/>
          <w:szCs w:val="18"/>
        </w:rPr>
        <w:t>on or after 1 July 2020</w:t>
      </w:r>
      <w:r w:rsidR="00031BCF" w:rsidRPr="00ED47A2">
        <w:rPr>
          <w:sz w:val="18"/>
          <w:szCs w:val="18"/>
        </w:rPr>
        <w:t>,</w:t>
      </w:r>
      <w:r w:rsidR="00A12455" w:rsidRPr="00ED47A2">
        <w:rPr>
          <w:sz w:val="18"/>
          <w:szCs w:val="18"/>
        </w:rPr>
        <w:t xml:space="preserve"> </w:t>
      </w:r>
      <w:r w:rsidRPr="00ED47A2">
        <w:rPr>
          <w:sz w:val="18"/>
          <w:szCs w:val="18"/>
        </w:rPr>
        <w:t xml:space="preserve">regardless of </w:t>
      </w:r>
      <w:r w:rsidR="00031BCF" w:rsidRPr="00ED47A2">
        <w:rPr>
          <w:sz w:val="18"/>
          <w:szCs w:val="18"/>
        </w:rPr>
        <w:t xml:space="preserve">whether the person has </w:t>
      </w:r>
      <w:r w:rsidRPr="00ED47A2">
        <w:rPr>
          <w:sz w:val="18"/>
          <w:szCs w:val="18"/>
        </w:rPr>
        <w:t>previous</w:t>
      </w:r>
      <w:r w:rsidR="00031BCF" w:rsidRPr="00ED47A2">
        <w:rPr>
          <w:sz w:val="18"/>
          <w:szCs w:val="18"/>
        </w:rPr>
        <w:t>ly</w:t>
      </w:r>
      <w:r w:rsidRPr="00ED47A2">
        <w:rPr>
          <w:sz w:val="18"/>
          <w:szCs w:val="18"/>
        </w:rPr>
        <w:t xml:space="preserve"> recei</w:t>
      </w:r>
      <w:r w:rsidR="00031BCF" w:rsidRPr="00ED47A2">
        <w:rPr>
          <w:sz w:val="18"/>
          <w:szCs w:val="18"/>
        </w:rPr>
        <w:t>ved a NIP-funded dose of 23vPPV</w:t>
      </w:r>
      <w:r w:rsidRPr="00ED47A2">
        <w:rPr>
          <w:sz w:val="18"/>
          <w:szCs w:val="18"/>
        </w:rPr>
        <w:t xml:space="preserve">. </w:t>
      </w:r>
      <w:r w:rsidR="00A12455" w:rsidRPr="00ED47A2">
        <w:rPr>
          <w:sz w:val="18"/>
          <w:szCs w:val="18"/>
        </w:rPr>
        <w:t xml:space="preserve">Those who are </w:t>
      </w:r>
      <w:r w:rsidR="00031BCF" w:rsidRPr="00ED47A2">
        <w:rPr>
          <w:sz w:val="18"/>
          <w:szCs w:val="18"/>
        </w:rPr>
        <w:t xml:space="preserve">already </w:t>
      </w:r>
      <w:r w:rsidR="00A12455" w:rsidRPr="00ED47A2">
        <w:rPr>
          <w:sz w:val="18"/>
          <w:szCs w:val="18"/>
        </w:rPr>
        <w:t>70 years of age or older on 1 July 2020 are also eligible for a single NIP-funded dose of 13vPCV</w:t>
      </w:r>
      <w:r w:rsidR="00031BCF" w:rsidRPr="00ED47A2">
        <w:rPr>
          <w:sz w:val="18"/>
          <w:szCs w:val="18"/>
        </w:rPr>
        <w:t>, which can be given opportunistically at a suitable clinical encounter.</w:t>
      </w:r>
      <w:r w:rsidR="00A12455" w:rsidRPr="00ED47A2">
        <w:rPr>
          <w:sz w:val="18"/>
          <w:szCs w:val="18"/>
        </w:rPr>
        <w:t xml:space="preserve"> </w:t>
      </w:r>
    </w:p>
    <w:p w14:paraId="7195E84A" w14:textId="29C3F743" w:rsidR="00DE59A1" w:rsidRPr="00DE59A1" w:rsidRDefault="00583A09" w:rsidP="00DE59A1">
      <w:pPr>
        <w:pStyle w:val="BulletedList"/>
        <w:ind w:left="426" w:hanging="426"/>
        <w:rPr>
          <w:sz w:val="18"/>
          <w:szCs w:val="18"/>
        </w:rPr>
      </w:pPr>
      <w:r>
        <w:rPr>
          <w:sz w:val="18"/>
          <w:szCs w:val="18"/>
        </w:rPr>
        <w:t>For</w:t>
      </w:r>
      <w:r w:rsidR="00DE59A1" w:rsidRPr="00DE59A1">
        <w:rPr>
          <w:sz w:val="18"/>
          <w:szCs w:val="18"/>
        </w:rPr>
        <w:t xml:space="preserve"> those </w:t>
      </w:r>
      <w:r>
        <w:rPr>
          <w:sz w:val="18"/>
          <w:szCs w:val="18"/>
        </w:rPr>
        <w:t xml:space="preserve">who were </w:t>
      </w:r>
      <w:r w:rsidR="00DE59A1" w:rsidRPr="00DE59A1">
        <w:rPr>
          <w:sz w:val="18"/>
          <w:szCs w:val="18"/>
        </w:rPr>
        <w:t>previously vaccinated with 23vPPV</w:t>
      </w:r>
      <w:r w:rsidR="00031BCF">
        <w:rPr>
          <w:sz w:val="18"/>
          <w:szCs w:val="18"/>
        </w:rPr>
        <w:t>,</w:t>
      </w:r>
      <w:r w:rsidR="00564243">
        <w:rPr>
          <w:sz w:val="18"/>
          <w:szCs w:val="18"/>
        </w:rPr>
        <w:t xml:space="preserve"> </w:t>
      </w:r>
      <w:r w:rsidR="00496B94" w:rsidRPr="00496B94">
        <w:rPr>
          <w:sz w:val="18"/>
          <w:szCs w:val="18"/>
          <w:lang w:val="en-AU"/>
        </w:rPr>
        <w:t>the dose of 13vPCV should be given at least 12 months after their last 23vPPV dose</w:t>
      </w:r>
      <w:r w:rsidR="00496B94">
        <w:rPr>
          <w:sz w:val="18"/>
          <w:szCs w:val="18"/>
          <w:lang w:val="en-AU"/>
        </w:rPr>
        <w:t>.</w:t>
      </w:r>
    </w:p>
    <w:p w14:paraId="3F24AEA7" w14:textId="133D1232" w:rsidR="00642471" w:rsidRDefault="00642471" w:rsidP="00BF7587">
      <w:pPr>
        <w:pStyle w:val="BulletedList"/>
        <w:ind w:left="426" w:hanging="426"/>
        <w:rPr>
          <w:sz w:val="18"/>
          <w:szCs w:val="18"/>
        </w:rPr>
      </w:pPr>
      <w:r w:rsidRPr="00FD22AF">
        <w:rPr>
          <w:sz w:val="18"/>
          <w:szCs w:val="18"/>
        </w:rPr>
        <w:t xml:space="preserve">Older non-Indigenous adults </w:t>
      </w:r>
      <w:r w:rsidRPr="00BF7587">
        <w:rPr>
          <w:sz w:val="18"/>
          <w:szCs w:val="18"/>
        </w:rPr>
        <w:t>with</w:t>
      </w:r>
      <w:r w:rsidRPr="00FD22AF">
        <w:rPr>
          <w:sz w:val="18"/>
          <w:szCs w:val="18"/>
        </w:rPr>
        <w:t xml:space="preserve"> risk conditions for pneumococcal disease </w:t>
      </w:r>
      <w:r w:rsidRPr="00BF7587">
        <w:rPr>
          <w:sz w:val="18"/>
          <w:szCs w:val="18"/>
        </w:rPr>
        <w:t xml:space="preserve">are </w:t>
      </w:r>
      <w:r w:rsidRPr="00FD22AF">
        <w:rPr>
          <w:sz w:val="18"/>
          <w:szCs w:val="18"/>
        </w:rPr>
        <w:t>recommended to receive additional doses of 23</w:t>
      </w:r>
      <w:r w:rsidR="00783885" w:rsidRPr="00FD22AF">
        <w:rPr>
          <w:sz w:val="18"/>
          <w:szCs w:val="18"/>
        </w:rPr>
        <w:t>vPPV</w:t>
      </w:r>
      <w:r w:rsidR="0057186A" w:rsidRPr="00FD22AF">
        <w:rPr>
          <w:sz w:val="18"/>
          <w:szCs w:val="18"/>
        </w:rPr>
        <w:t xml:space="preserve">. </w:t>
      </w:r>
      <w:r w:rsidR="00FD22AF">
        <w:rPr>
          <w:sz w:val="18"/>
          <w:szCs w:val="18"/>
        </w:rPr>
        <w:t>R</w:t>
      </w:r>
      <w:r w:rsidR="00FD22AF" w:rsidRPr="00FD22AF">
        <w:rPr>
          <w:sz w:val="18"/>
          <w:szCs w:val="18"/>
        </w:rPr>
        <w:t>efer to</w:t>
      </w:r>
      <w:r w:rsidRPr="00FD22AF">
        <w:rPr>
          <w:sz w:val="18"/>
          <w:szCs w:val="18"/>
        </w:rPr>
        <w:t xml:space="preserve"> </w:t>
      </w:r>
      <w:hyperlink r:id="rId17" w:history="1">
        <w:r w:rsidR="0057186A" w:rsidRPr="004C1016">
          <w:rPr>
            <w:rStyle w:val="Hyperlink"/>
            <w:i/>
            <w:sz w:val="18"/>
            <w:szCs w:val="18"/>
          </w:rPr>
          <w:t>ATAGI clinical advice on changes to vaccine recommendations and fund</w:t>
        </w:r>
        <w:r w:rsidR="004C1016">
          <w:rPr>
            <w:rStyle w:val="Hyperlink"/>
            <w:i/>
            <w:sz w:val="18"/>
            <w:szCs w:val="18"/>
          </w:rPr>
          <w:t>ing for people with risk conditions</w:t>
        </w:r>
        <w:r w:rsidR="0057186A" w:rsidRPr="004C1016">
          <w:rPr>
            <w:rStyle w:val="Hyperlink"/>
            <w:i/>
            <w:sz w:val="18"/>
            <w:szCs w:val="18"/>
          </w:rPr>
          <w:t xml:space="preserve"> from </w:t>
        </w:r>
        <w:r w:rsidR="004C1016">
          <w:rPr>
            <w:rStyle w:val="Hyperlink"/>
            <w:i/>
            <w:sz w:val="18"/>
            <w:szCs w:val="18"/>
          </w:rPr>
          <w:t xml:space="preserve">1 </w:t>
        </w:r>
        <w:r w:rsidR="0057186A" w:rsidRPr="004C1016">
          <w:rPr>
            <w:rStyle w:val="Hyperlink"/>
            <w:i/>
            <w:sz w:val="18"/>
            <w:szCs w:val="18"/>
          </w:rPr>
          <w:t>July 2020</w:t>
        </w:r>
      </w:hyperlink>
      <w:r w:rsidRPr="00FD22AF">
        <w:rPr>
          <w:sz w:val="18"/>
          <w:szCs w:val="18"/>
        </w:rPr>
        <w:t>.</w:t>
      </w:r>
    </w:p>
    <w:p w14:paraId="3719DADA" w14:textId="77777777" w:rsidR="00DE59A1" w:rsidRDefault="00DE59A1" w:rsidP="00DE59A1">
      <w:pPr>
        <w:pStyle w:val="BulletedList"/>
        <w:ind w:left="426" w:hanging="426"/>
        <w:rPr>
          <w:sz w:val="18"/>
          <w:szCs w:val="18"/>
        </w:rPr>
      </w:pPr>
      <w:r w:rsidRPr="00DE59A1">
        <w:rPr>
          <w:sz w:val="18"/>
          <w:szCs w:val="18"/>
        </w:rPr>
        <w:t xml:space="preserve">Older non-Indigenous adults with no risk conditions for pneumococcal disease are no longer recommended to receive 23vPPV. </w:t>
      </w:r>
    </w:p>
    <w:p w14:paraId="4B56FAA9" w14:textId="1E0E21EF" w:rsidR="00564243" w:rsidRPr="00564243" w:rsidRDefault="00564243" w:rsidP="00564243">
      <w:pPr>
        <w:pStyle w:val="BulletedList"/>
        <w:numPr>
          <w:ilvl w:val="1"/>
          <w:numId w:val="4"/>
        </w:numPr>
        <w:rPr>
          <w:sz w:val="18"/>
          <w:szCs w:val="18"/>
        </w:rPr>
      </w:pPr>
      <w:r w:rsidRPr="00564243">
        <w:rPr>
          <w:i/>
          <w:sz w:val="18"/>
          <w:szCs w:val="18"/>
        </w:rPr>
        <w:t xml:space="preserve">IPD data for non-Indigenous older adults shows that disease caused by serotypes </w:t>
      </w:r>
      <w:r w:rsidRPr="00564243">
        <w:rPr>
          <w:i/>
          <w:sz w:val="18"/>
          <w:szCs w:val="18"/>
          <w:lang w:val="en-AU"/>
        </w:rPr>
        <w:t xml:space="preserve">that are included in the 23vPPV but not in the 13vPCV, </w:t>
      </w:r>
      <w:r w:rsidRPr="00564243">
        <w:rPr>
          <w:i/>
          <w:sz w:val="18"/>
          <w:szCs w:val="18"/>
        </w:rPr>
        <w:t xml:space="preserve">is predominantly in those who have underlying risk conditions; </w:t>
      </w:r>
      <w:r w:rsidR="000D49BD" w:rsidRPr="00564243">
        <w:rPr>
          <w:i/>
          <w:sz w:val="18"/>
          <w:szCs w:val="18"/>
        </w:rPr>
        <w:t>therefore,</w:t>
      </w:r>
      <w:r w:rsidRPr="00564243">
        <w:rPr>
          <w:i/>
          <w:sz w:val="18"/>
          <w:szCs w:val="18"/>
        </w:rPr>
        <w:t xml:space="preserve"> the use of 23vPPV is limited to this group of people only.</w:t>
      </w:r>
    </w:p>
    <w:p w14:paraId="3C827373" w14:textId="57A63D6A" w:rsidR="00DE59A1" w:rsidRDefault="00DE59A1" w:rsidP="00BF7587">
      <w:pPr>
        <w:pStyle w:val="BulletedList"/>
        <w:ind w:left="426" w:hanging="426"/>
        <w:rPr>
          <w:sz w:val="18"/>
          <w:szCs w:val="18"/>
        </w:rPr>
      </w:pPr>
      <w:r w:rsidRPr="00DE59A1">
        <w:rPr>
          <w:sz w:val="18"/>
          <w:szCs w:val="18"/>
          <w:lang w:val="en-AU"/>
        </w:rPr>
        <w:t>The 13vPCV can be administered at the same time as the zoster [</w:t>
      </w:r>
      <w:proofErr w:type="spellStart"/>
      <w:r w:rsidRPr="00DE59A1">
        <w:rPr>
          <w:sz w:val="18"/>
          <w:szCs w:val="18"/>
          <w:lang w:val="en-AU"/>
        </w:rPr>
        <w:t>Zostavax</w:t>
      </w:r>
      <w:proofErr w:type="spellEnd"/>
      <w:r w:rsidRPr="00DE59A1">
        <w:rPr>
          <w:sz w:val="18"/>
          <w:szCs w:val="18"/>
          <w:lang w:val="en-AU"/>
        </w:rPr>
        <w:t>] vaccine and influenza vaccine at ≥70 years of age</w:t>
      </w:r>
    </w:p>
    <w:p w14:paraId="05D2F636" w14:textId="77777777" w:rsidR="00DE59A1" w:rsidRPr="00CB0DDC" w:rsidRDefault="00DE59A1" w:rsidP="00DE59A1">
      <w:pPr>
        <w:pStyle w:val="BulletedList"/>
        <w:numPr>
          <w:ilvl w:val="0"/>
          <w:numId w:val="0"/>
        </w:numPr>
      </w:pPr>
    </w:p>
    <w:p w14:paraId="3DFE066D" w14:textId="5F8E3285" w:rsidR="00DF0F5F" w:rsidRPr="002D589D" w:rsidRDefault="00A04237" w:rsidP="002D589D">
      <w:pPr>
        <w:spacing w:line="276" w:lineRule="auto"/>
        <w:rPr>
          <w:b/>
          <w:bCs/>
          <w:color w:val="57259F"/>
          <w:sz w:val="20"/>
          <w:szCs w:val="18"/>
          <w:lang w:eastAsia="en-US"/>
        </w:rPr>
      </w:pPr>
      <w:r>
        <w:rPr>
          <w:bCs/>
          <w:sz w:val="20"/>
          <w:szCs w:val="18"/>
          <w:lang w:eastAsia="en-US"/>
        </w:rPr>
        <w:br w:type="page"/>
      </w:r>
    </w:p>
    <w:p w14:paraId="55495472" w14:textId="77777777" w:rsidR="00DF0F5F" w:rsidRDefault="00DF0F5F" w:rsidP="00DF0F5F">
      <w:pPr>
        <w:spacing w:line="276" w:lineRule="auto"/>
        <w:rPr>
          <w:b/>
          <w:color w:val="57259F"/>
          <w:sz w:val="20"/>
          <w:szCs w:val="18"/>
          <w:lang w:eastAsia="en-US"/>
        </w:rPr>
      </w:pPr>
    </w:p>
    <w:p w14:paraId="1E32BCAD" w14:textId="77777777" w:rsidR="00A9372E" w:rsidRDefault="003270FC" w:rsidP="00A9372E">
      <w:pPr>
        <w:pStyle w:val="Heading2"/>
        <w:spacing w:before="0"/>
        <w:rPr>
          <w:bCs/>
          <w:sz w:val="20"/>
          <w:szCs w:val="18"/>
          <w:lang w:eastAsia="en-US"/>
        </w:rPr>
      </w:pPr>
      <w:r>
        <w:rPr>
          <w:bCs/>
          <w:sz w:val="20"/>
          <w:szCs w:val="18"/>
          <w:lang w:eastAsia="en-US"/>
        </w:rPr>
        <w:t xml:space="preserve">Figure 1. </w:t>
      </w:r>
      <w:r w:rsidRPr="003270FC">
        <w:rPr>
          <w:bCs/>
          <w:sz w:val="20"/>
          <w:szCs w:val="18"/>
          <w:lang w:eastAsia="en-US"/>
        </w:rPr>
        <w:t>Summary of revised recommendations for pneumococcal vaccination</w:t>
      </w:r>
    </w:p>
    <w:p w14:paraId="496A331F" w14:textId="788E6C06" w:rsidR="00A04237" w:rsidRPr="002F1E20" w:rsidRDefault="00A9372E" w:rsidP="00A9372E">
      <w:r w:rsidRPr="00A9372E">
        <w:rPr>
          <w:i/>
        </w:rPr>
        <w:t xml:space="preserve">To be used in conjunction with The Australian Immunisation Handbook. </w:t>
      </w:r>
    </w:p>
    <w:p w14:paraId="0C76171E" w14:textId="1E1773C9" w:rsidR="00094827" w:rsidRDefault="008573EE" w:rsidP="00094827">
      <w:pPr>
        <w:spacing w:after="0" w:line="276" w:lineRule="auto"/>
        <w:rPr>
          <w:sz w:val="14"/>
          <w:szCs w:val="18"/>
          <w:lang w:eastAsia="en-US"/>
        </w:rPr>
      </w:pPr>
      <w:r>
        <w:rPr>
          <w:noProof/>
          <w:sz w:val="14"/>
          <w:szCs w:val="18"/>
        </w:rPr>
        <w:drawing>
          <wp:inline distT="0" distB="0" distL="0" distR="0" wp14:anchorId="6D26495A" wp14:editId="4ED77590">
            <wp:extent cx="6480061" cy="791872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89-AIHUPDATES-diagram-07 (14Apr20).png"/>
                    <pic:cNvPicPr/>
                  </pic:nvPicPr>
                  <pic:blipFill>
                    <a:blip r:embed="rId18">
                      <a:extLst>
                        <a:ext uri="{28A0092B-C50C-407E-A947-70E740481C1C}">
                          <a14:useLocalDpi xmlns:a14="http://schemas.microsoft.com/office/drawing/2010/main" val="0"/>
                        </a:ext>
                      </a:extLst>
                    </a:blip>
                    <a:stretch>
                      <a:fillRect/>
                    </a:stretch>
                  </pic:blipFill>
                  <pic:spPr>
                    <a:xfrm>
                      <a:off x="0" y="0"/>
                      <a:ext cx="6480061" cy="7918720"/>
                    </a:xfrm>
                    <a:prstGeom prst="rect">
                      <a:avLst/>
                    </a:prstGeom>
                  </pic:spPr>
                </pic:pic>
              </a:graphicData>
            </a:graphic>
          </wp:inline>
        </w:drawing>
      </w:r>
    </w:p>
    <w:p w14:paraId="0A3818D6" w14:textId="77777777" w:rsidR="002430D1" w:rsidRPr="00094827" w:rsidRDefault="002430D1" w:rsidP="00094827"/>
    <w:sectPr w:rsidR="002430D1" w:rsidRPr="00094827" w:rsidSect="009B0796">
      <w:footerReference w:type="default" r:id="rId19"/>
      <w:footerReference w:type="first" r:id="rId20"/>
      <w:pgSz w:w="11906" w:h="16838"/>
      <w:pgMar w:top="709" w:right="851" w:bottom="709" w:left="851" w:header="850" w:footer="5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B45A55" w16cid:durableId="22710BCD"/>
  <w16cid:commentId w16cid:paraId="22933B2F" w16cid:durableId="22710BCE"/>
  <w16cid:commentId w16cid:paraId="26B17781" w16cid:durableId="22710BCF"/>
  <w16cid:commentId w16cid:paraId="0190FE91" w16cid:durableId="22710BD0"/>
  <w16cid:commentId w16cid:paraId="71FF1103" w16cid:durableId="22710B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E9C8B" w14:textId="77777777" w:rsidR="0009681B" w:rsidRDefault="0009681B" w:rsidP="005F4768">
      <w:r>
        <w:separator/>
      </w:r>
    </w:p>
  </w:endnote>
  <w:endnote w:type="continuationSeparator" w:id="0">
    <w:p w14:paraId="0B8B10D2" w14:textId="77777777" w:rsidR="0009681B" w:rsidRDefault="0009681B" w:rsidP="005F4768">
      <w:r>
        <w:continuationSeparator/>
      </w:r>
    </w:p>
  </w:endnote>
  <w:endnote w:type="continuationNotice" w:id="1">
    <w:p w14:paraId="3266AD96" w14:textId="77777777" w:rsidR="0009681B" w:rsidRDefault="00096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783219"/>
      <w:docPartObj>
        <w:docPartGallery w:val="Page Numbers (Bottom of Page)"/>
        <w:docPartUnique/>
      </w:docPartObj>
    </w:sdtPr>
    <w:sdtEndPr/>
    <w:sdtContent>
      <w:sdt>
        <w:sdtPr>
          <w:id w:val="98381352"/>
          <w:docPartObj>
            <w:docPartGallery w:val="Page Numbers (Top of Page)"/>
            <w:docPartUnique/>
          </w:docPartObj>
        </w:sdtPr>
        <w:sdtEndPr/>
        <w:sdtContent>
          <w:p w14:paraId="32843C23" w14:textId="68FE2A9A" w:rsidR="00531BB7" w:rsidRDefault="00531BB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712E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12E8">
              <w:rPr>
                <w:b/>
                <w:bCs/>
                <w:noProof/>
              </w:rPr>
              <w:t>5</w:t>
            </w:r>
            <w:r>
              <w:rPr>
                <w:b/>
                <w:bCs/>
                <w:sz w:val="24"/>
                <w:szCs w:val="24"/>
              </w:rPr>
              <w:fldChar w:fldCharType="end"/>
            </w:r>
          </w:p>
        </w:sdtContent>
      </w:sdt>
    </w:sdtContent>
  </w:sdt>
  <w:p w14:paraId="17BA257E" w14:textId="77777777" w:rsidR="00531BB7" w:rsidRDefault="0053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9891" w14:textId="77364FF8" w:rsidR="004A788C" w:rsidRPr="0060508D" w:rsidRDefault="004A788C">
    <w:pPr>
      <w:pStyle w:val="Footer"/>
      <w:rPr>
        <w:sz w:val="18"/>
        <w:szCs w:val="18"/>
      </w:rPr>
    </w:pPr>
    <w:r w:rsidRPr="0060508D">
      <w:rPr>
        <w:sz w:val="18"/>
        <w:szCs w:val="18"/>
      </w:rPr>
      <w:t xml:space="preserve">Page </w:t>
    </w:r>
    <w:r w:rsidRPr="0060508D">
      <w:rPr>
        <w:sz w:val="18"/>
        <w:szCs w:val="18"/>
      </w:rPr>
      <w:fldChar w:fldCharType="begin"/>
    </w:r>
    <w:r w:rsidRPr="0060508D">
      <w:rPr>
        <w:sz w:val="18"/>
        <w:szCs w:val="18"/>
      </w:rPr>
      <w:instrText xml:space="preserve"> PAGE  \* Arabic  \* MERGEFORMAT </w:instrText>
    </w:r>
    <w:r w:rsidRPr="0060508D">
      <w:rPr>
        <w:sz w:val="18"/>
        <w:szCs w:val="18"/>
      </w:rPr>
      <w:fldChar w:fldCharType="separate"/>
    </w:r>
    <w:r w:rsidR="00B712E8">
      <w:rPr>
        <w:noProof/>
        <w:sz w:val="18"/>
        <w:szCs w:val="18"/>
      </w:rPr>
      <w:t>1</w:t>
    </w:r>
    <w:r w:rsidRPr="0060508D">
      <w:rPr>
        <w:sz w:val="18"/>
        <w:szCs w:val="18"/>
      </w:rPr>
      <w:fldChar w:fldCharType="end"/>
    </w:r>
    <w:r w:rsidRPr="0060508D">
      <w:rPr>
        <w:sz w:val="18"/>
        <w:szCs w:val="18"/>
      </w:rPr>
      <w:t xml:space="preserve"> of </w:t>
    </w:r>
    <w:r w:rsidRPr="0060508D">
      <w:rPr>
        <w:sz w:val="18"/>
        <w:szCs w:val="18"/>
      </w:rPr>
      <w:fldChar w:fldCharType="begin"/>
    </w:r>
    <w:r w:rsidRPr="0060508D">
      <w:rPr>
        <w:sz w:val="18"/>
        <w:szCs w:val="18"/>
      </w:rPr>
      <w:instrText xml:space="preserve"> NUMPAGES  \* Arabic  \* MERGEFORMAT </w:instrText>
    </w:r>
    <w:r w:rsidRPr="0060508D">
      <w:rPr>
        <w:sz w:val="18"/>
        <w:szCs w:val="18"/>
      </w:rPr>
      <w:fldChar w:fldCharType="separate"/>
    </w:r>
    <w:r w:rsidR="00B712E8">
      <w:rPr>
        <w:noProof/>
        <w:sz w:val="18"/>
        <w:szCs w:val="18"/>
      </w:rPr>
      <w:t>5</w:t>
    </w:r>
    <w:r w:rsidRPr="0060508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120EA" w14:textId="77777777" w:rsidR="0009681B" w:rsidRDefault="0009681B" w:rsidP="005F4768">
      <w:r>
        <w:separator/>
      </w:r>
    </w:p>
  </w:footnote>
  <w:footnote w:type="continuationSeparator" w:id="0">
    <w:p w14:paraId="0C6BD7CE" w14:textId="77777777" w:rsidR="0009681B" w:rsidRDefault="0009681B" w:rsidP="005F4768">
      <w:r>
        <w:continuationSeparator/>
      </w:r>
    </w:p>
  </w:footnote>
  <w:footnote w:type="continuationNotice" w:id="1">
    <w:p w14:paraId="38E8A8C5" w14:textId="77777777" w:rsidR="0009681B" w:rsidRDefault="000968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37A"/>
    <w:multiLevelType w:val="hybridMultilevel"/>
    <w:tmpl w:val="A3F46136"/>
    <w:lvl w:ilvl="0" w:tplc="BEAC84C0">
      <w:start w:val="1"/>
      <w:numFmt w:val="bullet"/>
      <w:pStyle w:val="Sub-bullet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F1740"/>
    <w:multiLevelType w:val="multilevel"/>
    <w:tmpl w:val="4A1A5CB6"/>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20533"/>
    <w:multiLevelType w:val="hybridMultilevel"/>
    <w:tmpl w:val="1FBA9C56"/>
    <w:lvl w:ilvl="0" w:tplc="136C86B6">
      <w:start w:val="1"/>
      <w:numFmt w:val="bullet"/>
      <w:pStyle w:val="TableTextbullet"/>
      <w:lvlText w:val=""/>
      <w:lvlJc w:val="left"/>
      <w:pPr>
        <w:ind w:left="360" w:hanging="360"/>
      </w:pPr>
      <w:rPr>
        <w:rFonts w:ascii="Wingdings 3" w:hAnsi="Wingdings 3"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12B1B3C"/>
    <w:multiLevelType w:val="hybridMultilevel"/>
    <w:tmpl w:val="F59AC2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B935F06"/>
    <w:multiLevelType w:val="hybridMultilevel"/>
    <w:tmpl w:val="BFF0D858"/>
    <w:lvl w:ilvl="0" w:tplc="8E40D3EC">
      <w:start w:val="1"/>
      <w:numFmt w:val="bullet"/>
      <w:pStyle w:val="Bodytext-bullet"/>
      <w:lvlText w:val=""/>
      <w:lvlJc w:val="left"/>
      <w:pPr>
        <w:ind w:left="1435" w:hanging="360"/>
      </w:pPr>
      <w:rPr>
        <w:rFonts w:ascii="Symbol" w:hAnsi="Symbol" w:hint="default"/>
      </w:rPr>
    </w:lvl>
    <w:lvl w:ilvl="1" w:tplc="99643D4C">
      <w:numFmt w:val="bullet"/>
      <w:lvlText w:val="-"/>
      <w:lvlJc w:val="left"/>
      <w:pPr>
        <w:ind w:left="2155" w:hanging="360"/>
      </w:pPr>
      <w:rPr>
        <w:rFonts w:ascii="Times New Roman" w:eastAsia="Times New Roman" w:hAnsi="Times New Roman" w:cs="Times New Roman" w:hint="default"/>
      </w:rPr>
    </w:lvl>
    <w:lvl w:ilvl="2" w:tplc="0C09001B" w:tentative="1">
      <w:start w:val="1"/>
      <w:numFmt w:val="lowerRoman"/>
      <w:lvlText w:val="%3."/>
      <w:lvlJc w:val="right"/>
      <w:pPr>
        <w:ind w:left="2875" w:hanging="180"/>
      </w:pPr>
    </w:lvl>
    <w:lvl w:ilvl="3" w:tplc="0C09000F" w:tentative="1">
      <w:start w:val="1"/>
      <w:numFmt w:val="decimal"/>
      <w:lvlText w:val="%4."/>
      <w:lvlJc w:val="left"/>
      <w:pPr>
        <w:ind w:left="3595" w:hanging="360"/>
      </w:pPr>
    </w:lvl>
    <w:lvl w:ilvl="4" w:tplc="0C090019" w:tentative="1">
      <w:start w:val="1"/>
      <w:numFmt w:val="lowerLetter"/>
      <w:lvlText w:val="%5."/>
      <w:lvlJc w:val="left"/>
      <w:pPr>
        <w:ind w:left="4315" w:hanging="360"/>
      </w:pPr>
    </w:lvl>
    <w:lvl w:ilvl="5" w:tplc="0C09001B" w:tentative="1">
      <w:start w:val="1"/>
      <w:numFmt w:val="lowerRoman"/>
      <w:lvlText w:val="%6."/>
      <w:lvlJc w:val="right"/>
      <w:pPr>
        <w:ind w:left="5035" w:hanging="180"/>
      </w:pPr>
    </w:lvl>
    <w:lvl w:ilvl="6" w:tplc="0C09000F" w:tentative="1">
      <w:start w:val="1"/>
      <w:numFmt w:val="decimal"/>
      <w:lvlText w:val="%7."/>
      <w:lvlJc w:val="left"/>
      <w:pPr>
        <w:ind w:left="5755" w:hanging="360"/>
      </w:pPr>
    </w:lvl>
    <w:lvl w:ilvl="7" w:tplc="0C090019" w:tentative="1">
      <w:start w:val="1"/>
      <w:numFmt w:val="lowerLetter"/>
      <w:lvlText w:val="%8."/>
      <w:lvlJc w:val="left"/>
      <w:pPr>
        <w:ind w:left="6475" w:hanging="360"/>
      </w:pPr>
    </w:lvl>
    <w:lvl w:ilvl="8" w:tplc="0C09001B" w:tentative="1">
      <w:start w:val="1"/>
      <w:numFmt w:val="lowerRoman"/>
      <w:lvlText w:val="%9."/>
      <w:lvlJc w:val="right"/>
      <w:pPr>
        <w:ind w:left="7195" w:hanging="180"/>
      </w:pPr>
    </w:lvl>
  </w:abstractNum>
  <w:abstractNum w:abstractNumId="8" w15:restartNumberingAfterBreak="0">
    <w:nsid w:val="307A6FDD"/>
    <w:multiLevelType w:val="hybridMultilevel"/>
    <w:tmpl w:val="A05EA7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9D155AE"/>
    <w:multiLevelType w:val="multilevel"/>
    <w:tmpl w:val="E0C2005E"/>
    <w:lvl w:ilvl="0">
      <w:start w:val="1"/>
      <w:numFmt w:val="bullet"/>
      <w:pStyle w:val="BulletedList"/>
      <w:lvlText w:val=""/>
      <w:lvlJc w:val="left"/>
      <w:pPr>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lowerLetter"/>
      <w:lvlText w:val="%5)"/>
      <w:lvlJc w:val="left"/>
      <w:pPr>
        <w:ind w:left="3960" w:hanging="360"/>
      </w:pPr>
      <w:rPr>
        <w:rFonts w:hint="default"/>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4A917260"/>
    <w:multiLevelType w:val="hybridMultilevel"/>
    <w:tmpl w:val="3D2AFB66"/>
    <w:lvl w:ilvl="0" w:tplc="2476253E">
      <w:start w:val="1"/>
      <w:numFmt w:val="decimal"/>
      <w:pStyle w:val="Heading4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9A4956"/>
    <w:multiLevelType w:val="hybridMultilevel"/>
    <w:tmpl w:val="0268A04E"/>
    <w:lvl w:ilvl="0" w:tplc="866C3BD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B268B7"/>
    <w:multiLevelType w:val="hybridMultilevel"/>
    <w:tmpl w:val="3CE4843A"/>
    <w:lvl w:ilvl="0" w:tplc="04186316">
      <w:start w:val="1"/>
      <w:numFmt w:val="decimal"/>
      <w:pStyle w:val="Heading3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11921B9"/>
    <w:multiLevelType w:val="hybridMultilevel"/>
    <w:tmpl w:val="5FFE09A8"/>
    <w:lvl w:ilvl="0" w:tplc="CB5C1172">
      <w:start w:val="1"/>
      <w:numFmt w:val="decimal"/>
      <w:pStyle w:val="Heading2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7BB1F22"/>
    <w:multiLevelType w:val="hybridMultilevel"/>
    <w:tmpl w:val="031EE8DE"/>
    <w:lvl w:ilvl="0" w:tplc="F3F494B8">
      <w:start w:val="1"/>
      <w:numFmt w:val="bullet"/>
      <w:pStyle w:val="Sub-bulletedlis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9"/>
  </w:num>
  <w:num w:numId="5">
    <w:abstractNumId w:val="14"/>
  </w:num>
  <w:num w:numId="6">
    <w:abstractNumId w:val="13"/>
  </w:num>
  <w:num w:numId="7">
    <w:abstractNumId w:val="10"/>
  </w:num>
  <w:num w:numId="8">
    <w:abstractNumId w:val="15"/>
  </w:num>
  <w:num w:numId="9">
    <w:abstractNumId w:val="0"/>
  </w:num>
  <w:num w:numId="10">
    <w:abstractNumId w:val="7"/>
  </w:num>
  <w:num w:numId="11">
    <w:abstractNumId w:val="9"/>
  </w:num>
  <w:num w:numId="12">
    <w:abstractNumId w:val="6"/>
  </w:num>
  <w:num w:numId="13">
    <w:abstractNumId w:val="11"/>
  </w:num>
  <w:num w:numId="14">
    <w:abstractNumId w:val="16"/>
  </w:num>
  <w:num w:numId="15">
    <w:abstractNumId w:val="1"/>
  </w:num>
  <w:num w:numId="16">
    <w:abstractNumId w:val="12"/>
  </w:num>
  <w:num w:numId="17">
    <w:abstractNumId w:val="9"/>
  </w:num>
  <w:num w:numId="18">
    <w:abstractNumId w:val="9"/>
  </w:num>
  <w:num w:numId="19">
    <w:abstractNumId w:val="9"/>
  </w:num>
  <w:num w:numId="20">
    <w:abstractNumId w:val="9"/>
  </w:num>
  <w:num w:numId="21">
    <w:abstractNumId w:val="9"/>
  </w:num>
  <w:num w:numId="22">
    <w:abstractNumId w:val="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67"/>
    <w:rsid w:val="00001A5F"/>
    <w:rsid w:val="00003743"/>
    <w:rsid w:val="00003A5E"/>
    <w:rsid w:val="00003BBB"/>
    <w:rsid w:val="00004E7B"/>
    <w:rsid w:val="0000782C"/>
    <w:rsid w:val="0001088B"/>
    <w:rsid w:val="000159FD"/>
    <w:rsid w:val="00016DAB"/>
    <w:rsid w:val="00021FE0"/>
    <w:rsid w:val="00026A7B"/>
    <w:rsid w:val="000309BD"/>
    <w:rsid w:val="00031BCF"/>
    <w:rsid w:val="0004245C"/>
    <w:rsid w:val="0004452A"/>
    <w:rsid w:val="00054304"/>
    <w:rsid w:val="000602F3"/>
    <w:rsid w:val="00065684"/>
    <w:rsid w:val="00065CFF"/>
    <w:rsid w:val="00067456"/>
    <w:rsid w:val="000736D8"/>
    <w:rsid w:val="00073B0E"/>
    <w:rsid w:val="000809F0"/>
    <w:rsid w:val="00083432"/>
    <w:rsid w:val="000841D3"/>
    <w:rsid w:val="000924FE"/>
    <w:rsid w:val="00094827"/>
    <w:rsid w:val="0009663B"/>
    <w:rsid w:val="0009681B"/>
    <w:rsid w:val="00097816"/>
    <w:rsid w:val="000A5062"/>
    <w:rsid w:val="000A55B7"/>
    <w:rsid w:val="000A692A"/>
    <w:rsid w:val="000B1B02"/>
    <w:rsid w:val="000B3E05"/>
    <w:rsid w:val="000C27C2"/>
    <w:rsid w:val="000C6E51"/>
    <w:rsid w:val="000C6E7E"/>
    <w:rsid w:val="000C7E8D"/>
    <w:rsid w:val="000D0D9D"/>
    <w:rsid w:val="000D47A2"/>
    <w:rsid w:val="000D49BD"/>
    <w:rsid w:val="000D4E50"/>
    <w:rsid w:val="000D67C4"/>
    <w:rsid w:val="000E1A53"/>
    <w:rsid w:val="000E23F2"/>
    <w:rsid w:val="000E2673"/>
    <w:rsid w:val="000E40A7"/>
    <w:rsid w:val="000E47EE"/>
    <w:rsid w:val="000E4B3F"/>
    <w:rsid w:val="000F155E"/>
    <w:rsid w:val="000F2055"/>
    <w:rsid w:val="001070A3"/>
    <w:rsid w:val="00110BA0"/>
    <w:rsid w:val="00111DD6"/>
    <w:rsid w:val="001141C3"/>
    <w:rsid w:val="00123B94"/>
    <w:rsid w:val="00123D99"/>
    <w:rsid w:val="00123F7D"/>
    <w:rsid w:val="00127BBE"/>
    <w:rsid w:val="00131ABE"/>
    <w:rsid w:val="0013403F"/>
    <w:rsid w:val="00134E71"/>
    <w:rsid w:val="00136875"/>
    <w:rsid w:val="00141F53"/>
    <w:rsid w:val="001433D1"/>
    <w:rsid w:val="001446A0"/>
    <w:rsid w:val="001449FC"/>
    <w:rsid w:val="001457C3"/>
    <w:rsid w:val="00147E5D"/>
    <w:rsid w:val="0015651A"/>
    <w:rsid w:val="00164684"/>
    <w:rsid w:val="00172647"/>
    <w:rsid w:val="00183691"/>
    <w:rsid w:val="0018425E"/>
    <w:rsid w:val="00185613"/>
    <w:rsid w:val="0018589F"/>
    <w:rsid w:val="00190797"/>
    <w:rsid w:val="00190AE3"/>
    <w:rsid w:val="00191A3C"/>
    <w:rsid w:val="0019358C"/>
    <w:rsid w:val="00194C75"/>
    <w:rsid w:val="001A51C8"/>
    <w:rsid w:val="001B2799"/>
    <w:rsid w:val="001B2860"/>
    <w:rsid w:val="001B3443"/>
    <w:rsid w:val="001B6C7E"/>
    <w:rsid w:val="001C45AC"/>
    <w:rsid w:val="001C540A"/>
    <w:rsid w:val="001D787F"/>
    <w:rsid w:val="001E232C"/>
    <w:rsid w:val="001E6507"/>
    <w:rsid w:val="001E6EC7"/>
    <w:rsid w:val="001F1297"/>
    <w:rsid w:val="001F1A15"/>
    <w:rsid w:val="001F6022"/>
    <w:rsid w:val="00200061"/>
    <w:rsid w:val="00200764"/>
    <w:rsid w:val="002040EF"/>
    <w:rsid w:val="002058AD"/>
    <w:rsid w:val="00205C5A"/>
    <w:rsid w:val="00206091"/>
    <w:rsid w:val="00211009"/>
    <w:rsid w:val="002240A0"/>
    <w:rsid w:val="00225994"/>
    <w:rsid w:val="00227AD3"/>
    <w:rsid w:val="0023299C"/>
    <w:rsid w:val="00234619"/>
    <w:rsid w:val="002377F5"/>
    <w:rsid w:val="00240670"/>
    <w:rsid w:val="0024184A"/>
    <w:rsid w:val="002430D1"/>
    <w:rsid w:val="00243CB0"/>
    <w:rsid w:val="00247397"/>
    <w:rsid w:val="002473F2"/>
    <w:rsid w:val="00247BCD"/>
    <w:rsid w:val="00252CAB"/>
    <w:rsid w:val="002530E9"/>
    <w:rsid w:val="00253B47"/>
    <w:rsid w:val="002562FF"/>
    <w:rsid w:val="002571FA"/>
    <w:rsid w:val="0025736B"/>
    <w:rsid w:val="002650A3"/>
    <w:rsid w:val="00267944"/>
    <w:rsid w:val="00275310"/>
    <w:rsid w:val="0028298C"/>
    <w:rsid w:val="0028466E"/>
    <w:rsid w:val="00291A4E"/>
    <w:rsid w:val="00293701"/>
    <w:rsid w:val="00295A6F"/>
    <w:rsid w:val="002A0CF2"/>
    <w:rsid w:val="002A602A"/>
    <w:rsid w:val="002A7C0B"/>
    <w:rsid w:val="002C167F"/>
    <w:rsid w:val="002C38F0"/>
    <w:rsid w:val="002C6B11"/>
    <w:rsid w:val="002D589D"/>
    <w:rsid w:val="002D5CC8"/>
    <w:rsid w:val="002E0901"/>
    <w:rsid w:val="002E1636"/>
    <w:rsid w:val="002E5BDC"/>
    <w:rsid w:val="002E76CA"/>
    <w:rsid w:val="002F0C8F"/>
    <w:rsid w:val="002F34D2"/>
    <w:rsid w:val="002F3AE3"/>
    <w:rsid w:val="003017B5"/>
    <w:rsid w:val="003021C5"/>
    <w:rsid w:val="00304DAF"/>
    <w:rsid w:val="0030786C"/>
    <w:rsid w:val="003151C1"/>
    <w:rsid w:val="00323B20"/>
    <w:rsid w:val="003270FC"/>
    <w:rsid w:val="00327E94"/>
    <w:rsid w:val="0033079A"/>
    <w:rsid w:val="00333DDF"/>
    <w:rsid w:val="00335477"/>
    <w:rsid w:val="003373D9"/>
    <w:rsid w:val="00342B31"/>
    <w:rsid w:val="00353274"/>
    <w:rsid w:val="00353C77"/>
    <w:rsid w:val="003540A1"/>
    <w:rsid w:val="00362D67"/>
    <w:rsid w:val="00364748"/>
    <w:rsid w:val="00365888"/>
    <w:rsid w:val="00366ECC"/>
    <w:rsid w:val="00371492"/>
    <w:rsid w:val="00376184"/>
    <w:rsid w:val="00380580"/>
    <w:rsid w:val="00387970"/>
    <w:rsid w:val="00394C68"/>
    <w:rsid w:val="00396078"/>
    <w:rsid w:val="003A108F"/>
    <w:rsid w:val="003A7BDB"/>
    <w:rsid w:val="003B38D2"/>
    <w:rsid w:val="003B7900"/>
    <w:rsid w:val="003C0F83"/>
    <w:rsid w:val="003D17F9"/>
    <w:rsid w:val="003D7CBE"/>
    <w:rsid w:val="003E57AF"/>
    <w:rsid w:val="003E7A6C"/>
    <w:rsid w:val="003F4738"/>
    <w:rsid w:val="003F6826"/>
    <w:rsid w:val="003F6F71"/>
    <w:rsid w:val="0040134C"/>
    <w:rsid w:val="00413927"/>
    <w:rsid w:val="0041495D"/>
    <w:rsid w:val="00420FEC"/>
    <w:rsid w:val="00425B7C"/>
    <w:rsid w:val="00425BE8"/>
    <w:rsid w:val="00426468"/>
    <w:rsid w:val="00430833"/>
    <w:rsid w:val="00434917"/>
    <w:rsid w:val="00435AC4"/>
    <w:rsid w:val="00443649"/>
    <w:rsid w:val="00443A3C"/>
    <w:rsid w:val="00452DCB"/>
    <w:rsid w:val="00460EED"/>
    <w:rsid w:val="004641F5"/>
    <w:rsid w:val="004676AE"/>
    <w:rsid w:val="0047029A"/>
    <w:rsid w:val="004741C4"/>
    <w:rsid w:val="0047625E"/>
    <w:rsid w:val="0047627E"/>
    <w:rsid w:val="00476B3D"/>
    <w:rsid w:val="00477F6C"/>
    <w:rsid w:val="004810F3"/>
    <w:rsid w:val="00485852"/>
    <w:rsid w:val="004867E2"/>
    <w:rsid w:val="004902FA"/>
    <w:rsid w:val="00492829"/>
    <w:rsid w:val="00496B94"/>
    <w:rsid w:val="004A096F"/>
    <w:rsid w:val="004A0FA7"/>
    <w:rsid w:val="004A1690"/>
    <w:rsid w:val="004A2CD4"/>
    <w:rsid w:val="004A32C3"/>
    <w:rsid w:val="004A7101"/>
    <w:rsid w:val="004A788C"/>
    <w:rsid w:val="004C1016"/>
    <w:rsid w:val="004D4FA8"/>
    <w:rsid w:val="004D77FF"/>
    <w:rsid w:val="004E0820"/>
    <w:rsid w:val="004F2684"/>
    <w:rsid w:val="004F28F5"/>
    <w:rsid w:val="004F3AA0"/>
    <w:rsid w:val="004F5DED"/>
    <w:rsid w:val="004F7AFF"/>
    <w:rsid w:val="0050613C"/>
    <w:rsid w:val="00507B26"/>
    <w:rsid w:val="00517DBF"/>
    <w:rsid w:val="00522767"/>
    <w:rsid w:val="005305C7"/>
    <w:rsid w:val="00531BB7"/>
    <w:rsid w:val="00533B8D"/>
    <w:rsid w:val="00543C9E"/>
    <w:rsid w:val="005457D5"/>
    <w:rsid w:val="00550156"/>
    <w:rsid w:val="0055198C"/>
    <w:rsid w:val="00561352"/>
    <w:rsid w:val="005641C8"/>
    <w:rsid w:val="00564243"/>
    <w:rsid w:val="0057186A"/>
    <w:rsid w:val="00572BB2"/>
    <w:rsid w:val="00573A25"/>
    <w:rsid w:val="00573D48"/>
    <w:rsid w:val="00574083"/>
    <w:rsid w:val="00580706"/>
    <w:rsid w:val="00583A09"/>
    <w:rsid w:val="00584750"/>
    <w:rsid w:val="00586D57"/>
    <w:rsid w:val="005902F8"/>
    <w:rsid w:val="00593EE0"/>
    <w:rsid w:val="00596E15"/>
    <w:rsid w:val="00597F18"/>
    <w:rsid w:val="005A0D19"/>
    <w:rsid w:val="005B2E0D"/>
    <w:rsid w:val="005D1645"/>
    <w:rsid w:val="005D2E42"/>
    <w:rsid w:val="005E0544"/>
    <w:rsid w:val="005E0FAB"/>
    <w:rsid w:val="005E2B51"/>
    <w:rsid w:val="005F38A1"/>
    <w:rsid w:val="005F4768"/>
    <w:rsid w:val="005F77E3"/>
    <w:rsid w:val="00601FC7"/>
    <w:rsid w:val="00603EA6"/>
    <w:rsid w:val="0060508D"/>
    <w:rsid w:val="00615976"/>
    <w:rsid w:val="00615E8B"/>
    <w:rsid w:val="006164C2"/>
    <w:rsid w:val="00617DC8"/>
    <w:rsid w:val="00621775"/>
    <w:rsid w:val="00627DF9"/>
    <w:rsid w:val="00633BB0"/>
    <w:rsid w:val="0063427B"/>
    <w:rsid w:val="00642471"/>
    <w:rsid w:val="00647DA4"/>
    <w:rsid w:val="00652F4E"/>
    <w:rsid w:val="00653F30"/>
    <w:rsid w:val="00654A63"/>
    <w:rsid w:val="006603E3"/>
    <w:rsid w:val="00671501"/>
    <w:rsid w:val="006721AF"/>
    <w:rsid w:val="0067230D"/>
    <w:rsid w:val="006727F5"/>
    <w:rsid w:val="00672899"/>
    <w:rsid w:val="00672C2F"/>
    <w:rsid w:val="00673F21"/>
    <w:rsid w:val="00680E39"/>
    <w:rsid w:val="0068312F"/>
    <w:rsid w:val="00690BF4"/>
    <w:rsid w:val="00695B1E"/>
    <w:rsid w:val="00696A5D"/>
    <w:rsid w:val="006A0046"/>
    <w:rsid w:val="006A45AE"/>
    <w:rsid w:val="006A4949"/>
    <w:rsid w:val="006A65B9"/>
    <w:rsid w:val="006A7B0E"/>
    <w:rsid w:val="006B5200"/>
    <w:rsid w:val="006B5FD1"/>
    <w:rsid w:val="006B6561"/>
    <w:rsid w:val="006C11A0"/>
    <w:rsid w:val="006C304A"/>
    <w:rsid w:val="006C699F"/>
    <w:rsid w:val="006D3D60"/>
    <w:rsid w:val="006D6582"/>
    <w:rsid w:val="006E128E"/>
    <w:rsid w:val="006E2990"/>
    <w:rsid w:val="006F229C"/>
    <w:rsid w:val="006F509F"/>
    <w:rsid w:val="006F5435"/>
    <w:rsid w:val="00703045"/>
    <w:rsid w:val="00707E1A"/>
    <w:rsid w:val="0071466F"/>
    <w:rsid w:val="0071757B"/>
    <w:rsid w:val="00720186"/>
    <w:rsid w:val="00726ACB"/>
    <w:rsid w:val="00727FCB"/>
    <w:rsid w:val="00737C94"/>
    <w:rsid w:val="00741613"/>
    <w:rsid w:val="00741B6A"/>
    <w:rsid w:val="00747B37"/>
    <w:rsid w:val="00751308"/>
    <w:rsid w:val="00756087"/>
    <w:rsid w:val="0076044F"/>
    <w:rsid w:val="00764BC6"/>
    <w:rsid w:val="00765E98"/>
    <w:rsid w:val="00767A8D"/>
    <w:rsid w:val="00777D18"/>
    <w:rsid w:val="007827ED"/>
    <w:rsid w:val="00783885"/>
    <w:rsid w:val="00783CE0"/>
    <w:rsid w:val="007931C9"/>
    <w:rsid w:val="00794EA0"/>
    <w:rsid w:val="00795457"/>
    <w:rsid w:val="007973D6"/>
    <w:rsid w:val="007A097D"/>
    <w:rsid w:val="007B029A"/>
    <w:rsid w:val="007D71AA"/>
    <w:rsid w:val="007E359D"/>
    <w:rsid w:val="007E3A01"/>
    <w:rsid w:val="007E5816"/>
    <w:rsid w:val="007E7223"/>
    <w:rsid w:val="007F0BBE"/>
    <w:rsid w:val="007F162D"/>
    <w:rsid w:val="007F2D75"/>
    <w:rsid w:val="00820283"/>
    <w:rsid w:val="008264EB"/>
    <w:rsid w:val="00826860"/>
    <w:rsid w:val="00837B6B"/>
    <w:rsid w:val="00842FB7"/>
    <w:rsid w:val="008441D7"/>
    <w:rsid w:val="00846A2D"/>
    <w:rsid w:val="00846E7A"/>
    <w:rsid w:val="00851541"/>
    <w:rsid w:val="0085284B"/>
    <w:rsid w:val="008573EE"/>
    <w:rsid w:val="008666B8"/>
    <w:rsid w:val="00870FC8"/>
    <w:rsid w:val="00871B2D"/>
    <w:rsid w:val="00884F25"/>
    <w:rsid w:val="00885093"/>
    <w:rsid w:val="00885575"/>
    <w:rsid w:val="00895D7D"/>
    <w:rsid w:val="008A378A"/>
    <w:rsid w:val="008A7234"/>
    <w:rsid w:val="008A7CB9"/>
    <w:rsid w:val="008C074C"/>
    <w:rsid w:val="008C1B67"/>
    <w:rsid w:val="008C5EEF"/>
    <w:rsid w:val="008D1A5C"/>
    <w:rsid w:val="008D4150"/>
    <w:rsid w:val="008D5192"/>
    <w:rsid w:val="008D5603"/>
    <w:rsid w:val="008E2B7C"/>
    <w:rsid w:val="008E6E50"/>
    <w:rsid w:val="008F4C7E"/>
    <w:rsid w:val="008F7124"/>
    <w:rsid w:val="00902A34"/>
    <w:rsid w:val="009042EF"/>
    <w:rsid w:val="00906D27"/>
    <w:rsid w:val="00916F11"/>
    <w:rsid w:val="00917E71"/>
    <w:rsid w:val="00921C9F"/>
    <w:rsid w:val="009267F4"/>
    <w:rsid w:val="00927698"/>
    <w:rsid w:val="009355A7"/>
    <w:rsid w:val="00943FB8"/>
    <w:rsid w:val="009451A6"/>
    <w:rsid w:val="00961CDD"/>
    <w:rsid w:val="00962924"/>
    <w:rsid w:val="00963935"/>
    <w:rsid w:val="0096411F"/>
    <w:rsid w:val="00966CDB"/>
    <w:rsid w:val="009679D4"/>
    <w:rsid w:val="00967D6A"/>
    <w:rsid w:val="0097644F"/>
    <w:rsid w:val="009825A0"/>
    <w:rsid w:val="00982861"/>
    <w:rsid w:val="0098296B"/>
    <w:rsid w:val="00983721"/>
    <w:rsid w:val="0099237D"/>
    <w:rsid w:val="00995951"/>
    <w:rsid w:val="009A23B8"/>
    <w:rsid w:val="009A43AA"/>
    <w:rsid w:val="009A6A70"/>
    <w:rsid w:val="009A6FF4"/>
    <w:rsid w:val="009A796E"/>
    <w:rsid w:val="009B0796"/>
    <w:rsid w:val="009B1CDF"/>
    <w:rsid w:val="009B45DB"/>
    <w:rsid w:val="009B6E47"/>
    <w:rsid w:val="009C4D64"/>
    <w:rsid w:val="009C6C13"/>
    <w:rsid w:val="009D7609"/>
    <w:rsid w:val="009D7661"/>
    <w:rsid w:val="009D7B06"/>
    <w:rsid w:val="009E38D7"/>
    <w:rsid w:val="009E5710"/>
    <w:rsid w:val="009E5B4B"/>
    <w:rsid w:val="009E71E7"/>
    <w:rsid w:val="009F4281"/>
    <w:rsid w:val="009F4C87"/>
    <w:rsid w:val="009F7DAB"/>
    <w:rsid w:val="00A04237"/>
    <w:rsid w:val="00A12455"/>
    <w:rsid w:val="00A13607"/>
    <w:rsid w:val="00A14948"/>
    <w:rsid w:val="00A21743"/>
    <w:rsid w:val="00A217A7"/>
    <w:rsid w:val="00A25693"/>
    <w:rsid w:val="00A30A78"/>
    <w:rsid w:val="00A36A30"/>
    <w:rsid w:val="00A44D6D"/>
    <w:rsid w:val="00A4512D"/>
    <w:rsid w:val="00A50581"/>
    <w:rsid w:val="00A50ADD"/>
    <w:rsid w:val="00A51EE6"/>
    <w:rsid w:val="00A5499F"/>
    <w:rsid w:val="00A56831"/>
    <w:rsid w:val="00A66C82"/>
    <w:rsid w:val="00A67E42"/>
    <w:rsid w:val="00A705AF"/>
    <w:rsid w:val="00A71B7A"/>
    <w:rsid w:val="00A730A1"/>
    <w:rsid w:val="00A862AE"/>
    <w:rsid w:val="00A8660A"/>
    <w:rsid w:val="00A8683A"/>
    <w:rsid w:val="00A86B1D"/>
    <w:rsid w:val="00A90FB2"/>
    <w:rsid w:val="00A9372E"/>
    <w:rsid w:val="00A952FB"/>
    <w:rsid w:val="00AA556B"/>
    <w:rsid w:val="00AA604C"/>
    <w:rsid w:val="00AB736E"/>
    <w:rsid w:val="00AC0789"/>
    <w:rsid w:val="00AC1AA3"/>
    <w:rsid w:val="00AC23C0"/>
    <w:rsid w:val="00AC727D"/>
    <w:rsid w:val="00AD0699"/>
    <w:rsid w:val="00AD2F26"/>
    <w:rsid w:val="00AD31AE"/>
    <w:rsid w:val="00AD3B42"/>
    <w:rsid w:val="00AD5F04"/>
    <w:rsid w:val="00AE5F36"/>
    <w:rsid w:val="00AF146F"/>
    <w:rsid w:val="00AF2DFA"/>
    <w:rsid w:val="00B0053C"/>
    <w:rsid w:val="00B03A67"/>
    <w:rsid w:val="00B074FC"/>
    <w:rsid w:val="00B07EB4"/>
    <w:rsid w:val="00B10455"/>
    <w:rsid w:val="00B1432D"/>
    <w:rsid w:val="00B16E02"/>
    <w:rsid w:val="00B226D6"/>
    <w:rsid w:val="00B24480"/>
    <w:rsid w:val="00B24744"/>
    <w:rsid w:val="00B40E86"/>
    <w:rsid w:val="00B42851"/>
    <w:rsid w:val="00B436B9"/>
    <w:rsid w:val="00B44123"/>
    <w:rsid w:val="00B50A29"/>
    <w:rsid w:val="00B56F23"/>
    <w:rsid w:val="00B57300"/>
    <w:rsid w:val="00B64B14"/>
    <w:rsid w:val="00B64E55"/>
    <w:rsid w:val="00B6511F"/>
    <w:rsid w:val="00B712E8"/>
    <w:rsid w:val="00B771BD"/>
    <w:rsid w:val="00B91D3C"/>
    <w:rsid w:val="00B93A40"/>
    <w:rsid w:val="00B94280"/>
    <w:rsid w:val="00BA29B3"/>
    <w:rsid w:val="00BA7197"/>
    <w:rsid w:val="00BA71E7"/>
    <w:rsid w:val="00BB37B7"/>
    <w:rsid w:val="00BB7BD9"/>
    <w:rsid w:val="00BC02AF"/>
    <w:rsid w:val="00BC6B1A"/>
    <w:rsid w:val="00BC6CCD"/>
    <w:rsid w:val="00BD2235"/>
    <w:rsid w:val="00BE0FB9"/>
    <w:rsid w:val="00BE375E"/>
    <w:rsid w:val="00BE3CC6"/>
    <w:rsid w:val="00BF34CD"/>
    <w:rsid w:val="00BF480D"/>
    <w:rsid w:val="00BF4DFC"/>
    <w:rsid w:val="00BF7587"/>
    <w:rsid w:val="00C01C29"/>
    <w:rsid w:val="00C01D56"/>
    <w:rsid w:val="00C039D6"/>
    <w:rsid w:val="00C04199"/>
    <w:rsid w:val="00C056B2"/>
    <w:rsid w:val="00C07A28"/>
    <w:rsid w:val="00C14AA9"/>
    <w:rsid w:val="00C16705"/>
    <w:rsid w:val="00C21DD3"/>
    <w:rsid w:val="00C22D05"/>
    <w:rsid w:val="00C24C93"/>
    <w:rsid w:val="00C41F90"/>
    <w:rsid w:val="00C46DF5"/>
    <w:rsid w:val="00C507E4"/>
    <w:rsid w:val="00C50DAB"/>
    <w:rsid w:val="00C537B6"/>
    <w:rsid w:val="00C617E9"/>
    <w:rsid w:val="00C66FAD"/>
    <w:rsid w:val="00C87174"/>
    <w:rsid w:val="00C8748A"/>
    <w:rsid w:val="00C92F64"/>
    <w:rsid w:val="00C93BFE"/>
    <w:rsid w:val="00C94930"/>
    <w:rsid w:val="00C95755"/>
    <w:rsid w:val="00CA3737"/>
    <w:rsid w:val="00CA3780"/>
    <w:rsid w:val="00CA5DA7"/>
    <w:rsid w:val="00CA5F08"/>
    <w:rsid w:val="00CA7A1B"/>
    <w:rsid w:val="00CB0DDC"/>
    <w:rsid w:val="00CB156B"/>
    <w:rsid w:val="00CB4C13"/>
    <w:rsid w:val="00CB577E"/>
    <w:rsid w:val="00CB5B1A"/>
    <w:rsid w:val="00CB675F"/>
    <w:rsid w:val="00CB6B9B"/>
    <w:rsid w:val="00CC0BFF"/>
    <w:rsid w:val="00CC455F"/>
    <w:rsid w:val="00CC79C4"/>
    <w:rsid w:val="00CD0C70"/>
    <w:rsid w:val="00CD34DC"/>
    <w:rsid w:val="00CD5433"/>
    <w:rsid w:val="00CD7E37"/>
    <w:rsid w:val="00CE1346"/>
    <w:rsid w:val="00CE1A60"/>
    <w:rsid w:val="00CE3658"/>
    <w:rsid w:val="00CF1008"/>
    <w:rsid w:val="00D02886"/>
    <w:rsid w:val="00D04189"/>
    <w:rsid w:val="00D138CD"/>
    <w:rsid w:val="00D16223"/>
    <w:rsid w:val="00D20713"/>
    <w:rsid w:val="00D20CFC"/>
    <w:rsid w:val="00D22D32"/>
    <w:rsid w:val="00D2518C"/>
    <w:rsid w:val="00D262B3"/>
    <w:rsid w:val="00D26851"/>
    <w:rsid w:val="00D2754E"/>
    <w:rsid w:val="00D30EC1"/>
    <w:rsid w:val="00D32611"/>
    <w:rsid w:val="00D33167"/>
    <w:rsid w:val="00D335C1"/>
    <w:rsid w:val="00D336CE"/>
    <w:rsid w:val="00D34AD0"/>
    <w:rsid w:val="00D35C09"/>
    <w:rsid w:val="00D403F0"/>
    <w:rsid w:val="00D458E0"/>
    <w:rsid w:val="00D54FDA"/>
    <w:rsid w:val="00D61C96"/>
    <w:rsid w:val="00D67F34"/>
    <w:rsid w:val="00D71396"/>
    <w:rsid w:val="00D73717"/>
    <w:rsid w:val="00D81C6C"/>
    <w:rsid w:val="00D84F72"/>
    <w:rsid w:val="00D908B7"/>
    <w:rsid w:val="00D917BB"/>
    <w:rsid w:val="00D93A8C"/>
    <w:rsid w:val="00DA1DB3"/>
    <w:rsid w:val="00DA4058"/>
    <w:rsid w:val="00DB0CE9"/>
    <w:rsid w:val="00DC4295"/>
    <w:rsid w:val="00DC73AA"/>
    <w:rsid w:val="00DD0878"/>
    <w:rsid w:val="00DD0D7C"/>
    <w:rsid w:val="00DD1480"/>
    <w:rsid w:val="00DD1806"/>
    <w:rsid w:val="00DD378E"/>
    <w:rsid w:val="00DD4028"/>
    <w:rsid w:val="00DD5B70"/>
    <w:rsid w:val="00DE199A"/>
    <w:rsid w:val="00DE28BE"/>
    <w:rsid w:val="00DE5628"/>
    <w:rsid w:val="00DE59A1"/>
    <w:rsid w:val="00DE702F"/>
    <w:rsid w:val="00DE7D48"/>
    <w:rsid w:val="00DF0EEE"/>
    <w:rsid w:val="00DF0F5F"/>
    <w:rsid w:val="00DF1339"/>
    <w:rsid w:val="00DF133D"/>
    <w:rsid w:val="00DF2453"/>
    <w:rsid w:val="00DF2934"/>
    <w:rsid w:val="00DF2FF7"/>
    <w:rsid w:val="00DF782A"/>
    <w:rsid w:val="00E00A5F"/>
    <w:rsid w:val="00E06ACB"/>
    <w:rsid w:val="00E13AD5"/>
    <w:rsid w:val="00E20D5A"/>
    <w:rsid w:val="00E228B6"/>
    <w:rsid w:val="00E26508"/>
    <w:rsid w:val="00E36151"/>
    <w:rsid w:val="00E45CB1"/>
    <w:rsid w:val="00E45D14"/>
    <w:rsid w:val="00E50550"/>
    <w:rsid w:val="00E52DFE"/>
    <w:rsid w:val="00E65DF0"/>
    <w:rsid w:val="00E661A1"/>
    <w:rsid w:val="00E7099F"/>
    <w:rsid w:val="00E772AB"/>
    <w:rsid w:val="00E8287C"/>
    <w:rsid w:val="00E83C5B"/>
    <w:rsid w:val="00EA221D"/>
    <w:rsid w:val="00EB3906"/>
    <w:rsid w:val="00EC3910"/>
    <w:rsid w:val="00EC50DC"/>
    <w:rsid w:val="00ED14BB"/>
    <w:rsid w:val="00ED3FC7"/>
    <w:rsid w:val="00ED47A2"/>
    <w:rsid w:val="00ED5B7F"/>
    <w:rsid w:val="00EE2CDD"/>
    <w:rsid w:val="00EE36CC"/>
    <w:rsid w:val="00EF00D3"/>
    <w:rsid w:val="00EF034D"/>
    <w:rsid w:val="00EF480D"/>
    <w:rsid w:val="00F151D2"/>
    <w:rsid w:val="00F15390"/>
    <w:rsid w:val="00F22C97"/>
    <w:rsid w:val="00F25365"/>
    <w:rsid w:val="00F255EF"/>
    <w:rsid w:val="00F26725"/>
    <w:rsid w:val="00F27318"/>
    <w:rsid w:val="00F32D21"/>
    <w:rsid w:val="00F3594A"/>
    <w:rsid w:val="00F367E9"/>
    <w:rsid w:val="00F410B0"/>
    <w:rsid w:val="00F46BEA"/>
    <w:rsid w:val="00F60DB2"/>
    <w:rsid w:val="00F60DF4"/>
    <w:rsid w:val="00F620E5"/>
    <w:rsid w:val="00F65D3A"/>
    <w:rsid w:val="00F668AB"/>
    <w:rsid w:val="00F6779B"/>
    <w:rsid w:val="00F72136"/>
    <w:rsid w:val="00F8060C"/>
    <w:rsid w:val="00F84137"/>
    <w:rsid w:val="00F84ECB"/>
    <w:rsid w:val="00F865DE"/>
    <w:rsid w:val="00F911C8"/>
    <w:rsid w:val="00F9158F"/>
    <w:rsid w:val="00F93B20"/>
    <w:rsid w:val="00F94D5B"/>
    <w:rsid w:val="00FB5F68"/>
    <w:rsid w:val="00FC128F"/>
    <w:rsid w:val="00FC274A"/>
    <w:rsid w:val="00FC3C7F"/>
    <w:rsid w:val="00FD22AF"/>
    <w:rsid w:val="00FD3DB6"/>
    <w:rsid w:val="00FE3A7C"/>
    <w:rsid w:val="00FE7C90"/>
    <w:rsid w:val="00FF0F5E"/>
    <w:rsid w:val="00FF132A"/>
    <w:rsid w:val="00FF2082"/>
    <w:rsid w:val="00FF3453"/>
    <w:rsid w:val="00FF5344"/>
    <w:rsid w:val="00FF7F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CABEDAD"/>
  <w15:docId w15:val="{E7A9E739-B44D-48B3-A6E6-34FB889A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827"/>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CB4C13"/>
    <w:pPr>
      <w:spacing w:before="300" w:after="100" w:line="271" w:lineRule="auto"/>
      <w:outlineLvl w:val="1"/>
    </w:pPr>
    <w:rPr>
      <w:b/>
      <w:color w:val="57259F"/>
      <w:sz w:val="25"/>
      <w:szCs w:val="28"/>
    </w:rPr>
  </w:style>
  <w:style w:type="paragraph" w:styleId="Heading3">
    <w:name w:val="heading 3"/>
    <w:basedOn w:val="Normal"/>
    <w:next w:val="Normal"/>
    <w:link w:val="Heading3Char"/>
    <w:uiPriority w:val="9"/>
    <w:unhideWhenUsed/>
    <w:qFormat/>
    <w:rsid w:val="00CB4C13"/>
    <w:pPr>
      <w:spacing w:before="200" w:after="100" w:line="271" w:lineRule="auto"/>
      <w:outlineLvl w:val="2"/>
    </w:pPr>
    <w:rPr>
      <w:iCs/>
      <w:color w:val="57259F"/>
      <w:spacing w:val="5"/>
      <w:sz w:val="24"/>
      <w:szCs w:val="26"/>
    </w:rPr>
  </w:style>
  <w:style w:type="paragraph" w:styleId="Heading4">
    <w:name w:val="heading 4"/>
    <w:basedOn w:val="Normal"/>
    <w:next w:val="Normal"/>
    <w:link w:val="Heading4Char"/>
    <w:uiPriority w:val="9"/>
    <w:unhideWhenUsed/>
    <w:qFormat/>
    <w:rsid w:val="00CB4C13"/>
    <w:pPr>
      <w:spacing w:after="100" w:line="271" w:lineRule="auto"/>
      <w:outlineLvl w:val="3"/>
    </w:pPr>
    <w:rPr>
      <w:bCs/>
      <w:caps/>
      <w:color w:val="57259F"/>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eastAsiaTheme="minorEastAsia" w:hAnsi="Arial"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eastAsiaTheme="minorEastAsia" w:hAnsi="Tahoma" w:cs="Tahoma"/>
      <w:sz w:val="16"/>
      <w:szCs w:val="16"/>
      <w:lang w:val="en-GB" w:eastAsia="en-GB"/>
    </w:rPr>
  </w:style>
  <w:style w:type="paragraph" w:styleId="Header">
    <w:name w:val="header"/>
    <w:basedOn w:val="Normal"/>
    <w:link w:val="HeaderChar"/>
    <w:uiPriority w:val="99"/>
    <w:rsid w:val="00A6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qFormat/>
    <w:rsid w:val="00672899"/>
    <w:pPr>
      <w:numPr>
        <w:numId w:val="1"/>
      </w:numPr>
      <w:spacing w:after="120"/>
    </w:pPr>
  </w:style>
  <w:style w:type="paragraph" w:customStyle="1" w:styleId="Heading1Black">
    <w:name w:val="Heading 1 Black"/>
    <w:basedOn w:val="Heading1"/>
    <w:next w:val="Normal1stParaafterHeading1"/>
    <w:autoRedefine/>
    <w:qFormat/>
    <w:rsid w:val="00FF0F5E"/>
    <w:pPr>
      <w:pBdr>
        <w:left w:val="single" w:sz="48" w:space="8" w:color="57259F"/>
      </w:pBdr>
      <w:spacing w:after="120"/>
      <w:ind w:left="284"/>
    </w:pPr>
    <w:rPr>
      <w:bCs/>
      <w:caps/>
      <w:color w:val="000000" w:themeColor="text1"/>
      <w:sz w:val="32"/>
      <w:szCs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2"/>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672899"/>
    <w:pPr>
      <w:pBdr>
        <w:top w:val="single" w:sz="4" w:space="5" w:color="00B0F0"/>
        <w:left w:val="single" w:sz="4" w:space="5" w:color="00B0F0"/>
        <w:bottom w:val="single" w:sz="4" w:space="5" w:color="00B0F0"/>
        <w:right w:val="single" w:sz="4" w:space="5" w:color="00B0F0"/>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672899"/>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672899"/>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CB4C13"/>
    <w:rPr>
      <w:rFonts w:ascii="Arial" w:hAnsi="Arial" w:cs="Arial"/>
      <w:b/>
      <w:color w:val="57259F"/>
      <w:sz w:val="25"/>
      <w:szCs w:val="28"/>
    </w:rPr>
  </w:style>
  <w:style w:type="character" w:customStyle="1" w:styleId="Heading3Char">
    <w:name w:val="Heading 3 Char"/>
    <w:basedOn w:val="DefaultParagraphFont"/>
    <w:link w:val="Heading3"/>
    <w:uiPriority w:val="9"/>
    <w:rsid w:val="00CB4C13"/>
    <w:rPr>
      <w:rFonts w:ascii="Arial" w:hAnsi="Arial" w:cs="Arial"/>
      <w:iCs/>
      <w:color w:val="57259F"/>
      <w:spacing w:val="5"/>
      <w:sz w:val="24"/>
      <w:szCs w:val="26"/>
    </w:rPr>
  </w:style>
  <w:style w:type="character" w:customStyle="1" w:styleId="Heading4Char">
    <w:name w:val="Heading 4 Char"/>
    <w:basedOn w:val="DefaultParagraphFont"/>
    <w:link w:val="Heading4"/>
    <w:uiPriority w:val="9"/>
    <w:rsid w:val="00CB4C13"/>
    <w:rPr>
      <w:rFonts w:ascii="Arial" w:hAnsi="Arial" w:cs="Arial"/>
      <w:bCs/>
      <w:caps/>
      <w:color w:val="57259F"/>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3"/>
      </w:numPr>
      <w:spacing w:after="100"/>
      <w:ind w:left="714" w:hanging="357"/>
    </w:pPr>
    <w:rPr>
      <w:lang w:val="en"/>
    </w:rPr>
  </w:style>
  <w:style w:type="paragraph" w:customStyle="1" w:styleId="BulletedList">
    <w:name w:val="Bulleted List"/>
    <w:basedOn w:val="Normal"/>
    <w:qFormat/>
    <w:rsid w:val="001F1297"/>
    <w:pPr>
      <w:numPr>
        <w:numId w:val="4"/>
      </w:numPr>
      <w:spacing w:after="0"/>
      <w:contextualSpacing/>
    </w:pPr>
    <w:rPr>
      <w:lang w:val="en"/>
    </w:rPr>
  </w:style>
  <w:style w:type="paragraph" w:customStyle="1" w:styleId="Heading2Numbered">
    <w:name w:val="Heading 2 Numbered"/>
    <w:basedOn w:val="Heading2"/>
    <w:qFormat/>
    <w:rsid w:val="006164C2"/>
    <w:pPr>
      <w:numPr>
        <w:numId w:val="5"/>
      </w:numPr>
    </w:pPr>
    <w:rPr>
      <w:lang w:val="en"/>
    </w:rPr>
  </w:style>
  <w:style w:type="paragraph" w:customStyle="1" w:styleId="Heading3Numbered">
    <w:name w:val="Heading 3 Numbered"/>
    <w:basedOn w:val="Heading3"/>
    <w:qFormat/>
    <w:rsid w:val="006164C2"/>
    <w:pPr>
      <w:numPr>
        <w:numId w:val="6"/>
      </w:numPr>
    </w:pPr>
  </w:style>
  <w:style w:type="paragraph" w:customStyle="1" w:styleId="Heading4Numbered">
    <w:name w:val="Heading 4 Numbered"/>
    <w:basedOn w:val="Heading4"/>
    <w:qFormat/>
    <w:rsid w:val="006164C2"/>
    <w:pPr>
      <w:numPr>
        <w:numId w:val="7"/>
      </w:numPr>
    </w:pPr>
  </w:style>
  <w:style w:type="paragraph" w:customStyle="1" w:styleId="Boxshadedcolourbackground">
    <w:name w:val="Box shaded colour background"/>
    <w:basedOn w:val="Normal"/>
    <w:qFormat/>
    <w:rsid w:val="00F9158F"/>
    <w:pPr>
      <w:pBdr>
        <w:top w:val="single" w:sz="4" w:space="8" w:color="F2F2F2"/>
        <w:left w:val="single" w:sz="4" w:space="8" w:color="F2F2F2"/>
        <w:bottom w:val="single" w:sz="4" w:space="8" w:color="F2F2F2"/>
        <w:right w:val="single" w:sz="4" w:space="8" w:color="F2F2F2"/>
      </w:pBdr>
      <w:shd w:val="clear" w:color="auto" w:fill="ECE5F5"/>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F15390"/>
    <w:pPr>
      <w:pBdr>
        <w:top w:val="single" w:sz="4" w:space="8" w:color="573393"/>
        <w:bottom w:val="single" w:sz="4" w:space="8" w:color="573393"/>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F15390"/>
    <w:pPr>
      <w:pBdr>
        <w:top w:val="single" w:sz="4" w:space="8" w:color="573393"/>
        <w:left w:val="single" w:sz="4" w:space="8" w:color="573393"/>
        <w:bottom w:val="single" w:sz="4" w:space="8" w:color="573393"/>
        <w:right w:val="single" w:sz="4" w:space="8" w:color="573393"/>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CD0C70"/>
    <w:pPr>
      <w:pBdr>
        <w:top w:val="single" w:sz="8" w:space="6" w:color="57259F"/>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561352"/>
    <w:pPr>
      <w:spacing w:after="100"/>
      <w:ind w:left="210"/>
    </w:pPr>
  </w:style>
  <w:style w:type="paragraph" w:customStyle="1" w:styleId="Heading1option2">
    <w:name w:val="Heading 1 option 2"/>
    <w:basedOn w:val="Heading1Black"/>
    <w:qFormat/>
    <w:rsid w:val="00561352"/>
    <w:pPr>
      <w:pBdr>
        <w:left w:val="none" w:sz="0" w:space="0" w:color="auto"/>
      </w:pBdr>
      <w:ind w:left="0"/>
    </w:pPr>
    <w:rPr>
      <w:caps w:val="0"/>
      <w:color w:val="57259F"/>
      <w:sz w:val="36"/>
    </w:r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paragraph" w:styleId="BodyText2">
    <w:name w:val="Body Text 2"/>
    <w:basedOn w:val="Normal"/>
    <w:link w:val="BodyText2Char"/>
    <w:rsid w:val="005E0FAB"/>
    <w:pPr>
      <w:spacing w:after="120" w:line="480" w:lineRule="auto"/>
    </w:pPr>
  </w:style>
  <w:style w:type="character" w:customStyle="1" w:styleId="BodyText2Char">
    <w:name w:val="Body Text 2 Char"/>
    <w:basedOn w:val="DefaultParagraphFont"/>
    <w:link w:val="BodyText2"/>
    <w:rsid w:val="005E0FAB"/>
    <w:rPr>
      <w:rFonts w:ascii="Arial" w:hAnsi="Arial" w:cs="Arial"/>
      <w:sz w:val="21"/>
      <w:szCs w:val="20"/>
    </w:rPr>
  </w:style>
  <w:style w:type="paragraph" w:styleId="FootnoteText">
    <w:name w:val="footnote text"/>
    <w:basedOn w:val="Normal"/>
    <w:link w:val="FootnoteTextChar"/>
    <w:uiPriority w:val="99"/>
    <w:unhideWhenUsed/>
    <w:rsid w:val="005E0FAB"/>
    <w:pPr>
      <w:spacing w:after="0" w:line="240" w:lineRule="auto"/>
    </w:pPr>
    <w:rPr>
      <w:rFonts w:asciiTheme="minorHAnsi" w:eastAsiaTheme="minorEastAsia" w:hAnsiTheme="minorHAnsi" w:cstheme="minorBidi"/>
      <w:sz w:val="20"/>
      <w:lang w:eastAsia="zh-CN"/>
    </w:rPr>
  </w:style>
  <w:style w:type="character" w:customStyle="1" w:styleId="FootnoteTextChar">
    <w:name w:val="Footnote Text Char"/>
    <w:basedOn w:val="DefaultParagraphFont"/>
    <w:link w:val="FootnoteText"/>
    <w:uiPriority w:val="99"/>
    <w:rsid w:val="005E0FAB"/>
    <w:rPr>
      <w:rFonts w:asciiTheme="minorHAnsi" w:eastAsiaTheme="minorEastAsia" w:hAnsiTheme="minorHAnsi" w:cstheme="minorBidi"/>
      <w:sz w:val="20"/>
      <w:szCs w:val="20"/>
      <w:lang w:eastAsia="zh-CN"/>
    </w:rPr>
  </w:style>
  <w:style w:type="character" w:styleId="FootnoteReference">
    <w:name w:val="footnote reference"/>
    <w:basedOn w:val="DefaultParagraphFont"/>
    <w:uiPriority w:val="99"/>
    <w:unhideWhenUsed/>
    <w:rsid w:val="005E0FAB"/>
    <w:rPr>
      <w:vertAlign w:val="superscript"/>
    </w:rPr>
  </w:style>
  <w:style w:type="table" w:styleId="TableGrid">
    <w:name w:val="Table Grid"/>
    <w:basedOn w:val="TableNormal"/>
    <w:rsid w:val="002A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dateinfo">
    <w:name w:val="Issue date info"/>
    <w:basedOn w:val="Normal"/>
    <w:qFormat/>
    <w:rsid w:val="00B44123"/>
    <w:pPr>
      <w:spacing w:before="120" w:after="240" w:line="360" w:lineRule="auto"/>
      <w:jc w:val="right"/>
    </w:pPr>
  </w:style>
  <w:style w:type="paragraph" w:customStyle="1" w:styleId="Sub-bulletedlist">
    <w:name w:val="Sub-bulleted list"/>
    <w:basedOn w:val="BulletedList"/>
    <w:rsid w:val="0018425E"/>
    <w:pPr>
      <w:numPr>
        <w:numId w:val="8"/>
      </w:numPr>
      <w:spacing w:line="240" w:lineRule="auto"/>
      <w:ind w:left="1797" w:hanging="357"/>
    </w:pPr>
    <w:rPr>
      <w:lang w:eastAsia="en-US"/>
    </w:rPr>
  </w:style>
  <w:style w:type="paragraph" w:customStyle="1" w:styleId="Sub-bullettedlist">
    <w:name w:val="Sub-bulletted list"/>
    <w:basedOn w:val="BulletedList"/>
    <w:qFormat/>
    <w:rsid w:val="009F4C87"/>
    <w:pPr>
      <w:numPr>
        <w:numId w:val="9"/>
      </w:numPr>
      <w:spacing w:after="120"/>
      <w:contextualSpacing w:val="0"/>
    </w:pPr>
    <w:rPr>
      <w:i/>
    </w:rPr>
  </w:style>
  <w:style w:type="character" w:styleId="CommentReference">
    <w:name w:val="annotation reference"/>
    <w:basedOn w:val="DefaultParagraphFont"/>
    <w:rsid w:val="00E228B6"/>
    <w:rPr>
      <w:sz w:val="16"/>
      <w:szCs w:val="16"/>
    </w:rPr>
  </w:style>
  <w:style w:type="paragraph" w:styleId="CommentText">
    <w:name w:val="annotation text"/>
    <w:basedOn w:val="Normal"/>
    <w:link w:val="CommentTextChar"/>
    <w:rsid w:val="00E228B6"/>
    <w:pPr>
      <w:spacing w:line="240" w:lineRule="auto"/>
    </w:pPr>
    <w:rPr>
      <w:sz w:val="20"/>
    </w:rPr>
  </w:style>
  <w:style w:type="character" w:customStyle="1" w:styleId="CommentTextChar">
    <w:name w:val="Comment Text Char"/>
    <w:basedOn w:val="DefaultParagraphFont"/>
    <w:link w:val="CommentText"/>
    <w:rsid w:val="00E228B6"/>
    <w:rPr>
      <w:rFonts w:ascii="Arial" w:hAnsi="Arial" w:cs="Arial"/>
      <w:sz w:val="20"/>
      <w:szCs w:val="20"/>
    </w:rPr>
  </w:style>
  <w:style w:type="paragraph" w:styleId="CommentSubject">
    <w:name w:val="annotation subject"/>
    <w:basedOn w:val="CommentText"/>
    <w:next w:val="CommentText"/>
    <w:link w:val="CommentSubjectChar"/>
    <w:rsid w:val="00E228B6"/>
    <w:rPr>
      <w:b/>
      <w:bCs/>
    </w:rPr>
  </w:style>
  <w:style w:type="character" w:customStyle="1" w:styleId="CommentSubjectChar">
    <w:name w:val="Comment Subject Char"/>
    <w:basedOn w:val="CommentTextChar"/>
    <w:link w:val="CommentSubject"/>
    <w:rsid w:val="00E228B6"/>
    <w:rPr>
      <w:rFonts w:ascii="Arial" w:hAnsi="Arial" w:cs="Arial"/>
      <w:b/>
      <w:bCs/>
      <w:sz w:val="20"/>
      <w:szCs w:val="20"/>
    </w:rPr>
  </w:style>
  <w:style w:type="paragraph" w:styleId="Revision">
    <w:name w:val="Revision"/>
    <w:hidden/>
    <w:uiPriority w:val="99"/>
    <w:semiHidden/>
    <w:rsid w:val="00E228B6"/>
    <w:pPr>
      <w:spacing w:after="0" w:line="240" w:lineRule="auto"/>
    </w:pPr>
    <w:rPr>
      <w:rFonts w:ascii="Arial" w:hAnsi="Arial" w:cs="Arial"/>
      <w:sz w:val="21"/>
      <w:szCs w:val="20"/>
    </w:rPr>
  </w:style>
  <w:style w:type="paragraph" w:customStyle="1" w:styleId="Bodytext-bullet">
    <w:name w:val="Body text - bullet"/>
    <w:qFormat/>
    <w:rsid w:val="00826860"/>
    <w:pPr>
      <w:numPr>
        <w:numId w:val="10"/>
      </w:numPr>
      <w:tabs>
        <w:tab w:val="left" w:pos="709"/>
      </w:tabs>
      <w:spacing w:after="120" w:line="240" w:lineRule="auto"/>
    </w:pPr>
    <w:rPr>
      <w:rFonts w:ascii="Times New Roman" w:eastAsia="Times New Roman" w:hAnsi="Times New Roman" w:cs="Times New Roman"/>
      <w:szCs w:val="20"/>
      <w:lang w:val="en-US"/>
    </w:rPr>
  </w:style>
  <w:style w:type="paragraph" w:customStyle="1" w:styleId="Figureheading">
    <w:name w:val="Figure heading"/>
    <w:next w:val="Normal"/>
    <w:qFormat/>
    <w:rsid w:val="00F8060C"/>
    <w:pPr>
      <w:tabs>
        <w:tab w:val="left" w:pos="1134"/>
      </w:tabs>
      <w:spacing w:before="240" w:after="240" w:line="240" w:lineRule="auto"/>
      <w:ind w:left="1134" w:hanging="1134"/>
    </w:pPr>
    <w:rPr>
      <w:rFonts w:ascii="Times New Roman" w:eastAsia="Times New Roman" w:hAnsi="Times New Roman" w:cs="Times New Roman"/>
      <w:b/>
      <w:szCs w:val="20"/>
    </w:rPr>
  </w:style>
  <w:style w:type="paragraph" w:customStyle="1" w:styleId="Tabletext0">
    <w:name w:val="Table text"/>
    <w:qFormat/>
    <w:rsid w:val="00F8060C"/>
    <w:pPr>
      <w:spacing w:before="40" w:after="40" w:line="240" w:lineRule="auto"/>
      <w:jc w:val="center"/>
    </w:pPr>
    <w:rPr>
      <w:rFonts w:ascii="Times New Roman" w:eastAsia="Times New Roman" w:hAnsi="Times New Roman" w:cs="Times New Roman"/>
      <w:sz w:val="20"/>
      <w:szCs w:val="20"/>
      <w:lang w:val="en-US" w:eastAsia="ja-JP"/>
    </w:rPr>
  </w:style>
  <w:style w:type="paragraph" w:customStyle="1" w:styleId="Tablecolumnheading">
    <w:name w:val="Table column heading"/>
    <w:qFormat/>
    <w:rsid w:val="00F8060C"/>
    <w:pPr>
      <w:spacing w:before="60" w:after="60" w:line="240" w:lineRule="auto"/>
      <w:jc w:val="center"/>
    </w:pPr>
    <w:rPr>
      <w:rFonts w:ascii="Times New Roman" w:eastAsia="Times New Roman" w:hAnsi="Times New Roman" w:cs="Times New Roman"/>
      <w:b/>
      <w:sz w:val="20"/>
      <w:szCs w:val="20"/>
    </w:rPr>
  </w:style>
  <w:style w:type="paragraph" w:customStyle="1" w:styleId="Intropara">
    <w:name w:val="Intro para"/>
    <w:next w:val="BodyText"/>
    <w:qFormat/>
    <w:rsid w:val="006B5200"/>
    <w:pPr>
      <w:spacing w:before="240" w:after="240" w:line="240" w:lineRule="auto"/>
    </w:pPr>
    <w:rPr>
      <w:rFonts w:ascii="Times New Roman" w:eastAsia="Times New Roman" w:hAnsi="Times New Roman" w:cs="Times New Roman"/>
      <w:i/>
      <w:szCs w:val="20"/>
    </w:rPr>
  </w:style>
  <w:style w:type="paragraph" w:customStyle="1" w:styleId="TableDash">
    <w:name w:val="TableDash"/>
    <w:basedOn w:val="Normal"/>
    <w:rsid w:val="00D35C09"/>
    <w:pPr>
      <w:keepNext/>
      <w:numPr>
        <w:numId w:val="13"/>
      </w:numPr>
      <w:tabs>
        <w:tab w:val="clear" w:pos="216"/>
        <w:tab w:val="num" w:pos="432"/>
      </w:tabs>
      <w:spacing w:before="60" w:after="60" w:line="240" w:lineRule="auto"/>
    </w:pPr>
    <w:rPr>
      <w:rFonts w:ascii="Times New Roman" w:eastAsia="Times New Roman" w:hAnsi="Times New Roman" w:cs="Times New Roman"/>
      <w:color w:val="000000"/>
      <w:szCs w:val="21"/>
    </w:rPr>
  </w:style>
  <w:style w:type="paragraph" w:customStyle="1" w:styleId="BulletBeforeDash">
    <w:name w:val="BulletBeforeDash"/>
    <w:basedOn w:val="Normal"/>
    <w:rsid w:val="00D35C09"/>
    <w:pPr>
      <w:numPr>
        <w:numId w:val="14"/>
      </w:numPr>
      <w:spacing w:after="0" w:line="240" w:lineRule="auto"/>
    </w:pPr>
    <w:rPr>
      <w:rFonts w:ascii="Times New Roman" w:eastAsia="Times New Roman" w:hAnsi="Times New Roman" w:cs="Times New Roman"/>
      <w:color w:val="000000"/>
      <w:sz w:val="24"/>
    </w:rPr>
  </w:style>
  <w:style w:type="paragraph" w:customStyle="1" w:styleId="Dash">
    <w:name w:val="Dash"/>
    <w:basedOn w:val="Normal"/>
    <w:rsid w:val="00D35C09"/>
    <w:pPr>
      <w:numPr>
        <w:numId w:val="15"/>
      </w:numPr>
      <w:tabs>
        <w:tab w:val="clear" w:pos="216"/>
        <w:tab w:val="left" w:pos="720"/>
      </w:tabs>
      <w:spacing w:after="0" w:line="240" w:lineRule="auto"/>
      <w:ind w:left="720" w:hanging="360"/>
    </w:pPr>
    <w:rPr>
      <w:rFonts w:ascii="Times New Roman" w:eastAsia="Times New Roman" w:hAnsi="Times New Roman" w:cs="Times New Roman"/>
      <w:color w:val="000000"/>
      <w:sz w:val="24"/>
    </w:rPr>
  </w:style>
  <w:style w:type="paragraph" w:customStyle="1" w:styleId="DashLast">
    <w:name w:val="DashLast"/>
    <w:basedOn w:val="Dash"/>
    <w:rsid w:val="00D35C09"/>
    <w:pPr>
      <w:spacing w:after="120"/>
    </w:pPr>
  </w:style>
  <w:style w:type="paragraph" w:customStyle="1" w:styleId="NormalBeforeBullet">
    <w:name w:val="NormalBeforeBullet"/>
    <w:basedOn w:val="Normal"/>
    <w:link w:val="NormalBeforeBulletChar"/>
    <w:qFormat/>
    <w:rsid w:val="00D35C09"/>
    <w:pPr>
      <w:keepNext/>
      <w:spacing w:after="120" w:line="240" w:lineRule="auto"/>
    </w:pPr>
    <w:rPr>
      <w:rFonts w:ascii="Times New Roman" w:eastAsia="Times New Roman" w:hAnsi="Times New Roman" w:cs="Times New Roman"/>
      <w:color w:val="000000"/>
      <w:sz w:val="24"/>
    </w:rPr>
  </w:style>
  <w:style w:type="character" w:customStyle="1" w:styleId="NormalBeforeBulletChar">
    <w:name w:val="NormalBeforeBullet Char"/>
    <w:basedOn w:val="DefaultParagraphFont"/>
    <w:link w:val="NormalBeforeBullet"/>
    <w:rsid w:val="00D35C09"/>
    <w:rPr>
      <w:rFonts w:ascii="Times New Roman" w:eastAsia="Times New Roman" w:hAnsi="Times New Roman" w:cs="Times New Roman"/>
      <w:color w:val="000000"/>
      <w:sz w:val="24"/>
      <w:szCs w:val="20"/>
    </w:rPr>
  </w:style>
  <w:style w:type="paragraph" w:customStyle="1" w:styleId="FigureName">
    <w:name w:val="FigureName"/>
    <w:basedOn w:val="Normal"/>
    <w:next w:val="Normal"/>
    <w:rsid w:val="00A04237"/>
    <w:pPr>
      <w:keepNext/>
      <w:keepLines/>
      <w:tabs>
        <w:tab w:val="left" w:pos="1080"/>
      </w:tabs>
      <w:spacing w:before="120" w:after="120" w:line="240" w:lineRule="auto"/>
      <w:ind w:left="1077" w:hanging="1077"/>
    </w:pPr>
    <w:rPr>
      <w:rFonts w:ascii="Times New Roman" w:eastAsia="Times New Roman" w:hAnsi="Times New Roman" w:cs="Times New Roman"/>
      <w:b/>
      <w:bCs/>
      <w:color w:val="000000"/>
      <w:sz w:val="22"/>
    </w:rPr>
  </w:style>
  <w:style w:type="paragraph" w:customStyle="1" w:styleId="BoxText0">
    <w:name w:val="BoxText"/>
    <w:basedOn w:val="Normal"/>
    <w:qFormat/>
    <w:rsid w:val="00EC3910"/>
    <w:pPr>
      <w:pBdr>
        <w:top w:val="single" w:sz="4" w:space="4" w:color="000000"/>
        <w:left w:val="single" w:sz="4" w:space="4" w:color="000000"/>
        <w:bottom w:val="single" w:sz="4" w:space="4" w:color="000000"/>
        <w:right w:val="single" w:sz="4" w:space="4" w:color="000000"/>
      </w:pBdr>
      <w:spacing w:after="120" w:line="240" w:lineRule="auto"/>
    </w:pPr>
    <w:rPr>
      <w:rFonts w:ascii="Times New Roman" w:eastAsia="Times New Roman" w:hAnsi="Times New Roman" w:cs="Times New Roman"/>
      <w:color w:val="000000"/>
      <w:sz w:val="22"/>
    </w:rPr>
  </w:style>
  <w:style w:type="paragraph" w:customStyle="1" w:styleId="BoxNotes">
    <w:name w:val="BoxNotes"/>
    <w:basedOn w:val="BoxText0"/>
    <w:rsid w:val="00EC3910"/>
    <w:pPr>
      <w:spacing w:before="120" w:after="60"/>
    </w:pPr>
    <w:rPr>
      <w:sz w:val="18"/>
    </w:rPr>
  </w:style>
  <w:style w:type="paragraph" w:customStyle="1" w:styleId="BoxName">
    <w:name w:val="BoxName"/>
    <w:basedOn w:val="BoxText0"/>
    <w:rsid w:val="00EC3910"/>
    <w:pPr>
      <w:keepNext/>
      <w:spacing w:before="180"/>
      <w:ind w:left="1080" w:hanging="1080"/>
    </w:pPr>
    <w:rPr>
      <w:b/>
      <w:bCs/>
      <w:sz w:val="24"/>
    </w:rPr>
  </w:style>
  <w:style w:type="paragraph" w:customStyle="1" w:styleId="BoxBullet">
    <w:name w:val="BoxBullet"/>
    <w:basedOn w:val="BoxText0"/>
    <w:rsid w:val="00EC3910"/>
    <w:pPr>
      <w:numPr>
        <w:numId w:val="22"/>
      </w:numPr>
    </w:pPr>
  </w:style>
  <w:style w:type="paragraph" w:customStyle="1" w:styleId="TableText1">
    <w:name w:val="TableText"/>
    <w:basedOn w:val="Normal"/>
    <w:rsid w:val="00DF0F5F"/>
    <w:pPr>
      <w:keepNext/>
      <w:spacing w:before="60" w:after="60" w:line="240" w:lineRule="auto"/>
    </w:pPr>
    <w:rPr>
      <w:rFonts w:ascii="Calibri" w:eastAsia="Times New Roman" w:hAnsi="Calibri" w:cs="Times New Roman"/>
      <w:color w:val="000000"/>
      <w:szCs w:val="21"/>
    </w:rPr>
  </w:style>
  <w:style w:type="paragraph" w:customStyle="1" w:styleId="TableHeading">
    <w:name w:val="TableHeading"/>
    <w:basedOn w:val="TableText1"/>
    <w:rsid w:val="00DF0F5F"/>
    <w:rPr>
      <w:b/>
      <w:bCs/>
    </w:rPr>
  </w:style>
  <w:style w:type="paragraph" w:styleId="NormalWeb">
    <w:name w:val="Normal (Web)"/>
    <w:basedOn w:val="Normal"/>
    <w:uiPriority w:val="99"/>
    <w:unhideWhenUsed/>
    <w:rsid w:val="00DF0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List Paragraph11 Char,Recommendation Char,Bulletr List Paragraph Char,FooterText Char,List Paragraph2 Char,List Paragraph21 Char,Paragraphe de liste1 Char,numbered Char,列出段落 Char,列出段落1 Char,Bullet point Char"/>
    <w:basedOn w:val="DefaultParagraphFont"/>
    <w:link w:val="ListParagraph"/>
    <w:uiPriority w:val="34"/>
    <w:locked/>
    <w:rsid w:val="00F60DB2"/>
    <w:rPr>
      <w:rFonts w:ascii="Calibri" w:hAnsi="Calibri"/>
    </w:rPr>
  </w:style>
  <w:style w:type="paragraph" w:styleId="ListParagraph">
    <w:name w:val="List Paragraph"/>
    <w:aliases w:val="List Paragraph1,List Paragraph11,Recommendation,Bulletr List Paragraph,FooterText,List Paragraph2,List Paragraph21,Paragraphe de liste1,numbered,列出段落,列出段落1,Bullet point,Bullets,CV text,Dot pt,F5 List Paragraph,L,List Paragraph111,lp1"/>
    <w:basedOn w:val="Normal"/>
    <w:link w:val="ListParagraphChar"/>
    <w:uiPriority w:val="34"/>
    <w:qFormat/>
    <w:rsid w:val="00F60DB2"/>
    <w:pPr>
      <w:spacing w:after="0" w:line="240" w:lineRule="auto"/>
      <w:ind w:left="720"/>
    </w:pPr>
    <w:rPr>
      <w:rFonts w:ascii="Calibri" w:hAnsi="Calibr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0777">
      <w:bodyDiv w:val="1"/>
      <w:marLeft w:val="0"/>
      <w:marRight w:val="0"/>
      <w:marTop w:val="0"/>
      <w:marBottom w:val="0"/>
      <w:divBdr>
        <w:top w:val="none" w:sz="0" w:space="0" w:color="auto"/>
        <w:left w:val="none" w:sz="0" w:space="0" w:color="auto"/>
        <w:bottom w:val="none" w:sz="0" w:space="0" w:color="auto"/>
        <w:right w:val="none" w:sz="0" w:space="0" w:color="auto"/>
      </w:divBdr>
      <w:divsChild>
        <w:div w:id="747917985">
          <w:marLeft w:val="0"/>
          <w:marRight w:val="0"/>
          <w:marTop w:val="135"/>
          <w:marBottom w:val="135"/>
          <w:divBdr>
            <w:top w:val="single" w:sz="6" w:space="6" w:color="DDDAD1"/>
            <w:left w:val="single" w:sz="6" w:space="17" w:color="DDDAD1"/>
            <w:bottom w:val="single" w:sz="6" w:space="6" w:color="DDDAD1"/>
            <w:right w:val="single" w:sz="6" w:space="6" w:color="DDDAD1"/>
          </w:divBdr>
        </w:div>
      </w:divsChild>
    </w:div>
    <w:div w:id="212275280">
      <w:bodyDiv w:val="1"/>
      <w:marLeft w:val="0"/>
      <w:marRight w:val="0"/>
      <w:marTop w:val="0"/>
      <w:marBottom w:val="0"/>
      <w:divBdr>
        <w:top w:val="none" w:sz="0" w:space="0" w:color="auto"/>
        <w:left w:val="none" w:sz="0" w:space="0" w:color="auto"/>
        <w:bottom w:val="none" w:sz="0" w:space="0" w:color="auto"/>
        <w:right w:val="none" w:sz="0" w:space="0" w:color="auto"/>
      </w:divBdr>
      <w:divsChild>
        <w:div w:id="2017343589">
          <w:marLeft w:val="0"/>
          <w:marRight w:val="0"/>
          <w:marTop w:val="135"/>
          <w:marBottom w:val="135"/>
          <w:divBdr>
            <w:top w:val="single" w:sz="6" w:space="6" w:color="DDDAD1"/>
            <w:left w:val="single" w:sz="6" w:space="17" w:color="DDDAD1"/>
            <w:bottom w:val="single" w:sz="6" w:space="6" w:color="DDDAD1"/>
            <w:right w:val="single" w:sz="6" w:space="6" w:color="DDDAD1"/>
          </w:divBdr>
          <w:divsChild>
            <w:div w:id="1484547412">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868447000">
      <w:bodyDiv w:val="1"/>
      <w:marLeft w:val="0"/>
      <w:marRight w:val="0"/>
      <w:marTop w:val="0"/>
      <w:marBottom w:val="0"/>
      <w:divBdr>
        <w:top w:val="none" w:sz="0" w:space="0" w:color="auto"/>
        <w:left w:val="none" w:sz="0" w:space="0" w:color="auto"/>
        <w:bottom w:val="none" w:sz="0" w:space="0" w:color="auto"/>
        <w:right w:val="none" w:sz="0" w:space="0" w:color="auto"/>
      </w:divBdr>
    </w:div>
    <w:div w:id="1508516380">
      <w:bodyDiv w:val="1"/>
      <w:marLeft w:val="0"/>
      <w:marRight w:val="0"/>
      <w:marTop w:val="0"/>
      <w:marBottom w:val="0"/>
      <w:divBdr>
        <w:top w:val="none" w:sz="0" w:space="0" w:color="auto"/>
        <w:left w:val="none" w:sz="0" w:space="0" w:color="auto"/>
        <w:bottom w:val="none" w:sz="0" w:space="0" w:color="auto"/>
        <w:right w:val="none" w:sz="0" w:space="0" w:color="auto"/>
      </w:divBdr>
      <w:divsChild>
        <w:div w:id="2072118681">
          <w:marLeft w:val="0"/>
          <w:marRight w:val="0"/>
          <w:marTop w:val="0"/>
          <w:marBottom w:val="0"/>
          <w:divBdr>
            <w:top w:val="none" w:sz="0" w:space="0" w:color="auto"/>
            <w:left w:val="none" w:sz="0" w:space="0" w:color="auto"/>
            <w:bottom w:val="none" w:sz="0" w:space="0" w:color="auto"/>
            <w:right w:val="none" w:sz="0" w:space="0" w:color="auto"/>
          </w:divBdr>
          <w:divsChild>
            <w:div w:id="1825469598">
              <w:marLeft w:val="-225"/>
              <w:marRight w:val="-225"/>
              <w:marTop w:val="0"/>
              <w:marBottom w:val="0"/>
              <w:divBdr>
                <w:top w:val="none" w:sz="0" w:space="0" w:color="auto"/>
                <w:left w:val="none" w:sz="0" w:space="0" w:color="auto"/>
                <w:bottom w:val="none" w:sz="0" w:space="0" w:color="auto"/>
                <w:right w:val="none" w:sz="0" w:space="0" w:color="auto"/>
              </w:divBdr>
              <w:divsChild>
                <w:div w:id="828860086">
                  <w:marLeft w:val="0"/>
                  <w:marRight w:val="0"/>
                  <w:marTop w:val="0"/>
                  <w:marBottom w:val="0"/>
                  <w:divBdr>
                    <w:top w:val="none" w:sz="0" w:space="0" w:color="auto"/>
                    <w:left w:val="none" w:sz="0" w:space="0" w:color="auto"/>
                    <w:bottom w:val="none" w:sz="0" w:space="0" w:color="auto"/>
                    <w:right w:val="none" w:sz="0" w:space="0" w:color="auto"/>
                  </w:divBdr>
                  <w:divsChild>
                    <w:div w:id="517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156">
      <w:bodyDiv w:val="1"/>
      <w:marLeft w:val="0"/>
      <w:marRight w:val="0"/>
      <w:marTop w:val="0"/>
      <w:marBottom w:val="0"/>
      <w:divBdr>
        <w:top w:val="none" w:sz="0" w:space="0" w:color="auto"/>
        <w:left w:val="none" w:sz="0" w:space="0" w:color="auto"/>
        <w:bottom w:val="none" w:sz="0" w:space="0" w:color="auto"/>
        <w:right w:val="none" w:sz="0" w:space="0" w:color="auto"/>
      </w:divBdr>
      <w:divsChild>
        <w:div w:id="466629922">
          <w:marLeft w:val="0"/>
          <w:marRight w:val="0"/>
          <w:marTop w:val="135"/>
          <w:marBottom w:val="135"/>
          <w:divBdr>
            <w:top w:val="single" w:sz="6" w:space="6" w:color="DDDAD1"/>
            <w:left w:val="single" w:sz="6" w:space="17" w:color="DDDAD1"/>
            <w:bottom w:val="single" w:sz="6" w:space="6" w:color="DDDAD1"/>
            <w:right w:val="single" w:sz="6" w:space="6" w:color="DDDAD1"/>
          </w:divBdr>
          <w:divsChild>
            <w:div w:id="1551308265">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alth.gov.au/resources/publications/atagi-clinical-advice-on-vaccination-recommendations-for-people-with-risk-conditions-from-1-july-2020"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ealth.gov.au/resources/publications/atagi-clinical-advice-on-vaccination-recommendations-for-people-with-risk-conditions-from-1-july-2020" TargetMode="External"/><Relationship Id="rId2" Type="http://schemas.openxmlformats.org/officeDocument/2006/relationships/customXml" Target="../customXml/item2.xml"/><Relationship Id="rId16" Type="http://schemas.openxmlformats.org/officeDocument/2006/relationships/hyperlink" Target="https://immunisationhandbook.govcm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ealth.gov.au/resources/publications/atagi-clinical-statement-on-vaccine-recommendations-for-older-non-indigenous-adults-from-1-july-2020" TargetMode="Externa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alth.gov.au/resources/publications/atagi-clinical-advice-on-vaccination-recommendations-for-aboriginal-and-torres-strait-islander-people-from-1-july-2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21FFB8AD293484BA846C7C48297039A" version="1.0.0">
  <systemFields>
    <field name="Objective-Id">
      <value order="0">A1977884</value>
    </field>
    <field name="Objective-Title">
      <value order="0">ATAGI Clinical Statement_disease focused_pneumococcal_ 17 Mar2020</value>
    </field>
    <field name="Objective-Description">
      <value order="0"/>
    </field>
    <field name="Objective-CreationStamp">
      <value order="0">2020-03-24T01:04:34Z</value>
    </field>
    <field name="Objective-IsApproved">
      <value order="0">false</value>
    </field>
    <field name="Objective-IsPublished">
      <value order="0">true</value>
    </field>
    <field name="Objective-DatePublished">
      <value order="0">2020-03-24T04:29:18Z</value>
    </field>
    <field name="Objective-ModificationStamp">
      <value order="0">2020-03-24T04:29:18Z</value>
    </field>
    <field name="Objective-Owner">
      <value order="0">Lange, Nicole (CO)</value>
    </field>
    <field name="Objective-Path">
      <value order="0">Objective Global Folder:.Department for Health and Wellbeing:Public Health:Communicable Disease Control:Australian Technical Advisory Group on Immunisation [ATAGI] - Statements:2020 [2020-04044]</value>
    </field>
    <field name="Objective-Parent">
      <value order="0">2020 [2020-04044]</value>
    </field>
    <field name="Objective-State">
      <value order="0">Published</value>
    </field>
    <field name="Objective-VersionId">
      <value order="0">vA2958716</value>
    </field>
    <field name="Objective-Version">
      <value order="0">3.0</value>
    </field>
    <field name="Objective-VersionNumber">
      <value order="0">3</value>
    </field>
    <field name="Objective-VersionComment">
      <value order="0"/>
    </field>
    <field name="Objective-FileNumber">
      <value order="0">2020-04044</value>
    </field>
    <field name="Objective-Classification">
      <value order="0"/>
    </field>
    <field name="Objective-Caveats">
      <value order="0"/>
    </field>
  </systemFields>
  <catalogues>
    <catalogue name="EDoc.Standard Type Catalogue" type="type" ori="id:cA94">
      <field name="Objective-Workgroup">
        <value order="0">Immunisation CDC - HR&amp;P [DHW]</value>
      </field>
      <field name="Objective-Confidentiality">
        <value order="0">02 For Official Use Only [FOUO]</value>
      </field>
      <field name="Objective-Access Use Permission">
        <value order="0"/>
      </field>
      <field name="Objective-Notes">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FERLITSCH, Sarah</DisplayName>
        <AccountId>17325</AccountId>
        <AccountType/>
      </UserInfo>
    </Quality_x0020_Reviewer_x0028_s_x0029_>
    <Content_x0020_Owner_x0020_Designation xmlns="2bd5d25a-ed67-4748-9d94-e4b1e4baa595">Assistant Secretary</Content_x0020_Owner_x0020_Designation>
    <Publishing_x0020_Required_x0020_By xmlns="2bd5d25a-ed67-4748-9d94-e4b1e4baa595" xsi:nil="true"/>
    <Approved_x0020_Date xmlns="2bd5d25a-ed67-4748-9d94-e4b1e4baa595">2020-06-02T14:00:00+00:00</Approved_x0020_Date>
    <IconOverlay xmlns="http://schemas.microsoft.com/sharepoint/v4" xsi:nil="true"/>
    <Content_x0020_Approver xmlns="2bd5d25a-ed67-4748-9d94-e4b1e4baa595">
      <UserInfo>
        <DisplayName>PEISLEY, Hope</DisplayName>
        <AccountId>4376</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HAWKINS, Louise</DisplayName>
        <AccountId>17803</AccountId>
        <AccountType/>
      </UserInfo>
    </Peer_x0020_Review_x0020_Required_x0020_By>
    <Content_x0020_Owner xmlns="2bd5d25a-ed67-4748-9d94-e4b1e4baa595">
      <UserInfo>
        <DisplayName>PEISLEY, Hope</DisplayName>
        <AccountId>4376</AccountId>
        <AccountType/>
      </UserInfo>
    </Content_x0020_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Aus162</b:Tag>
    <b:SourceType>InternetSite</b:SourceType>
    <b:Guid>{EBAC5F51-2B39-A24B-BEC6-C2CC1D021785}</b:Guid>
    <b:Title>4364.0.55.001 - National Health Survey: First Results, 2014-15</b:Title>
    <b:Year>2016</b:Year>
    <b:Month>March</b:Month>
    <b:Day>23</b:Day>
    <b:Author>
      <b:Author>
        <b:Corporate>Australian Bureau of Statistics</b:Corporate>
      </b:Author>
    </b:Author>
    <b:URL>http://www.abs.gov.au/ausstats/abs@.nsf/mf/4364.0.55.001</b:URL>
    <b:YearAccessed>2016</b:YearAccessed>
    <b:MonthAccessed>October</b:MonthAccessed>
    <b:DayAccessed>10</b:DayAccessed>
    <b:InternetSiteTitle>Australian Bureau of Statistics</b:InternetSiteTitle>
    <b:RefOrder>14</b:RefOrder>
  </b:Source>
</b:Sources>
</file>

<file path=customXml/itemProps1.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customXml/itemProps2.xml><?xml version="1.0" encoding="utf-8"?>
<ds:datastoreItem xmlns:ds="http://schemas.openxmlformats.org/officeDocument/2006/customXml" ds:itemID="{9DA92DD6-81A4-4C7E-975D-40569B46A68D}">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2bd5d25a-ed67-4748-9d94-e4b1e4baa595"/>
    <ds:schemaRef ds:uri="http://www.w3.org/XML/1998/namespace"/>
  </ds:schemaRefs>
</ds:datastoreItem>
</file>

<file path=customXml/itemProps3.xml><?xml version="1.0" encoding="utf-8"?>
<ds:datastoreItem xmlns:ds="http://schemas.openxmlformats.org/officeDocument/2006/customXml" ds:itemID="{94FA7748-49AE-40BC-B65D-21F1AC0CAB8C}">
  <ds:schemaRefs>
    <ds:schemaRef ds:uri="http://schemas.microsoft.com/sharepoint/v3/contenttype/forms"/>
  </ds:schemaRefs>
</ds:datastoreItem>
</file>

<file path=customXml/itemProps4.xml><?xml version="1.0" encoding="utf-8"?>
<ds:datastoreItem xmlns:ds="http://schemas.openxmlformats.org/officeDocument/2006/customXml" ds:itemID="{C38E68A7-6374-4A0C-9248-ECEE2C66F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EB466C-D581-43F0-A05A-B2E1DBD4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Alicia</dc:creator>
  <cp:lastModifiedBy>Ferlitsch, Sarah</cp:lastModifiedBy>
  <cp:revision>6</cp:revision>
  <cp:lastPrinted>2020-05-29T02:56:00Z</cp:lastPrinted>
  <dcterms:created xsi:type="dcterms:W3CDTF">2020-05-26T05:31:00Z</dcterms:created>
  <dcterms:modified xsi:type="dcterms:W3CDTF">2020-06-03T01:21:00Z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_docset_NoMedatataSyncRequired">
    <vt:lpwstr>False</vt:lpwstr>
  </property>
  <property fmtid="{D5CDD505-2E9C-101B-9397-08002B2CF9AE}" pid="4" name="WorkflowChangePath">
    <vt:lpwstr>b55235ed-5ca5-4ec6-8961-3a05ae543b2a,6;b55235ed-5ca5-4ec6-8961-3a05ae543b2a,6;b55235ed-5ca5-4ec6-8961-3a05ae543b2a,6;b55235ed-5ca5-4ec6-8961-3a05ae543b2a,6;b55235ed-5ca5-4ec6-8961-3a05ae543b2a,2;b55235ed-5ca5-4ec6-8961-3a05ae543b2a,2;b55235ed-5ca5-4ec6-89</vt:lpwstr>
  </property>
  <property fmtid="{D5CDD505-2E9C-101B-9397-08002B2CF9AE}" pid="5" name="Objective-Id">
    <vt:lpwstr>A1977884</vt:lpwstr>
  </property>
  <property fmtid="{D5CDD505-2E9C-101B-9397-08002B2CF9AE}" pid="6" name="Objective-Title">
    <vt:lpwstr>ATAGI Clinical Statement_disease focused_pneumococcal_ 17 Mar2020</vt:lpwstr>
  </property>
  <property fmtid="{D5CDD505-2E9C-101B-9397-08002B2CF9AE}" pid="7" name="Objective-Description">
    <vt:lpwstr/>
  </property>
  <property fmtid="{D5CDD505-2E9C-101B-9397-08002B2CF9AE}" pid="8" name="Objective-CreationStamp">
    <vt:filetime>2020-03-24T01:04:34Z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2020-03-24T04:29:18Z</vt:filetime>
  </property>
  <property fmtid="{D5CDD505-2E9C-101B-9397-08002B2CF9AE}" pid="12" name="Objective-ModificationStamp">
    <vt:filetime>2020-03-24T04:29:18Z</vt:filetime>
  </property>
  <property fmtid="{D5CDD505-2E9C-101B-9397-08002B2CF9AE}" pid="13" name="Objective-Owner">
    <vt:lpwstr>Lange, Nicole (CO)</vt:lpwstr>
  </property>
  <property fmtid="{D5CDD505-2E9C-101B-9397-08002B2CF9AE}" pid="14" name="Objective-Path">
    <vt:lpwstr>Objective Global Folder:.Department for Health and Wellbeing:Public Health:Communicable Disease Control:Australian Technical Advisory Group on Immunisation [ATAGI] - Statements:2020 [2020-04044]</vt:lpwstr>
  </property>
  <property fmtid="{D5CDD505-2E9C-101B-9397-08002B2CF9AE}" pid="15" name="Objective-Parent">
    <vt:lpwstr>2020 [2020-04044]</vt:lpwstr>
  </property>
  <property fmtid="{D5CDD505-2E9C-101B-9397-08002B2CF9AE}" pid="16" name="Objective-State">
    <vt:lpwstr>Published</vt:lpwstr>
  </property>
  <property fmtid="{D5CDD505-2E9C-101B-9397-08002B2CF9AE}" pid="17" name="Objective-VersionId">
    <vt:lpwstr>vA2958716</vt:lpwstr>
  </property>
  <property fmtid="{D5CDD505-2E9C-101B-9397-08002B2CF9AE}" pid="18" name="Objective-Version">
    <vt:lpwstr>3.0</vt:lpwstr>
  </property>
  <property fmtid="{D5CDD505-2E9C-101B-9397-08002B2CF9AE}" pid="19" name="Objective-VersionNumber">
    <vt:r8>3</vt:r8>
  </property>
  <property fmtid="{D5CDD505-2E9C-101B-9397-08002B2CF9AE}" pid="20" name="Objective-VersionComment">
    <vt:lpwstr/>
  </property>
  <property fmtid="{D5CDD505-2E9C-101B-9397-08002B2CF9AE}" pid="21" name="Objective-FileNumber">
    <vt:lpwstr>2020-04044</vt:lpwstr>
  </property>
  <property fmtid="{D5CDD505-2E9C-101B-9397-08002B2CF9AE}" pid="22" name="Objective-Classification">
    <vt:lpwstr/>
  </property>
  <property fmtid="{D5CDD505-2E9C-101B-9397-08002B2CF9AE}" pid="23" name="Objective-Caveats">
    <vt:lpwstr/>
  </property>
  <property fmtid="{D5CDD505-2E9C-101B-9397-08002B2CF9AE}" pid="24" name="Objective-Workgroup">
    <vt:lpwstr>Immunisation CDC - HR&amp;P [DHW]</vt:lpwstr>
  </property>
  <property fmtid="{D5CDD505-2E9C-101B-9397-08002B2CF9AE}" pid="25" name="Objective-Confidentiality">
    <vt:lpwstr>02 For Official Use Only [FOUO]</vt:lpwstr>
  </property>
  <property fmtid="{D5CDD505-2E9C-101B-9397-08002B2CF9AE}" pid="26" name="Objective-Access Use Permission">
    <vt:lpwstr/>
  </property>
  <property fmtid="{D5CDD505-2E9C-101B-9397-08002B2CF9AE}" pid="27" name="Objective-Notes">
    <vt:lpwstr/>
  </property>
  <property fmtid="{D5CDD505-2E9C-101B-9397-08002B2CF9AE}" pid="28" name="Objective-Connect Creator">
    <vt:lpwstr/>
  </property>
  <property fmtid="{D5CDD505-2E9C-101B-9397-08002B2CF9AE}" pid="29" name="Objective-Comment">
    <vt:lpwstr/>
  </property>
</Properties>
</file>