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14:paraId="17F5F9FF" w14:textId="77777777" w:rsidTr="00083432">
        <w:trPr>
          <w:trHeight w:val="1831"/>
          <w:tblHeader/>
        </w:trPr>
        <w:tc>
          <w:tcPr>
            <w:tcW w:w="3226" w:type="dxa"/>
            <w:shd w:val="clear" w:color="auto" w:fill="55259E"/>
            <w:vAlign w:val="center"/>
          </w:tcPr>
          <w:p w14:paraId="648B5E65" w14:textId="77777777" w:rsidR="004F3AA0" w:rsidRPr="004F3AA0" w:rsidRDefault="004F3AA0" w:rsidP="004F3AA0">
            <w:r w:rsidRPr="004F3AA0">
              <w:rPr>
                <w:noProof/>
              </w:rPr>
              <w:drawing>
                <wp:inline distT="0" distB="0" distL="0" distR="0" wp14:anchorId="183F557B" wp14:editId="50BF172A">
                  <wp:extent cx="1477010" cy="979170"/>
                  <wp:effectExtent l="0" t="0" r="8890" b="0"/>
                  <wp:docPr id="1" name="Picture 1" title="Aus Gov -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stacked_whit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79170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shd w:val="clear" w:color="auto" w:fill="55259E"/>
            <w:vAlign w:val="center"/>
          </w:tcPr>
          <w:p w14:paraId="51B14020" w14:textId="77777777" w:rsidR="003021C5" w:rsidRPr="00573A25" w:rsidRDefault="003021C5" w:rsidP="00573A25">
            <w:pPr>
              <w:ind w:right="175"/>
              <w:jc w:val="right"/>
              <w:rPr>
                <w:color w:val="FFFFFF" w:themeColor="background1"/>
                <w:sz w:val="28"/>
              </w:rPr>
            </w:pPr>
            <w:r w:rsidRPr="003021C5">
              <w:rPr>
                <w:color w:val="FFFFFF" w:themeColor="background1"/>
                <w:sz w:val="28"/>
              </w:rPr>
              <w:t>AUST</w:t>
            </w:r>
            <w:r w:rsidR="00573A25">
              <w:rPr>
                <w:color w:val="FFFFFF" w:themeColor="background1"/>
                <w:sz w:val="28"/>
              </w:rPr>
              <w:t xml:space="preserve">RALIAN TECHNICAL ADVISORY GROUP </w:t>
            </w:r>
            <w:r w:rsidRPr="003021C5">
              <w:rPr>
                <w:color w:val="FFFFFF" w:themeColor="background1"/>
                <w:sz w:val="28"/>
              </w:rPr>
              <w:t>ON</w:t>
            </w:r>
            <w:r w:rsidR="00573A25">
              <w:rPr>
                <w:color w:val="FFFFFF" w:themeColor="background1"/>
                <w:sz w:val="28"/>
              </w:rPr>
              <w:t xml:space="preserve"> </w:t>
            </w:r>
            <w:r w:rsidRPr="003021C5">
              <w:rPr>
                <w:color w:val="FFFFFF" w:themeColor="background1"/>
                <w:sz w:val="28"/>
              </w:rPr>
              <w:t>IMMUNISATION (ATAGI) |</w:t>
            </w:r>
            <w:r w:rsidRPr="003021C5">
              <w:rPr>
                <w:b/>
                <w:color w:val="FFFFFF" w:themeColor="background1"/>
                <w:sz w:val="28"/>
              </w:rPr>
              <w:t xml:space="preserve"> CLINICAL ADVICE</w:t>
            </w:r>
          </w:p>
        </w:tc>
      </w:tr>
      <w:tr w:rsidR="004F3AA0" w14:paraId="2602867C" w14:textId="77777777" w:rsidTr="003021C5">
        <w:tc>
          <w:tcPr>
            <w:tcW w:w="3226" w:type="dxa"/>
            <w:shd w:val="clear" w:color="auto" w:fill="55259E"/>
          </w:tcPr>
          <w:p w14:paraId="52847477" w14:textId="77777777" w:rsidR="004F3AA0" w:rsidRPr="004F3AA0" w:rsidRDefault="004F3AA0" w:rsidP="004F3AA0"/>
        </w:tc>
        <w:tc>
          <w:tcPr>
            <w:tcW w:w="6980" w:type="dxa"/>
            <w:shd w:val="clear" w:color="auto" w:fill="55259E"/>
            <w:vAlign w:val="center"/>
          </w:tcPr>
          <w:p w14:paraId="3E74E859" w14:textId="0730B0B6" w:rsidR="004F3AA0" w:rsidRPr="003021C5" w:rsidRDefault="00D501A9" w:rsidP="000A5062">
            <w:pPr>
              <w:pStyle w:val="BodyText"/>
              <w:ind w:right="175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Issue date: 1 </w:t>
            </w:r>
            <w:bookmarkStart w:id="0" w:name="_GoBack"/>
            <w:bookmarkEnd w:id="0"/>
            <w:r w:rsidR="00034C92">
              <w:rPr>
                <w:b/>
                <w:color w:val="FFFFFF" w:themeColor="background1"/>
              </w:rPr>
              <w:t>July</w:t>
            </w:r>
            <w:r w:rsidR="000A5062">
              <w:rPr>
                <w:b/>
                <w:color w:val="FFFFFF" w:themeColor="background1"/>
              </w:rPr>
              <w:t xml:space="preserve"> 2020</w:t>
            </w:r>
          </w:p>
        </w:tc>
      </w:tr>
      <w:tr w:rsidR="004F3AA0" w14:paraId="144FCB31" w14:textId="77777777" w:rsidTr="003021C5">
        <w:trPr>
          <w:trHeight w:val="437"/>
        </w:trPr>
        <w:tc>
          <w:tcPr>
            <w:tcW w:w="3226" w:type="dxa"/>
            <w:shd w:val="clear" w:color="auto" w:fill="auto"/>
          </w:tcPr>
          <w:p w14:paraId="49EE08F4" w14:textId="77777777" w:rsidR="004F3AA0" w:rsidRPr="004F3AA0" w:rsidRDefault="004F3AA0" w:rsidP="004F3AA0"/>
        </w:tc>
        <w:tc>
          <w:tcPr>
            <w:tcW w:w="6980" w:type="dxa"/>
            <w:shd w:val="clear" w:color="auto" w:fill="auto"/>
          </w:tcPr>
          <w:p w14:paraId="4BDA6489" w14:textId="77777777" w:rsidR="004F3AA0" w:rsidRPr="004F3AA0" w:rsidRDefault="004F3AA0" w:rsidP="004F3AA0"/>
        </w:tc>
      </w:tr>
    </w:tbl>
    <w:p w14:paraId="5432CE19" w14:textId="0E2F9E4C" w:rsidR="00740A97" w:rsidRPr="00AC23C0" w:rsidRDefault="00EA318D" w:rsidP="00740A97">
      <w:pPr>
        <w:pStyle w:val="Heading1Black"/>
        <w:spacing w:after="0"/>
        <w:rPr>
          <w:sz w:val="28"/>
          <w:szCs w:val="30"/>
        </w:rPr>
      </w:pPr>
      <w:r w:rsidRPr="00DA1DB3">
        <w:rPr>
          <w:sz w:val="28"/>
          <w:szCs w:val="30"/>
        </w:rPr>
        <w:t xml:space="preserve">ATAGI CLINICAL </w:t>
      </w:r>
      <w:r w:rsidR="00DA1DB3" w:rsidRPr="00DA1DB3">
        <w:rPr>
          <w:sz w:val="28"/>
          <w:szCs w:val="30"/>
        </w:rPr>
        <w:t>ADVICE</w:t>
      </w:r>
      <w:r w:rsidR="00826860" w:rsidRPr="00AC23C0">
        <w:rPr>
          <w:sz w:val="28"/>
          <w:szCs w:val="30"/>
        </w:rPr>
        <w:t xml:space="preserve"> </w:t>
      </w:r>
      <w:r w:rsidR="0005755B" w:rsidRPr="0005755B">
        <w:rPr>
          <w:sz w:val="28"/>
          <w:szCs w:val="30"/>
        </w:rPr>
        <w:t xml:space="preserve">ON CHANGES TO RECOMMENDATIONS </w:t>
      </w:r>
      <w:r w:rsidR="00740A97" w:rsidRPr="00740A97">
        <w:rPr>
          <w:sz w:val="28"/>
          <w:szCs w:val="30"/>
        </w:rPr>
        <w:t xml:space="preserve">for the use </w:t>
      </w:r>
      <w:r w:rsidR="00AD648E">
        <w:rPr>
          <w:sz w:val="28"/>
          <w:szCs w:val="30"/>
        </w:rPr>
        <w:t xml:space="preserve">and funding </w:t>
      </w:r>
      <w:r w:rsidR="00740A97" w:rsidRPr="00740A97">
        <w:rPr>
          <w:sz w:val="28"/>
          <w:szCs w:val="30"/>
        </w:rPr>
        <w:t xml:space="preserve">of </w:t>
      </w:r>
      <w:r w:rsidR="00740A97">
        <w:rPr>
          <w:sz w:val="28"/>
          <w:szCs w:val="30"/>
        </w:rPr>
        <w:t xml:space="preserve">meningococcal Vaccines </w:t>
      </w:r>
      <w:r w:rsidR="00AD648E">
        <w:rPr>
          <w:sz w:val="28"/>
          <w:szCs w:val="30"/>
        </w:rPr>
        <w:t xml:space="preserve">from </w:t>
      </w:r>
      <w:r w:rsidR="00F35D98">
        <w:rPr>
          <w:sz w:val="28"/>
          <w:szCs w:val="30"/>
        </w:rPr>
        <w:t xml:space="preserve">1 </w:t>
      </w:r>
      <w:r w:rsidR="00AD648E">
        <w:rPr>
          <w:sz w:val="28"/>
          <w:szCs w:val="30"/>
        </w:rPr>
        <w:t>july 2020</w:t>
      </w:r>
      <w:r w:rsidR="00DC025B">
        <w:rPr>
          <w:sz w:val="28"/>
          <w:szCs w:val="30"/>
        </w:rPr>
        <w:t xml:space="preserve"> </w:t>
      </w:r>
      <w:r w:rsidR="00C2187D">
        <w:rPr>
          <w:sz w:val="28"/>
          <w:szCs w:val="30"/>
        </w:rPr>
        <w:t xml:space="preserve"> </w:t>
      </w:r>
    </w:p>
    <w:p w14:paraId="3C1970DF" w14:textId="3167EE33" w:rsidR="006B5200" w:rsidRPr="00AC23C0" w:rsidRDefault="006B5200" w:rsidP="007D71AA">
      <w:pPr>
        <w:pStyle w:val="Sub-bullettedlist"/>
        <w:numPr>
          <w:ilvl w:val="0"/>
          <w:numId w:val="0"/>
        </w:numPr>
        <w:spacing w:before="240"/>
        <w:ind w:left="284"/>
        <w:rPr>
          <w:szCs w:val="21"/>
        </w:rPr>
      </w:pPr>
      <w:r w:rsidRPr="00AC23C0">
        <w:rPr>
          <w:szCs w:val="21"/>
        </w:rPr>
        <w:t xml:space="preserve">It is important to read this statement in conjunction with The Australian Immunisation Handbook available </w:t>
      </w:r>
      <w:r w:rsidR="004A1690">
        <w:rPr>
          <w:szCs w:val="21"/>
        </w:rPr>
        <w:t xml:space="preserve">at </w:t>
      </w:r>
      <w:r w:rsidR="00CF1008">
        <w:rPr>
          <w:szCs w:val="21"/>
        </w:rPr>
        <w:t>immunisationhandbook.</w:t>
      </w:r>
      <w:r w:rsidR="009A6FF4">
        <w:rPr>
          <w:szCs w:val="21"/>
        </w:rPr>
        <w:t>health</w:t>
      </w:r>
      <w:r w:rsidR="00CF1008">
        <w:rPr>
          <w:szCs w:val="21"/>
        </w:rPr>
        <w:t>.gov.au</w:t>
      </w:r>
      <w:r w:rsidR="0085777A">
        <w:rPr>
          <w:szCs w:val="21"/>
        </w:rPr>
        <w:t xml:space="preserve"> </w:t>
      </w:r>
      <w:r w:rsidR="0085777A" w:rsidRPr="0085777A">
        <w:t>and other related ATAGI statements on NIP schedule changes from 1 July 2020</w:t>
      </w:r>
    </w:p>
    <w:p w14:paraId="370BE20B" w14:textId="77777777" w:rsidR="005E0FAB" w:rsidRPr="00AB55F8" w:rsidRDefault="00597F18" w:rsidP="005E0FAB">
      <w:pPr>
        <w:pStyle w:val="Heading2"/>
        <w:rPr>
          <w:sz w:val="18"/>
          <w:szCs w:val="18"/>
          <w:lang w:eastAsia="en-US"/>
        </w:rPr>
      </w:pPr>
      <w:r w:rsidRPr="00AB55F8">
        <w:rPr>
          <w:sz w:val="18"/>
          <w:szCs w:val="18"/>
          <w:lang w:eastAsia="en-US"/>
        </w:rPr>
        <w:t>K</w:t>
      </w:r>
      <w:r w:rsidR="005E0FAB" w:rsidRPr="00AB55F8">
        <w:rPr>
          <w:sz w:val="18"/>
          <w:szCs w:val="18"/>
          <w:lang w:eastAsia="en-US"/>
        </w:rPr>
        <w:t xml:space="preserve">ey </w:t>
      </w:r>
      <w:r w:rsidR="00826860" w:rsidRPr="00AB55F8">
        <w:rPr>
          <w:sz w:val="18"/>
          <w:szCs w:val="18"/>
          <w:lang w:eastAsia="en-US"/>
        </w:rPr>
        <w:t xml:space="preserve">points </w:t>
      </w:r>
    </w:p>
    <w:p w14:paraId="6F5370D1" w14:textId="2AED52CA" w:rsidR="006A0809" w:rsidRPr="00AB55F8" w:rsidRDefault="00443649" w:rsidP="00F26B9F">
      <w:pPr>
        <w:pStyle w:val="BulletedList"/>
        <w:rPr>
          <w:i/>
          <w:sz w:val="18"/>
          <w:szCs w:val="18"/>
        </w:rPr>
      </w:pPr>
      <w:r w:rsidRPr="00AB55F8">
        <w:rPr>
          <w:sz w:val="18"/>
          <w:szCs w:val="18"/>
        </w:rPr>
        <w:t xml:space="preserve">From 1 July 2020, </w:t>
      </w:r>
      <w:r w:rsidR="00EE7771" w:rsidRPr="00AB55F8">
        <w:rPr>
          <w:sz w:val="18"/>
          <w:szCs w:val="18"/>
        </w:rPr>
        <w:t>r</w:t>
      </w:r>
      <w:r w:rsidR="00D17910" w:rsidRPr="00AB55F8">
        <w:rPr>
          <w:sz w:val="18"/>
          <w:szCs w:val="18"/>
        </w:rPr>
        <w:t xml:space="preserve">ecommendations for meningococcal vaccines are changing to make meningococcal vaccines more readily available and give extra protection to people who are most at risk of </w:t>
      </w:r>
      <w:r w:rsidR="00F26B9F" w:rsidRPr="00AB55F8">
        <w:rPr>
          <w:sz w:val="18"/>
          <w:szCs w:val="18"/>
        </w:rPr>
        <w:t xml:space="preserve">invasive </w:t>
      </w:r>
      <w:r w:rsidR="004858D9" w:rsidRPr="00AB55F8">
        <w:rPr>
          <w:sz w:val="18"/>
          <w:szCs w:val="18"/>
        </w:rPr>
        <w:t xml:space="preserve">meningococcal </w:t>
      </w:r>
      <w:r w:rsidR="00D17910" w:rsidRPr="00AB55F8">
        <w:rPr>
          <w:sz w:val="18"/>
          <w:szCs w:val="18"/>
        </w:rPr>
        <w:t>disease</w:t>
      </w:r>
      <w:r w:rsidR="00377449">
        <w:rPr>
          <w:sz w:val="18"/>
          <w:szCs w:val="18"/>
        </w:rPr>
        <w:t>.</w:t>
      </w:r>
    </w:p>
    <w:p w14:paraId="5DEBA154" w14:textId="49716FF1" w:rsidR="00203FB2" w:rsidRPr="00123004" w:rsidRDefault="00123004" w:rsidP="00123004">
      <w:pPr>
        <w:pStyle w:val="BulletedList"/>
        <w:rPr>
          <w:sz w:val="18"/>
          <w:szCs w:val="18"/>
          <w:lang w:val="en-AU"/>
        </w:rPr>
      </w:pPr>
      <w:r w:rsidRPr="00123004">
        <w:rPr>
          <w:sz w:val="18"/>
          <w:szCs w:val="18"/>
          <w:lang w:val="en-AU"/>
        </w:rPr>
        <w:t xml:space="preserve">Recommendations for the use of </w:t>
      </w:r>
      <w:r>
        <w:rPr>
          <w:sz w:val="18"/>
          <w:szCs w:val="18"/>
          <w:lang w:val="en-AU"/>
        </w:rPr>
        <w:t>meningococcal</w:t>
      </w:r>
      <w:r w:rsidRPr="00123004">
        <w:rPr>
          <w:sz w:val="18"/>
          <w:szCs w:val="18"/>
          <w:lang w:val="en-AU"/>
        </w:rPr>
        <w:t xml:space="preserve"> vaccines, including scheduling and dose requirements, remain unchanged. However, some of the recommended </w:t>
      </w:r>
      <w:r w:rsidR="00B317DE">
        <w:rPr>
          <w:sz w:val="18"/>
          <w:szCs w:val="18"/>
          <w:lang w:val="en-AU"/>
        </w:rPr>
        <w:t xml:space="preserve">vaccine </w:t>
      </w:r>
      <w:r w:rsidRPr="00123004">
        <w:rPr>
          <w:sz w:val="18"/>
          <w:szCs w:val="18"/>
          <w:lang w:val="en-AU"/>
        </w:rPr>
        <w:t>doses will now be funded under the</w:t>
      </w:r>
      <w:r w:rsidRPr="00123004">
        <w:rPr>
          <w:sz w:val="18"/>
          <w:szCs w:val="18"/>
        </w:rPr>
        <w:t xml:space="preserve"> </w:t>
      </w:r>
      <w:r w:rsidRPr="00AB55F8">
        <w:rPr>
          <w:sz w:val="18"/>
          <w:szCs w:val="18"/>
        </w:rPr>
        <w:t>National Immunisation Program (</w:t>
      </w:r>
      <w:r w:rsidRPr="00AB55F8">
        <w:rPr>
          <w:sz w:val="18"/>
          <w:szCs w:val="18"/>
          <w:lang w:val="en-AU"/>
        </w:rPr>
        <w:t>NIP)</w:t>
      </w:r>
      <w:r w:rsidRPr="00123004">
        <w:rPr>
          <w:sz w:val="18"/>
          <w:szCs w:val="18"/>
          <w:lang w:val="en-AU"/>
        </w:rPr>
        <w:t>.</w:t>
      </w:r>
    </w:p>
    <w:p w14:paraId="26D4B50F" w14:textId="77777777" w:rsidR="00F5605D" w:rsidRPr="007E6124" w:rsidRDefault="00F5605D" w:rsidP="00F5605D">
      <w:pPr>
        <w:pStyle w:val="BulletedList"/>
        <w:numPr>
          <w:ilvl w:val="0"/>
          <w:numId w:val="23"/>
        </w:numPr>
        <w:rPr>
          <w:sz w:val="18"/>
          <w:szCs w:val="18"/>
        </w:rPr>
      </w:pPr>
      <w:r w:rsidRPr="007E6124">
        <w:rPr>
          <w:sz w:val="18"/>
          <w:szCs w:val="18"/>
        </w:rPr>
        <w:t xml:space="preserve">The recombinant multicomponent meningococcal </w:t>
      </w:r>
      <w:proofErr w:type="spellStart"/>
      <w:r w:rsidRPr="007E6124">
        <w:rPr>
          <w:sz w:val="18"/>
          <w:szCs w:val="18"/>
        </w:rPr>
        <w:t>serogroup</w:t>
      </w:r>
      <w:proofErr w:type="spellEnd"/>
      <w:r w:rsidRPr="007E6124">
        <w:rPr>
          <w:sz w:val="18"/>
          <w:szCs w:val="18"/>
        </w:rPr>
        <w:t xml:space="preserve"> B vaccine (</w:t>
      </w:r>
      <w:proofErr w:type="spellStart"/>
      <w:r w:rsidRPr="007E6124">
        <w:rPr>
          <w:sz w:val="18"/>
          <w:szCs w:val="18"/>
        </w:rPr>
        <w:t>MenB</w:t>
      </w:r>
      <w:proofErr w:type="spellEnd"/>
      <w:r w:rsidRPr="007E6124">
        <w:rPr>
          <w:sz w:val="18"/>
          <w:szCs w:val="18"/>
        </w:rPr>
        <w:t xml:space="preserve">-MC), </w:t>
      </w:r>
      <w:proofErr w:type="spellStart"/>
      <w:r w:rsidRPr="007E6124">
        <w:rPr>
          <w:sz w:val="18"/>
          <w:szCs w:val="18"/>
        </w:rPr>
        <w:t>Bexsero</w:t>
      </w:r>
      <w:proofErr w:type="spellEnd"/>
      <w:r w:rsidRPr="007E6124">
        <w:rPr>
          <w:sz w:val="18"/>
          <w:szCs w:val="18"/>
        </w:rPr>
        <w:t xml:space="preserve">®, </w:t>
      </w:r>
      <w:r w:rsidRPr="007E6124">
        <w:rPr>
          <w:sz w:val="18"/>
          <w:szCs w:val="18"/>
          <w:lang w:val="en-AU"/>
        </w:rPr>
        <w:t>is now available through the NIP for</w:t>
      </w:r>
      <w:r>
        <w:rPr>
          <w:sz w:val="18"/>
          <w:szCs w:val="18"/>
          <w:lang w:val="en-AU"/>
        </w:rPr>
        <w:t>:</w:t>
      </w:r>
    </w:p>
    <w:p w14:paraId="2DB5BAAE" w14:textId="450D7F66" w:rsidR="00425CED" w:rsidRPr="00284C44" w:rsidRDefault="00DB7458" w:rsidP="00425CED">
      <w:pPr>
        <w:pStyle w:val="BulletedList"/>
        <w:numPr>
          <w:ilvl w:val="1"/>
          <w:numId w:val="24"/>
        </w:numPr>
        <w:rPr>
          <w:i/>
          <w:iCs/>
          <w:sz w:val="18"/>
          <w:szCs w:val="18"/>
        </w:rPr>
      </w:pPr>
      <w:r w:rsidRPr="00AB55F8">
        <w:rPr>
          <w:i/>
          <w:sz w:val="18"/>
          <w:szCs w:val="18"/>
        </w:rPr>
        <w:t xml:space="preserve">People of all ages with </w:t>
      </w:r>
      <w:r w:rsidRPr="008D2BE9">
        <w:rPr>
          <w:b/>
          <w:i/>
          <w:sz w:val="18"/>
          <w:szCs w:val="18"/>
        </w:rPr>
        <w:t>some</w:t>
      </w:r>
      <w:r w:rsidRPr="00AB55F8">
        <w:rPr>
          <w:i/>
          <w:sz w:val="18"/>
          <w:szCs w:val="18"/>
        </w:rPr>
        <w:t xml:space="preserve"> </w:t>
      </w:r>
      <w:r w:rsidR="00D23BC4">
        <w:rPr>
          <w:i/>
          <w:sz w:val="18"/>
          <w:szCs w:val="18"/>
        </w:rPr>
        <w:t xml:space="preserve">specified </w:t>
      </w:r>
      <w:r w:rsidRPr="00AB55F8">
        <w:rPr>
          <w:i/>
          <w:sz w:val="18"/>
          <w:szCs w:val="18"/>
        </w:rPr>
        <w:t xml:space="preserve">medical conditions that increase their risk of </w:t>
      </w:r>
      <w:r w:rsidR="00DE106C" w:rsidRPr="00DE106C">
        <w:rPr>
          <w:i/>
          <w:sz w:val="18"/>
          <w:szCs w:val="18"/>
        </w:rPr>
        <w:t xml:space="preserve">invasive </w:t>
      </w:r>
      <w:r w:rsidRPr="00AB55F8">
        <w:rPr>
          <w:i/>
          <w:sz w:val="18"/>
          <w:szCs w:val="18"/>
        </w:rPr>
        <w:t>meningococcal disease (List 1).</w:t>
      </w:r>
      <w:r w:rsidR="00BC185E" w:rsidRPr="00BC185E">
        <w:rPr>
          <w:i/>
          <w:iCs/>
          <w:sz w:val="18"/>
          <w:szCs w:val="18"/>
          <w:lang w:val="en-AU"/>
        </w:rPr>
        <w:t xml:space="preserve"> (</w:t>
      </w:r>
      <w:r w:rsidR="00BC185E">
        <w:rPr>
          <w:i/>
          <w:iCs/>
          <w:sz w:val="18"/>
          <w:szCs w:val="18"/>
          <w:lang w:val="en-AU"/>
        </w:rPr>
        <w:t xml:space="preserve">Also </w:t>
      </w:r>
      <w:r w:rsidR="00BC185E" w:rsidRPr="00BC185E">
        <w:rPr>
          <w:i/>
          <w:iCs/>
          <w:sz w:val="18"/>
          <w:szCs w:val="18"/>
          <w:lang w:val="en-AU"/>
        </w:rPr>
        <w:t xml:space="preserve">refer to </w:t>
      </w:r>
      <w:hyperlink r:id="rId13" w:history="1">
        <w:r w:rsidR="00BC185E" w:rsidRPr="000A35C3">
          <w:rPr>
            <w:rStyle w:val="Hyperlink"/>
            <w:i/>
            <w:iCs/>
            <w:sz w:val="18"/>
            <w:szCs w:val="18"/>
            <w:lang w:val="en-AU"/>
          </w:rPr>
          <w:t>ATAGI clinical advice on changes to vaccine recommendations and funding for people with risk conditions</w:t>
        </w:r>
        <w:r w:rsidR="00BC185E" w:rsidRPr="000A35C3">
          <w:rPr>
            <w:rStyle w:val="Hyperlink"/>
            <w:bCs/>
            <w:i/>
            <w:iCs/>
            <w:sz w:val="18"/>
            <w:szCs w:val="18"/>
          </w:rPr>
          <w:t xml:space="preserve"> from 1 July 2020</w:t>
        </w:r>
      </w:hyperlink>
      <w:r w:rsidR="00BC185E" w:rsidRPr="00BC185E">
        <w:rPr>
          <w:i/>
          <w:iCs/>
          <w:sz w:val="18"/>
          <w:szCs w:val="18"/>
          <w:lang w:val="en-AU"/>
        </w:rPr>
        <w:t>)</w:t>
      </w:r>
      <w:r w:rsidR="00425CED" w:rsidRPr="00425CED">
        <w:rPr>
          <w:i/>
          <w:sz w:val="18"/>
          <w:szCs w:val="18"/>
        </w:rPr>
        <w:t xml:space="preserve"> </w:t>
      </w:r>
    </w:p>
    <w:p w14:paraId="1C137F9E" w14:textId="2757FCBA" w:rsidR="00284C44" w:rsidRPr="00425CED" w:rsidRDefault="00284C44" w:rsidP="00425CED">
      <w:pPr>
        <w:pStyle w:val="BulletedList"/>
        <w:numPr>
          <w:ilvl w:val="1"/>
          <w:numId w:val="24"/>
        </w:numPr>
        <w:rPr>
          <w:i/>
          <w:iCs/>
          <w:sz w:val="18"/>
          <w:szCs w:val="18"/>
        </w:rPr>
      </w:pPr>
      <w:r w:rsidRPr="00284C44">
        <w:rPr>
          <w:i/>
          <w:sz w:val="18"/>
          <w:szCs w:val="18"/>
        </w:rPr>
        <w:t xml:space="preserve">Aboriginal and Torres Strait Islander infants from 2 months of age </w:t>
      </w:r>
      <w:r w:rsidRPr="00284C44">
        <w:rPr>
          <w:i/>
          <w:iCs/>
          <w:sz w:val="18"/>
          <w:szCs w:val="18"/>
          <w:lang w:val="en-AU"/>
        </w:rPr>
        <w:t xml:space="preserve">(refer to </w:t>
      </w:r>
      <w:hyperlink r:id="rId14" w:history="1">
        <w:r w:rsidRPr="000A35C3">
          <w:rPr>
            <w:rStyle w:val="Hyperlink"/>
            <w:bCs/>
            <w:i/>
            <w:iCs/>
            <w:sz w:val="18"/>
            <w:szCs w:val="18"/>
          </w:rPr>
          <w:t>ATAGI clinical advice on changes to vaccine recommendations and funding for Aboriginal and Torres Strait Islander people from 1 July 2020</w:t>
        </w:r>
      </w:hyperlink>
      <w:r w:rsidRPr="00284C44">
        <w:rPr>
          <w:i/>
          <w:iCs/>
          <w:sz w:val="18"/>
          <w:szCs w:val="18"/>
          <w:lang w:val="en-AU"/>
        </w:rPr>
        <w:t xml:space="preserve">). </w:t>
      </w:r>
    </w:p>
    <w:p w14:paraId="61403E37" w14:textId="2D500C90" w:rsidR="00B53E32" w:rsidRPr="00AB55F8" w:rsidRDefault="00B53E32" w:rsidP="00CA2AA5">
      <w:pPr>
        <w:pStyle w:val="BoxName"/>
        <w:pBdr>
          <w:top w:val="single" w:sz="4" w:space="0" w:color="000000"/>
          <w:left w:val="single" w:sz="4" w:space="0" w:color="000000"/>
        </w:pBdr>
        <w:ind w:left="714" w:firstLine="0"/>
        <w:rPr>
          <w:rFonts w:asciiTheme="minorHAnsi" w:hAnsiTheme="minorHAnsi" w:cstheme="minorHAnsi"/>
          <w:sz w:val="18"/>
          <w:szCs w:val="18"/>
        </w:rPr>
      </w:pPr>
      <w:r w:rsidRPr="00AB55F8">
        <w:rPr>
          <w:rFonts w:asciiTheme="minorHAnsi" w:hAnsiTheme="minorHAnsi" w:cstheme="minorHAnsi"/>
          <w:sz w:val="18"/>
          <w:szCs w:val="18"/>
        </w:rPr>
        <w:t>List 1. Risk conditions for invasive meningococcal disease</w:t>
      </w:r>
      <w:r w:rsidRPr="00AB55F8">
        <w:rPr>
          <w:sz w:val="18"/>
          <w:szCs w:val="18"/>
        </w:rPr>
        <w:t xml:space="preserve"> </w:t>
      </w:r>
      <w:r w:rsidRPr="00AB55F8">
        <w:rPr>
          <w:rFonts w:asciiTheme="minorHAnsi" w:hAnsiTheme="minorHAnsi" w:cstheme="minorHAnsi"/>
          <w:sz w:val="18"/>
          <w:szCs w:val="18"/>
        </w:rPr>
        <w:t xml:space="preserve">that are eligible </w:t>
      </w:r>
      <w:r w:rsidR="000524CD">
        <w:rPr>
          <w:rFonts w:asciiTheme="minorHAnsi" w:hAnsiTheme="minorHAnsi" w:cstheme="minorHAnsi"/>
          <w:sz w:val="18"/>
          <w:szCs w:val="18"/>
        </w:rPr>
        <w:t xml:space="preserve">for both </w:t>
      </w:r>
      <w:proofErr w:type="spellStart"/>
      <w:r w:rsidRPr="00AB55F8">
        <w:rPr>
          <w:rFonts w:asciiTheme="minorHAnsi" w:hAnsiTheme="minorHAnsi" w:cstheme="minorHAnsi"/>
          <w:sz w:val="18"/>
          <w:szCs w:val="18"/>
        </w:rPr>
        <w:t>MenACWY</w:t>
      </w:r>
      <w:proofErr w:type="spellEnd"/>
      <w:r w:rsidRPr="00AB55F8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AB55F8">
        <w:rPr>
          <w:rFonts w:asciiTheme="minorHAnsi" w:hAnsiTheme="minorHAnsi" w:cstheme="minorHAnsi"/>
          <w:sz w:val="18"/>
          <w:szCs w:val="18"/>
        </w:rPr>
        <w:t>MenB</w:t>
      </w:r>
      <w:proofErr w:type="spellEnd"/>
      <w:r w:rsidRPr="00AB55F8">
        <w:rPr>
          <w:rFonts w:asciiTheme="minorHAnsi" w:hAnsiTheme="minorHAnsi" w:cstheme="minorHAnsi"/>
          <w:sz w:val="18"/>
          <w:szCs w:val="18"/>
        </w:rPr>
        <w:t xml:space="preserve"> </w:t>
      </w:r>
      <w:r w:rsidR="00425CED" w:rsidRPr="00AB55F8">
        <w:rPr>
          <w:rFonts w:asciiTheme="minorHAnsi" w:hAnsiTheme="minorHAnsi" w:cstheme="minorHAnsi"/>
          <w:sz w:val="18"/>
          <w:szCs w:val="18"/>
        </w:rPr>
        <w:t xml:space="preserve">NIP-funded* </w:t>
      </w:r>
      <w:r w:rsidRPr="00AB55F8">
        <w:rPr>
          <w:rFonts w:asciiTheme="minorHAnsi" w:hAnsiTheme="minorHAnsi" w:cstheme="minorHAnsi"/>
          <w:sz w:val="18"/>
          <w:szCs w:val="18"/>
        </w:rPr>
        <w:t>vaccines</w:t>
      </w:r>
    </w:p>
    <w:p w14:paraId="789FA16A" w14:textId="49572F91" w:rsidR="00B53E32" w:rsidRPr="00AB55F8" w:rsidRDefault="00AC25A4" w:rsidP="00CA2AA5">
      <w:pPr>
        <w:pStyle w:val="BoxBullet"/>
        <w:pBdr>
          <w:top w:val="single" w:sz="4" w:space="0" w:color="000000"/>
          <w:left w:val="single" w:sz="4" w:space="0" w:color="000000"/>
        </w:pBdr>
        <w:tabs>
          <w:tab w:val="clear" w:pos="357"/>
          <w:tab w:val="num" w:pos="1785"/>
        </w:tabs>
        <w:ind w:left="107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</w:t>
      </w:r>
      <w:r w:rsidR="00B53E32" w:rsidRPr="00AB55F8">
        <w:rPr>
          <w:rFonts w:asciiTheme="minorHAnsi" w:hAnsiTheme="minorHAnsi" w:cstheme="minorHAnsi"/>
          <w:sz w:val="18"/>
          <w:szCs w:val="18"/>
        </w:rPr>
        <w:t xml:space="preserve">efects in, or deficiency of, complement components, including factor H, factor D or </w:t>
      </w:r>
      <w:proofErr w:type="spellStart"/>
      <w:r w:rsidR="00B53E32" w:rsidRPr="00AB55F8">
        <w:rPr>
          <w:rFonts w:asciiTheme="minorHAnsi" w:hAnsiTheme="minorHAnsi" w:cstheme="minorHAnsi"/>
          <w:sz w:val="18"/>
          <w:szCs w:val="18"/>
        </w:rPr>
        <w:t>properdin</w:t>
      </w:r>
      <w:proofErr w:type="spellEnd"/>
      <w:r w:rsidR="00B53E32" w:rsidRPr="00AB55F8">
        <w:rPr>
          <w:rFonts w:asciiTheme="minorHAnsi" w:hAnsiTheme="minorHAnsi" w:cstheme="minorHAnsi"/>
          <w:sz w:val="18"/>
          <w:szCs w:val="18"/>
        </w:rPr>
        <w:t xml:space="preserve"> deficiency </w:t>
      </w:r>
    </w:p>
    <w:p w14:paraId="1F004CC1" w14:textId="1EFA0BAB" w:rsidR="00B53E32" w:rsidRPr="00F72BBB" w:rsidRDefault="00CA2AA5" w:rsidP="00CC7A83">
      <w:pPr>
        <w:pStyle w:val="BoxBullet"/>
        <w:pBdr>
          <w:top w:val="single" w:sz="4" w:space="0" w:color="000000"/>
          <w:left w:val="single" w:sz="4" w:space="0" w:color="000000"/>
        </w:pBdr>
        <w:tabs>
          <w:tab w:val="clear" w:pos="357"/>
          <w:tab w:val="num" w:pos="1071"/>
        </w:tabs>
        <w:ind w:left="107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</w:t>
      </w:r>
      <w:r w:rsidR="00B53E32" w:rsidRPr="00AB55F8">
        <w:rPr>
          <w:rFonts w:asciiTheme="minorHAnsi" w:hAnsiTheme="minorHAnsi" w:cstheme="minorHAnsi"/>
          <w:sz w:val="18"/>
          <w:szCs w:val="18"/>
        </w:rPr>
        <w:t xml:space="preserve">urrent or future treatment with </w:t>
      </w:r>
      <w:proofErr w:type="spellStart"/>
      <w:r w:rsidR="00B53E32" w:rsidRPr="00AB55F8">
        <w:rPr>
          <w:rFonts w:asciiTheme="minorHAnsi" w:hAnsiTheme="minorHAnsi" w:cstheme="minorHAnsi"/>
          <w:sz w:val="18"/>
          <w:szCs w:val="18"/>
        </w:rPr>
        <w:t>eculizumab</w:t>
      </w:r>
      <w:proofErr w:type="spellEnd"/>
      <w:r w:rsidR="00B53E32" w:rsidRPr="00AB55F8">
        <w:rPr>
          <w:rFonts w:asciiTheme="minorHAnsi" w:hAnsiTheme="minorHAnsi" w:cstheme="minorHAnsi"/>
          <w:sz w:val="18"/>
          <w:szCs w:val="18"/>
        </w:rPr>
        <w:t xml:space="preserve"> (a monoclonal antibody directed against complement component C5)</w:t>
      </w:r>
      <w:r w:rsidR="00B53E32" w:rsidRPr="00F72BBB">
        <w:rPr>
          <w:rFonts w:asciiTheme="minorHAnsi" w:eastAsiaTheme="majorEastAsia" w:hAnsiTheme="minorHAnsi" w:cstheme="minorHAnsi"/>
          <w:color w:val="auto"/>
          <w:sz w:val="18"/>
          <w:szCs w:val="18"/>
        </w:rPr>
        <w:t xml:space="preserve"> </w:t>
      </w:r>
    </w:p>
    <w:p w14:paraId="698D5B82" w14:textId="1FC19542" w:rsidR="00B53E32" w:rsidRPr="00B53E32" w:rsidRDefault="00E32101" w:rsidP="00CA2AA5">
      <w:pPr>
        <w:pStyle w:val="BoxBullet"/>
        <w:pBdr>
          <w:top w:val="single" w:sz="4" w:space="0" w:color="000000"/>
          <w:left w:val="single" w:sz="4" w:space="0" w:color="000000"/>
        </w:pBdr>
        <w:tabs>
          <w:tab w:val="clear" w:pos="357"/>
          <w:tab w:val="num" w:pos="1071"/>
        </w:tabs>
        <w:spacing w:after="0"/>
        <w:ind w:left="107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</w:t>
      </w:r>
      <w:r w:rsidR="00B53E32" w:rsidRPr="00F72BBB">
        <w:rPr>
          <w:rFonts w:asciiTheme="minorHAnsi" w:hAnsiTheme="minorHAnsi" w:cstheme="minorHAnsi"/>
          <w:sz w:val="18"/>
          <w:szCs w:val="18"/>
        </w:rPr>
        <w:t xml:space="preserve">unctional or anatomical </w:t>
      </w:r>
      <w:proofErr w:type="spellStart"/>
      <w:r w:rsidR="00B53E32" w:rsidRPr="00F72BBB">
        <w:rPr>
          <w:rFonts w:asciiTheme="minorHAnsi" w:hAnsiTheme="minorHAnsi" w:cstheme="minorHAnsi"/>
          <w:sz w:val="18"/>
          <w:szCs w:val="18"/>
        </w:rPr>
        <w:t>asplenia</w:t>
      </w:r>
      <w:proofErr w:type="spellEnd"/>
      <w:r w:rsidR="00B53E32" w:rsidRPr="00F72BBB">
        <w:rPr>
          <w:rFonts w:asciiTheme="minorHAnsi" w:hAnsiTheme="minorHAnsi" w:cstheme="minorHAnsi"/>
          <w:sz w:val="18"/>
          <w:szCs w:val="18"/>
        </w:rPr>
        <w:t xml:space="preserve">, including sickle cell disease or other </w:t>
      </w:r>
      <w:proofErr w:type="spellStart"/>
      <w:r w:rsidR="00B53E32" w:rsidRPr="00F72BBB">
        <w:rPr>
          <w:rFonts w:asciiTheme="minorHAnsi" w:hAnsiTheme="minorHAnsi" w:cstheme="minorHAnsi"/>
          <w:sz w:val="18"/>
          <w:szCs w:val="18"/>
        </w:rPr>
        <w:t>haemoglobinopathies</w:t>
      </w:r>
      <w:proofErr w:type="spellEnd"/>
      <w:r w:rsidR="00B53E32" w:rsidRPr="00F72BBB">
        <w:rPr>
          <w:rFonts w:asciiTheme="minorHAnsi" w:hAnsiTheme="minorHAnsi" w:cstheme="minorHAnsi"/>
          <w:sz w:val="18"/>
          <w:szCs w:val="18"/>
        </w:rPr>
        <w:t>, and congenital or acquired</w:t>
      </w:r>
      <w:r w:rsidR="0027573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C90EB1" w:rsidRPr="00C90EB1">
        <w:rPr>
          <w:rFonts w:asciiTheme="minorHAnsi" w:hAnsiTheme="minorHAnsi" w:cstheme="minorHAnsi"/>
          <w:sz w:val="18"/>
          <w:szCs w:val="18"/>
        </w:rPr>
        <w:t>asplenia</w:t>
      </w:r>
      <w:proofErr w:type="spellEnd"/>
    </w:p>
    <w:p w14:paraId="75EEB26F" w14:textId="668FE784" w:rsidR="00B53E32" w:rsidRDefault="004A48AB" w:rsidP="00FA433B">
      <w:pPr>
        <w:pStyle w:val="BulletedList"/>
        <w:numPr>
          <w:ilvl w:val="0"/>
          <w:numId w:val="0"/>
        </w:numPr>
        <w:spacing w:line="240" w:lineRule="auto"/>
        <w:ind w:left="720"/>
        <w:rPr>
          <w:bCs/>
          <w:i/>
          <w:iCs/>
          <w:sz w:val="18"/>
          <w:szCs w:val="18"/>
        </w:rPr>
      </w:pPr>
      <w:r>
        <w:rPr>
          <w:bCs/>
          <w:iCs/>
          <w:sz w:val="18"/>
          <w:szCs w:val="18"/>
        </w:rPr>
        <w:t>*</w:t>
      </w:r>
      <w:r w:rsidR="007403E1" w:rsidRPr="007403E1">
        <w:rPr>
          <w:bCs/>
          <w:i/>
          <w:iCs/>
          <w:sz w:val="18"/>
          <w:szCs w:val="18"/>
        </w:rPr>
        <w:t xml:space="preserve"> </w:t>
      </w:r>
      <w:r w:rsidR="007403E1" w:rsidRPr="00CC7A83">
        <w:rPr>
          <w:bCs/>
          <w:iCs/>
          <w:sz w:val="14"/>
          <w:szCs w:val="14"/>
        </w:rPr>
        <w:t xml:space="preserve">Please refer to The Australian Immunisation Handbook available at immunisationhandbook.health.gov.au for advice on persons who are strongly recommended to receive meningococcal vaccination but not eligible for NIP funded </w:t>
      </w:r>
      <w:proofErr w:type="spellStart"/>
      <w:r w:rsidR="007403E1" w:rsidRPr="00CC7A83">
        <w:rPr>
          <w:bCs/>
          <w:iCs/>
          <w:sz w:val="14"/>
          <w:szCs w:val="14"/>
        </w:rPr>
        <w:t>MenB</w:t>
      </w:r>
      <w:proofErr w:type="spellEnd"/>
      <w:r w:rsidR="007403E1" w:rsidRPr="00CC7A83">
        <w:rPr>
          <w:bCs/>
          <w:iCs/>
          <w:sz w:val="14"/>
          <w:szCs w:val="14"/>
        </w:rPr>
        <w:t xml:space="preserve"> and </w:t>
      </w:r>
      <w:proofErr w:type="spellStart"/>
      <w:r w:rsidR="007403E1" w:rsidRPr="00CC7A83">
        <w:rPr>
          <w:bCs/>
          <w:iCs/>
          <w:sz w:val="14"/>
          <w:szCs w:val="14"/>
        </w:rPr>
        <w:t>MenACWY</w:t>
      </w:r>
      <w:proofErr w:type="spellEnd"/>
      <w:r w:rsidR="007403E1" w:rsidRPr="00CC7A83">
        <w:rPr>
          <w:bCs/>
          <w:iCs/>
          <w:sz w:val="14"/>
          <w:szCs w:val="14"/>
        </w:rPr>
        <w:t xml:space="preserve"> vaccines</w:t>
      </w:r>
    </w:p>
    <w:p w14:paraId="1815B96E" w14:textId="77777777" w:rsidR="007403E1" w:rsidRPr="00360995" w:rsidRDefault="007403E1" w:rsidP="00B53E32">
      <w:pPr>
        <w:pStyle w:val="BulletedList"/>
        <w:numPr>
          <w:ilvl w:val="0"/>
          <w:numId w:val="0"/>
        </w:numPr>
        <w:ind w:left="720" w:hanging="360"/>
        <w:rPr>
          <w:bCs/>
          <w:i/>
          <w:iCs/>
          <w:sz w:val="18"/>
          <w:szCs w:val="18"/>
        </w:rPr>
      </w:pPr>
    </w:p>
    <w:p w14:paraId="790BCDD9" w14:textId="10DCE66D" w:rsidR="00CE4C80" w:rsidRDefault="006C34A6" w:rsidP="000436F7">
      <w:pPr>
        <w:pStyle w:val="BulletedList"/>
        <w:numPr>
          <w:ilvl w:val="1"/>
          <w:numId w:val="24"/>
        </w:numPr>
        <w:rPr>
          <w:i/>
          <w:sz w:val="18"/>
          <w:szCs w:val="18"/>
        </w:rPr>
      </w:pPr>
      <w:r w:rsidRPr="00D04B0A">
        <w:rPr>
          <w:i/>
          <w:sz w:val="18"/>
          <w:szCs w:val="18"/>
        </w:rPr>
        <w:t xml:space="preserve">A nationally funded meningococcal B vaccination program </w:t>
      </w:r>
      <w:r w:rsidR="00AC25A4" w:rsidRPr="00D04B0A">
        <w:rPr>
          <w:i/>
          <w:sz w:val="18"/>
          <w:szCs w:val="18"/>
        </w:rPr>
        <w:t xml:space="preserve">for </w:t>
      </w:r>
      <w:r w:rsidR="000524CD">
        <w:rPr>
          <w:i/>
          <w:sz w:val="18"/>
          <w:szCs w:val="18"/>
        </w:rPr>
        <w:t xml:space="preserve">the </w:t>
      </w:r>
      <w:r w:rsidR="00AC25A4" w:rsidRPr="00D04B0A">
        <w:rPr>
          <w:i/>
          <w:sz w:val="18"/>
          <w:szCs w:val="18"/>
        </w:rPr>
        <w:t>above</w:t>
      </w:r>
      <w:r w:rsidRPr="00D04B0A">
        <w:rPr>
          <w:i/>
          <w:sz w:val="18"/>
          <w:szCs w:val="18"/>
        </w:rPr>
        <w:t xml:space="preserve"> populations has been assessed as cost-effective.</w:t>
      </w:r>
    </w:p>
    <w:p w14:paraId="5622ED29" w14:textId="0325AFC4" w:rsidR="00C20D94" w:rsidRPr="00D04B0A" w:rsidRDefault="00C20D94" w:rsidP="00CC7A83">
      <w:pPr>
        <w:pStyle w:val="BulletedList"/>
        <w:numPr>
          <w:ilvl w:val="1"/>
          <w:numId w:val="24"/>
        </w:numPr>
        <w:rPr>
          <w:i/>
          <w:sz w:val="18"/>
          <w:szCs w:val="18"/>
        </w:rPr>
      </w:pPr>
      <w:proofErr w:type="spellStart"/>
      <w:r w:rsidRPr="00D04B0A">
        <w:rPr>
          <w:i/>
          <w:sz w:val="18"/>
          <w:szCs w:val="18"/>
        </w:rPr>
        <w:t>Men</w:t>
      </w:r>
      <w:r w:rsidR="006C34A6" w:rsidRPr="00D04B0A">
        <w:rPr>
          <w:i/>
          <w:sz w:val="18"/>
          <w:szCs w:val="18"/>
        </w:rPr>
        <w:t>ingoccoccal</w:t>
      </w:r>
      <w:proofErr w:type="spellEnd"/>
      <w:r w:rsidR="006C34A6" w:rsidRPr="00D04B0A">
        <w:rPr>
          <w:i/>
          <w:sz w:val="18"/>
          <w:szCs w:val="18"/>
        </w:rPr>
        <w:t xml:space="preserve"> </w:t>
      </w:r>
      <w:proofErr w:type="spellStart"/>
      <w:r w:rsidR="00425CED">
        <w:rPr>
          <w:i/>
          <w:sz w:val="18"/>
          <w:szCs w:val="18"/>
        </w:rPr>
        <w:t>serogroup</w:t>
      </w:r>
      <w:proofErr w:type="spellEnd"/>
      <w:r w:rsidR="00425CED">
        <w:rPr>
          <w:i/>
          <w:sz w:val="18"/>
          <w:szCs w:val="18"/>
        </w:rPr>
        <w:t xml:space="preserve"> </w:t>
      </w:r>
      <w:r w:rsidRPr="00D04B0A">
        <w:rPr>
          <w:i/>
          <w:sz w:val="18"/>
          <w:szCs w:val="18"/>
        </w:rPr>
        <w:t xml:space="preserve">B </w:t>
      </w:r>
      <w:r w:rsidR="000E1088" w:rsidRPr="00D04B0A">
        <w:rPr>
          <w:i/>
          <w:sz w:val="18"/>
          <w:szCs w:val="18"/>
        </w:rPr>
        <w:t>(</w:t>
      </w:r>
      <w:proofErr w:type="spellStart"/>
      <w:r w:rsidR="000E1088" w:rsidRPr="00D04B0A">
        <w:rPr>
          <w:i/>
          <w:sz w:val="18"/>
          <w:szCs w:val="18"/>
        </w:rPr>
        <w:t>MenB</w:t>
      </w:r>
      <w:proofErr w:type="spellEnd"/>
      <w:r w:rsidR="000E1088" w:rsidRPr="00D04B0A">
        <w:rPr>
          <w:i/>
          <w:sz w:val="18"/>
          <w:szCs w:val="18"/>
        </w:rPr>
        <w:t xml:space="preserve">) </w:t>
      </w:r>
      <w:r w:rsidR="00AC25A4" w:rsidRPr="00D04B0A">
        <w:rPr>
          <w:i/>
          <w:sz w:val="18"/>
          <w:szCs w:val="18"/>
        </w:rPr>
        <w:t>vaccine continues</w:t>
      </w:r>
      <w:r w:rsidR="00A31A18" w:rsidRPr="00D04B0A">
        <w:rPr>
          <w:i/>
          <w:sz w:val="18"/>
          <w:szCs w:val="18"/>
        </w:rPr>
        <w:t xml:space="preserve"> to be </w:t>
      </w:r>
      <w:r w:rsidRPr="00D04B0A">
        <w:rPr>
          <w:i/>
          <w:sz w:val="18"/>
          <w:szCs w:val="18"/>
        </w:rPr>
        <w:t>strongly recommended</w:t>
      </w:r>
      <w:r w:rsidR="00AA52C2" w:rsidRPr="00D04B0A">
        <w:rPr>
          <w:i/>
          <w:sz w:val="18"/>
          <w:szCs w:val="18"/>
        </w:rPr>
        <w:t xml:space="preserve"> </w:t>
      </w:r>
      <w:r w:rsidR="00CE4C80" w:rsidRPr="00D04B0A">
        <w:rPr>
          <w:i/>
          <w:sz w:val="18"/>
          <w:szCs w:val="18"/>
        </w:rPr>
        <w:t xml:space="preserve">also </w:t>
      </w:r>
      <w:r w:rsidR="00AA52C2" w:rsidRPr="00D04B0A">
        <w:rPr>
          <w:i/>
          <w:sz w:val="18"/>
          <w:szCs w:val="18"/>
        </w:rPr>
        <w:t xml:space="preserve">for non-Indigenous children aged &lt;2 years, Aboriginal and Torres Strait Islander children aged 2–14 years, all adolescents aged 15–19 years, people living with HIV, recipients of </w:t>
      </w:r>
      <w:proofErr w:type="spellStart"/>
      <w:r w:rsidR="00AA52C2" w:rsidRPr="00D04B0A">
        <w:rPr>
          <w:i/>
          <w:sz w:val="18"/>
          <w:szCs w:val="18"/>
        </w:rPr>
        <w:t>haematopoietic</w:t>
      </w:r>
      <w:proofErr w:type="spellEnd"/>
      <w:r w:rsidR="00AA52C2" w:rsidRPr="00D04B0A">
        <w:rPr>
          <w:i/>
          <w:sz w:val="18"/>
          <w:szCs w:val="18"/>
        </w:rPr>
        <w:t xml:space="preserve"> stem cell transplant, young adults aged 20–24 years who are smokers or living in close quarters, and laboratory workers handling Neisseria </w:t>
      </w:r>
      <w:proofErr w:type="spellStart"/>
      <w:r w:rsidR="00AA52C2" w:rsidRPr="00D04B0A">
        <w:rPr>
          <w:i/>
          <w:sz w:val="18"/>
          <w:szCs w:val="18"/>
        </w:rPr>
        <w:t>meningitidis</w:t>
      </w:r>
      <w:proofErr w:type="spellEnd"/>
      <w:r w:rsidR="00AA52C2" w:rsidRPr="00D04B0A">
        <w:rPr>
          <w:i/>
          <w:sz w:val="18"/>
          <w:szCs w:val="18"/>
        </w:rPr>
        <w:t>. However</w:t>
      </w:r>
      <w:r w:rsidR="00B54729" w:rsidRPr="00D04B0A">
        <w:rPr>
          <w:i/>
          <w:sz w:val="18"/>
          <w:szCs w:val="18"/>
        </w:rPr>
        <w:t xml:space="preserve"> </w:t>
      </w:r>
      <w:r w:rsidR="00AA52C2" w:rsidRPr="00D04B0A">
        <w:rPr>
          <w:i/>
          <w:sz w:val="18"/>
          <w:szCs w:val="18"/>
        </w:rPr>
        <w:t xml:space="preserve">these populations are </w:t>
      </w:r>
      <w:r w:rsidR="00B54729" w:rsidRPr="00284C44">
        <w:rPr>
          <w:i/>
          <w:sz w:val="18"/>
          <w:szCs w:val="18"/>
          <w:u w:val="single"/>
        </w:rPr>
        <w:t xml:space="preserve">not </w:t>
      </w:r>
      <w:r w:rsidR="00AA52C2" w:rsidRPr="00284C44">
        <w:rPr>
          <w:i/>
          <w:sz w:val="18"/>
          <w:szCs w:val="18"/>
          <w:u w:val="single"/>
        </w:rPr>
        <w:t>eligible</w:t>
      </w:r>
      <w:r w:rsidR="00AA52C2" w:rsidRPr="00D04B0A">
        <w:rPr>
          <w:i/>
          <w:sz w:val="18"/>
          <w:szCs w:val="18"/>
        </w:rPr>
        <w:t xml:space="preserve"> for </w:t>
      </w:r>
      <w:r w:rsidR="00B54729" w:rsidRPr="00D04B0A">
        <w:rPr>
          <w:i/>
          <w:sz w:val="18"/>
          <w:szCs w:val="18"/>
        </w:rPr>
        <w:t>NIP</w:t>
      </w:r>
      <w:r w:rsidR="00AA52C2" w:rsidRPr="00D04B0A">
        <w:rPr>
          <w:i/>
          <w:sz w:val="18"/>
          <w:szCs w:val="18"/>
        </w:rPr>
        <w:t>-</w:t>
      </w:r>
      <w:r w:rsidR="00B54729" w:rsidRPr="00D04B0A">
        <w:rPr>
          <w:i/>
          <w:sz w:val="18"/>
          <w:szCs w:val="18"/>
        </w:rPr>
        <w:t>funded</w:t>
      </w:r>
      <w:r w:rsidR="00AA52C2" w:rsidRPr="00D04B0A">
        <w:rPr>
          <w:i/>
          <w:sz w:val="18"/>
          <w:szCs w:val="18"/>
        </w:rPr>
        <w:t xml:space="preserve"> doses</w:t>
      </w:r>
      <w:r w:rsidR="00BF16C1" w:rsidRPr="00D04B0A">
        <w:rPr>
          <w:i/>
          <w:sz w:val="18"/>
          <w:szCs w:val="18"/>
        </w:rPr>
        <w:t>,</w:t>
      </w:r>
      <w:r w:rsidRPr="00D04B0A">
        <w:rPr>
          <w:i/>
          <w:sz w:val="18"/>
          <w:szCs w:val="18"/>
        </w:rPr>
        <w:t xml:space="preserve"> </w:t>
      </w:r>
      <w:r w:rsidR="00BF16C1" w:rsidRPr="00D04B0A">
        <w:rPr>
          <w:i/>
          <w:sz w:val="18"/>
          <w:szCs w:val="18"/>
        </w:rPr>
        <w:t xml:space="preserve">as cost-effectiveness thresholds for a nationally-funded population program </w:t>
      </w:r>
      <w:r w:rsidR="00AC25A4" w:rsidRPr="00D04B0A">
        <w:rPr>
          <w:i/>
          <w:sz w:val="18"/>
          <w:szCs w:val="18"/>
        </w:rPr>
        <w:t>have not</w:t>
      </w:r>
      <w:r w:rsidR="00D8650E" w:rsidRPr="00D04B0A">
        <w:rPr>
          <w:i/>
          <w:sz w:val="18"/>
          <w:szCs w:val="18"/>
        </w:rPr>
        <w:t xml:space="preserve"> been</w:t>
      </w:r>
      <w:r w:rsidR="00BF16C1" w:rsidRPr="00D04B0A">
        <w:rPr>
          <w:i/>
          <w:sz w:val="18"/>
          <w:szCs w:val="18"/>
        </w:rPr>
        <w:t xml:space="preserve"> met</w:t>
      </w:r>
      <w:r w:rsidR="00284C44">
        <w:rPr>
          <w:i/>
          <w:sz w:val="18"/>
          <w:szCs w:val="18"/>
        </w:rPr>
        <w:t xml:space="preserve"> </w:t>
      </w:r>
      <w:r w:rsidR="00284C44" w:rsidRPr="00284C44">
        <w:rPr>
          <w:i/>
          <w:sz w:val="18"/>
          <w:szCs w:val="18"/>
          <w:lang w:val="en-AU"/>
        </w:rPr>
        <w:t>to-date</w:t>
      </w:r>
      <w:r w:rsidRPr="00D04B0A">
        <w:rPr>
          <w:i/>
          <w:sz w:val="18"/>
          <w:szCs w:val="18"/>
        </w:rPr>
        <w:t xml:space="preserve">. </w:t>
      </w:r>
    </w:p>
    <w:p w14:paraId="7A3AA758" w14:textId="529D512F" w:rsidR="008274CC" w:rsidRPr="00AB55F8" w:rsidRDefault="00B46E24" w:rsidP="00583878">
      <w:pPr>
        <w:pStyle w:val="BulletedList"/>
        <w:rPr>
          <w:sz w:val="18"/>
          <w:szCs w:val="18"/>
        </w:rPr>
      </w:pPr>
      <w:r w:rsidRPr="00AB55F8">
        <w:rPr>
          <w:sz w:val="18"/>
          <w:szCs w:val="18"/>
        </w:rPr>
        <w:t xml:space="preserve">The </w:t>
      </w:r>
      <w:r w:rsidR="008274CC" w:rsidRPr="00AB55F8">
        <w:rPr>
          <w:sz w:val="18"/>
          <w:szCs w:val="18"/>
        </w:rPr>
        <w:t>q</w:t>
      </w:r>
      <w:proofErr w:type="spellStart"/>
      <w:r w:rsidR="00AA1943" w:rsidRPr="00AB55F8">
        <w:rPr>
          <w:sz w:val="18"/>
          <w:szCs w:val="18"/>
          <w:lang w:val="en-AU"/>
        </w:rPr>
        <w:t>uadrivalent</w:t>
      </w:r>
      <w:proofErr w:type="spellEnd"/>
      <w:r w:rsidR="00AA1943" w:rsidRPr="00AB55F8">
        <w:rPr>
          <w:sz w:val="18"/>
          <w:szCs w:val="18"/>
        </w:rPr>
        <w:t xml:space="preserve"> meningococcal </w:t>
      </w:r>
      <w:proofErr w:type="spellStart"/>
      <w:r w:rsidR="00AA1943" w:rsidRPr="00AB55F8">
        <w:rPr>
          <w:sz w:val="18"/>
          <w:szCs w:val="18"/>
        </w:rPr>
        <w:t>serogroup</w:t>
      </w:r>
      <w:proofErr w:type="spellEnd"/>
      <w:r w:rsidR="00AA1943" w:rsidRPr="00AB55F8">
        <w:rPr>
          <w:sz w:val="18"/>
          <w:szCs w:val="18"/>
        </w:rPr>
        <w:t xml:space="preserve"> ACWY</w:t>
      </w:r>
      <w:r w:rsidR="008274CC" w:rsidRPr="00AB55F8">
        <w:rPr>
          <w:sz w:val="18"/>
          <w:szCs w:val="18"/>
        </w:rPr>
        <w:t xml:space="preserve"> (</w:t>
      </w:r>
      <w:proofErr w:type="spellStart"/>
      <w:r w:rsidR="008274CC" w:rsidRPr="00AB55F8">
        <w:rPr>
          <w:sz w:val="18"/>
          <w:szCs w:val="18"/>
        </w:rPr>
        <w:t>MenACWY</w:t>
      </w:r>
      <w:proofErr w:type="spellEnd"/>
      <w:r w:rsidR="008274CC" w:rsidRPr="00AB55F8">
        <w:rPr>
          <w:sz w:val="18"/>
          <w:szCs w:val="18"/>
        </w:rPr>
        <w:t>)</w:t>
      </w:r>
      <w:r w:rsidR="00425CED">
        <w:rPr>
          <w:sz w:val="18"/>
          <w:szCs w:val="18"/>
        </w:rPr>
        <w:t xml:space="preserve"> vaccine,</w:t>
      </w:r>
      <w:r w:rsidR="00284C44">
        <w:rPr>
          <w:sz w:val="18"/>
          <w:szCs w:val="18"/>
        </w:rPr>
        <w:t xml:space="preserve"> </w:t>
      </w:r>
      <w:proofErr w:type="spellStart"/>
      <w:r w:rsidR="008274CC" w:rsidRPr="00CD0E83">
        <w:rPr>
          <w:sz w:val="18"/>
          <w:szCs w:val="18"/>
        </w:rPr>
        <w:t>Nimenrix</w:t>
      </w:r>
      <w:proofErr w:type="spellEnd"/>
      <w:r w:rsidR="008274CC" w:rsidRPr="00AB55F8">
        <w:rPr>
          <w:sz w:val="18"/>
          <w:szCs w:val="18"/>
          <w:lang w:val="en-AU"/>
        </w:rPr>
        <w:t>®</w:t>
      </w:r>
      <w:r w:rsidR="008274CC" w:rsidRPr="00AB55F8">
        <w:rPr>
          <w:i/>
          <w:sz w:val="18"/>
          <w:szCs w:val="18"/>
        </w:rPr>
        <w:t xml:space="preserve"> </w:t>
      </w:r>
      <w:r w:rsidR="00DB5E3A">
        <w:rPr>
          <w:sz w:val="18"/>
          <w:szCs w:val="18"/>
        </w:rPr>
        <w:t>is now</w:t>
      </w:r>
      <w:r w:rsidR="00AA1943" w:rsidRPr="00AB55F8">
        <w:rPr>
          <w:sz w:val="18"/>
          <w:szCs w:val="18"/>
        </w:rPr>
        <w:t xml:space="preserve"> available through the NIP for</w:t>
      </w:r>
    </w:p>
    <w:p w14:paraId="1A189C59" w14:textId="6B7062DF" w:rsidR="00AA1943" w:rsidRPr="00CD0E83" w:rsidRDefault="008274CC" w:rsidP="00DE106C">
      <w:pPr>
        <w:pStyle w:val="BulletedList"/>
        <w:numPr>
          <w:ilvl w:val="0"/>
          <w:numId w:val="25"/>
        </w:numPr>
        <w:rPr>
          <w:i/>
          <w:sz w:val="18"/>
          <w:szCs w:val="18"/>
        </w:rPr>
      </w:pPr>
      <w:r w:rsidRPr="00CD0E83">
        <w:rPr>
          <w:i/>
          <w:sz w:val="18"/>
          <w:szCs w:val="18"/>
        </w:rPr>
        <w:t>P</w:t>
      </w:r>
      <w:r w:rsidR="00AA1943" w:rsidRPr="00CD0E83">
        <w:rPr>
          <w:i/>
          <w:sz w:val="18"/>
          <w:szCs w:val="18"/>
        </w:rPr>
        <w:t xml:space="preserve">eople of all ages with </w:t>
      </w:r>
      <w:r w:rsidR="00AA1943" w:rsidRPr="0023687B">
        <w:rPr>
          <w:b/>
          <w:sz w:val="18"/>
          <w:szCs w:val="18"/>
        </w:rPr>
        <w:t xml:space="preserve">some </w:t>
      </w:r>
      <w:r w:rsidR="00D23BC4">
        <w:rPr>
          <w:i/>
          <w:sz w:val="18"/>
          <w:szCs w:val="18"/>
        </w:rPr>
        <w:t xml:space="preserve">specified </w:t>
      </w:r>
      <w:r w:rsidR="00AA1943" w:rsidRPr="00CD0E83">
        <w:rPr>
          <w:i/>
          <w:sz w:val="18"/>
          <w:szCs w:val="18"/>
        </w:rPr>
        <w:t xml:space="preserve">medical conditions that increase their risk of </w:t>
      </w:r>
      <w:r w:rsidR="00DE106C" w:rsidRPr="00DE106C">
        <w:rPr>
          <w:i/>
          <w:sz w:val="18"/>
          <w:szCs w:val="18"/>
        </w:rPr>
        <w:t xml:space="preserve">invasive </w:t>
      </w:r>
      <w:r w:rsidR="002B2AE8" w:rsidRPr="00CD0E83">
        <w:rPr>
          <w:i/>
          <w:sz w:val="18"/>
          <w:szCs w:val="18"/>
        </w:rPr>
        <w:t>meningococcal disease</w:t>
      </w:r>
      <w:r w:rsidR="00AA1943" w:rsidRPr="00CD0E83">
        <w:rPr>
          <w:i/>
          <w:sz w:val="18"/>
          <w:szCs w:val="18"/>
        </w:rPr>
        <w:t xml:space="preserve"> (</w:t>
      </w:r>
      <w:r w:rsidR="00DB7458" w:rsidRPr="00CD0E83">
        <w:rPr>
          <w:i/>
          <w:sz w:val="18"/>
          <w:szCs w:val="18"/>
        </w:rPr>
        <w:t xml:space="preserve">List </w:t>
      </w:r>
      <w:r w:rsidR="00AA1943" w:rsidRPr="00CD0E83">
        <w:rPr>
          <w:i/>
          <w:sz w:val="18"/>
          <w:szCs w:val="18"/>
        </w:rPr>
        <w:t>1).</w:t>
      </w:r>
    </w:p>
    <w:p w14:paraId="3D32CC10" w14:textId="4BF66970" w:rsidR="00AA1943" w:rsidRPr="00AB55F8" w:rsidRDefault="00B54729" w:rsidP="00583878">
      <w:pPr>
        <w:pStyle w:val="BulletedList"/>
        <w:numPr>
          <w:ilvl w:val="1"/>
          <w:numId w:val="4"/>
        </w:numPr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 w:rsidR="000844FF" w:rsidRPr="00AB55F8">
        <w:rPr>
          <w:i/>
          <w:sz w:val="18"/>
          <w:szCs w:val="18"/>
        </w:rPr>
        <w:t xml:space="preserve">hose with ongoing increased risk of </w:t>
      </w:r>
      <w:r w:rsidR="00C8333A" w:rsidRPr="00AB55F8">
        <w:rPr>
          <w:i/>
          <w:sz w:val="18"/>
          <w:szCs w:val="18"/>
        </w:rPr>
        <w:t xml:space="preserve">invasive </w:t>
      </w:r>
      <w:r w:rsidR="000844FF" w:rsidRPr="00AB55F8">
        <w:rPr>
          <w:i/>
          <w:sz w:val="18"/>
          <w:szCs w:val="18"/>
        </w:rPr>
        <w:t xml:space="preserve">meningococcal disease due to these </w:t>
      </w:r>
      <w:r w:rsidR="004858D9" w:rsidRPr="00AB55F8">
        <w:rPr>
          <w:i/>
          <w:sz w:val="18"/>
          <w:szCs w:val="18"/>
        </w:rPr>
        <w:t xml:space="preserve">medical </w:t>
      </w:r>
      <w:r w:rsidR="00AC25A4">
        <w:rPr>
          <w:i/>
          <w:sz w:val="18"/>
          <w:szCs w:val="18"/>
        </w:rPr>
        <w:t>conditions</w:t>
      </w:r>
      <w:r w:rsidR="000F2092" w:rsidRPr="00AB55F8">
        <w:rPr>
          <w:i/>
          <w:sz w:val="18"/>
          <w:szCs w:val="18"/>
        </w:rPr>
        <w:t xml:space="preserve"> </w:t>
      </w:r>
      <w:r w:rsidR="002B2AE8" w:rsidRPr="00AB55F8">
        <w:rPr>
          <w:i/>
          <w:sz w:val="18"/>
          <w:szCs w:val="18"/>
        </w:rPr>
        <w:t xml:space="preserve">are also </w:t>
      </w:r>
      <w:r w:rsidR="007D6885">
        <w:rPr>
          <w:i/>
          <w:sz w:val="18"/>
          <w:szCs w:val="18"/>
        </w:rPr>
        <w:t xml:space="preserve">eligible for </w:t>
      </w:r>
      <w:r w:rsidR="002B2AE8" w:rsidRPr="00AB55F8">
        <w:rPr>
          <w:i/>
          <w:sz w:val="18"/>
          <w:szCs w:val="18"/>
        </w:rPr>
        <w:t>funded</w:t>
      </w:r>
      <w:r w:rsidR="002D7DA6" w:rsidRPr="002D7DA6">
        <w:rPr>
          <w:i/>
          <w:sz w:val="18"/>
          <w:szCs w:val="18"/>
        </w:rPr>
        <w:t xml:space="preserve"> </w:t>
      </w:r>
      <w:r w:rsidR="002D7DA6">
        <w:rPr>
          <w:i/>
          <w:sz w:val="18"/>
          <w:szCs w:val="18"/>
        </w:rPr>
        <w:t>b</w:t>
      </w:r>
      <w:r w:rsidR="002D7DA6" w:rsidRPr="00AB55F8">
        <w:rPr>
          <w:i/>
          <w:sz w:val="18"/>
          <w:szCs w:val="18"/>
        </w:rPr>
        <w:t>ooster dose(s),</w:t>
      </w:r>
      <w:r w:rsidR="002D7DA6">
        <w:rPr>
          <w:i/>
          <w:sz w:val="18"/>
          <w:szCs w:val="18"/>
        </w:rPr>
        <w:t xml:space="preserve"> </w:t>
      </w:r>
      <w:r w:rsidR="002D7DA6" w:rsidRPr="00AB55F8">
        <w:rPr>
          <w:i/>
          <w:sz w:val="18"/>
          <w:szCs w:val="18"/>
        </w:rPr>
        <w:t>as recommended by the Australian Immunisation Handbook</w:t>
      </w:r>
      <w:r w:rsidR="009A7B48">
        <w:rPr>
          <w:i/>
          <w:sz w:val="18"/>
          <w:szCs w:val="18"/>
        </w:rPr>
        <w:t>.</w:t>
      </w:r>
    </w:p>
    <w:p w14:paraId="2CA453F8" w14:textId="42F1CB13" w:rsidR="00AA1943" w:rsidRPr="00AB55F8" w:rsidRDefault="00AA1943" w:rsidP="00923173">
      <w:pPr>
        <w:pStyle w:val="BulletedList"/>
        <w:rPr>
          <w:sz w:val="18"/>
          <w:szCs w:val="18"/>
        </w:rPr>
      </w:pPr>
      <w:r w:rsidRPr="00AB55F8">
        <w:rPr>
          <w:sz w:val="18"/>
          <w:szCs w:val="18"/>
        </w:rPr>
        <w:lastRenderedPageBreak/>
        <w:t>The meningococcal ACWY (</w:t>
      </w:r>
      <w:proofErr w:type="spellStart"/>
      <w:r w:rsidRPr="00AB55F8">
        <w:rPr>
          <w:sz w:val="18"/>
          <w:szCs w:val="18"/>
        </w:rPr>
        <w:t>MenACWY</w:t>
      </w:r>
      <w:proofErr w:type="spellEnd"/>
      <w:r w:rsidRPr="00AB55F8">
        <w:rPr>
          <w:sz w:val="18"/>
          <w:szCs w:val="18"/>
        </w:rPr>
        <w:t xml:space="preserve">) vaccine will continue to be funded under the NIP </w:t>
      </w:r>
      <w:r w:rsidR="00B46E24" w:rsidRPr="00AB55F8">
        <w:rPr>
          <w:sz w:val="18"/>
          <w:szCs w:val="18"/>
        </w:rPr>
        <w:t xml:space="preserve">with a single dose </w:t>
      </w:r>
      <w:r w:rsidRPr="00AB55F8">
        <w:rPr>
          <w:sz w:val="18"/>
          <w:szCs w:val="18"/>
        </w:rPr>
        <w:t>for:</w:t>
      </w:r>
    </w:p>
    <w:p w14:paraId="3F809C6D" w14:textId="19D8BB22" w:rsidR="003023F4" w:rsidRPr="00CC52CB" w:rsidRDefault="006401B8" w:rsidP="00C813BF">
      <w:pPr>
        <w:pStyle w:val="BulletedList"/>
        <w:numPr>
          <w:ilvl w:val="1"/>
          <w:numId w:val="4"/>
        </w:numPr>
        <w:rPr>
          <w:i/>
          <w:sz w:val="18"/>
          <w:szCs w:val="18"/>
        </w:rPr>
      </w:pPr>
      <w:r w:rsidRPr="00CC52CB">
        <w:rPr>
          <w:i/>
          <w:sz w:val="18"/>
          <w:szCs w:val="18"/>
        </w:rPr>
        <w:t>All</w:t>
      </w:r>
      <w:r w:rsidR="003023F4" w:rsidRPr="00CC52CB">
        <w:rPr>
          <w:i/>
          <w:sz w:val="18"/>
          <w:szCs w:val="18"/>
        </w:rPr>
        <w:t xml:space="preserve"> children at 12 months of age.</w:t>
      </w:r>
    </w:p>
    <w:p w14:paraId="05867A38" w14:textId="1667EF21" w:rsidR="003023F4" w:rsidRPr="00CC52CB" w:rsidRDefault="006401B8" w:rsidP="00C813BF">
      <w:pPr>
        <w:pStyle w:val="BulletedList"/>
        <w:numPr>
          <w:ilvl w:val="1"/>
          <w:numId w:val="4"/>
        </w:numPr>
        <w:rPr>
          <w:i/>
          <w:sz w:val="18"/>
          <w:szCs w:val="18"/>
        </w:rPr>
      </w:pPr>
      <w:r w:rsidRPr="00CC52CB">
        <w:rPr>
          <w:i/>
          <w:sz w:val="18"/>
          <w:szCs w:val="18"/>
          <w:lang w:val="en-AU"/>
        </w:rPr>
        <w:t>A</w:t>
      </w:r>
      <w:r w:rsidR="003023F4" w:rsidRPr="00CC52CB">
        <w:rPr>
          <w:i/>
          <w:sz w:val="18"/>
          <w:szCs w:val="18"/>
          <w:lang w:val="en-AU"/>
        </w:rPr>
        <w:t>ll adolescents at approximately 14 to &lt;16 years of age, mostly administered through the school immunisation program</w:t>
      </w:r>
      <w:r w:rsidR="005B7E60">
        <w:rPr>
          <w:i/>
          <w:sz w:val="18"/>
          <w:szCs w:val="18"/>
          <w:lang w:val="en-AU"/>
        </w:rPr>
        <w:t>, with catch-up available up to age 19 years</w:t>
      </w:r>
      <w:r w:rsidR="00107D13">
        <w:rPr>
          <w:i/>
          <w:sz w:val="18"/>
          <w:szCs w:val="18"/>
          <w:lang w:val="en-AU"/>
        </w:rPr>
        <w:t>.</w:t>
      </w:r>
    </w:p>
    <w:p w14:paraId="738D77FC" w14:textId="77777777" w:rsidR="006658F8" w:rsidRPr="00E90559" w:rsidRDefault="006658F8" w:rsidP="006658F8">
      <w:pPr>
        <w:pStyle w:val="BulletedList"/>
        <w:rPr>
          <w:sz w:val="18"/>
          <w:szCs w:val="18"/>
        </w:rPr>
      </w:pPr>
      <w:r w:rsidRPr="00D12121">
        <w:rPr>
          <w:sz w:val="18"/>
          <w:szCs w:val="18"/>
        </w:rPr>
        <w:t xml:space="preserve">Children &lt;2 years of age are recommended to receive prophylactic paracetamol with every dose of </w:t>
      </w:r>
      <w:proofErr w:type="spellStart"/>
      <w:r w:rsidRPr="00D12121">
        <w:rPr>
          <w:sz w:val="18"/>
          <w:szCs w:val="18"/>
        </w:rPr>
        <w:t>Bexsero</w:t>
      </w:r>
      <w:proofErr w:type="spellEnd"/>
      <w:r>
        <w:rPr>
          <w:sz w:val="18"/>
          <w:szCs w:val="18"/>
        </w:rPr>
        <w:t>®</w:t>
      </w:r>
      <w:r w:rsidRPr="00D12121">
        <w:rPr>
          <w:sz w:val="18"/>
          <w:szCs w:val="18"/>
        </w:rPr>
        <w:t>. This is because of the increased risk of fever</w:t>
      </w:r>
      <w:r>
        <w:rPr>
          <w:sz w:val="18"/>
          <w:szCs w:val="18"/>
        </w:rPr>
        <w:t xml:space="preserve"> associated with </w:t>
      </w:r>
      <w:r w:rsidRPr="00D12121">
        <w:rPr>
          <w:sz w:val="18"/>
          <w:szCs w:val="18"/>
        </w:rPr>
        <w:t xml:space="preserve">receiving </w:t>
      </w:r>
      <w:proofErr w:type="spellStart"/>
      <w:r w:rsidRPr="00D12121">
        <w:rPr>
          <w:sz w:val="18"/>
          <w:szCs w:val="18"/>
        </w:rPr>
        <w:t>Bexsero</w:t>
      </w:r>
      <w:proofErr w:type="spellEnd"/>
      <w:r>
        <w:rPr>
          <w:sz w:val="18"/>
          <w:szCs w:val="18"/>
        </w:rPr>
        <w:t>®.</w:t>
      </w:r>
    </w:p>
    <w:p w14:paraId="1540E1E8" w14:textId="77777777" w:rsidR="006658F8" w:rsidRPr="00E90559" w:rsidRDefault="006658F8" w:rsidP="006658F8">
      <w:pPr>
        <w:pStyle w:val="ListParagraph"/>
        <w:numPr>
          <w:ilvl w:val="1"/>
          <w:numId w:val="4"/>
        </w:numPr>
        <w:rPr>
          <w:i/>
          <w:sz w:val="18"/>
          <w:szCs w:val="18"/>
        </w:rPr>
      </w:pPr>
      <w:r w:rsidRPr="00E90559">
        <w:rPr>
          <w:i/>
          <w:sz w:val="18"/>
          <w:szCs w:val="18"/>
        </w:rPr>
        <w:t xml:space="preserve">Give first dose </w:t>
      </w:r>
      <w:r w:rsidRPr="00E90559">
        <w:rPr>
          <w:i/>
          <w:sz w:val="18"/>
          <w:szCs w:val="18"/>
          <w:lang w:val="en"/>
        </w:rPr>
        <w:t>(15 mg/kg/dose) of paracetamol within 30 minutes before, or as soon as practicable after, receiving the vaccine, regardless of whether the child has a fever</w:t>
      </w:r>
      <w:r>
        <w:rPr>
          <w:i/>
          <w:sz w:val="18"/>
          <w:szCs w:val="18"/>
          <w:lang w:val="en"/>
        </w:rPr>
        <w:t>.</w:t>
      </w:r>
    </w:p>
    <w:p w14:paraId="75272F36" w14:textId="77777777" w:rsidR="006658F8" w:rsidRPr="007A43C0" w:rsidRDefault="006658F8" w:rsidP="00284C44">
      <w:pPr>
        <w:pStyle w:val="ListParagraph"/>
        <w:numPr>
          <w:ilvl w:val="1"/>
          <w:numId w:val="4"/>
        </w:numPr>
        <w:spacing w:after="0"/>
        <w:rPr>
          <w:sz w:val="18"/>
          <w:szCs w:val="18"/>
        </w:rPr>
      </w:pPr>
      <w:r w:rsidRPr="007A43C0">
        <w:rPr>
          <w:i/>
          <w:sz w:val="18"/>
          <w:szCs w:val="18"/>
          <w:lang w:val="en"/>
        </w:rPr>
        <w:t xml:space="preserve"> </w:t>
      </w:r>
      <w:r w:rsidRPr="00E90559">
        <w:rPr>
          <w:i/>
          <w:sz w:val="18"/>
          <w:szCs w:val="18"/>
          <w:lang w:val="en"/>
        </w:rPr>
        <w:t>This can be followed by 2 more doses of paracetamol given 6 hours apart</w:t>
      </w:r>
      <w:r>
        <w:rPr>
          <w:i/>
          <w:sz w:val="18"/>
          <w:szCs w:val="18"/>
          <w:lang w:val="en"/>
        </w:rPr>
        <w:t xml:space="preserve">.     </w:t>
      </w:r>
    </w:p>
    <w:p w14:paraId="1055A475" w14:textId="0785A29E" w:rsidR="001C1A24" w:rsidRPr="004B7696" w:rsidRDefault="00C63F15" w:rsidP="001C1A24">
      <w:pPr>
        <w:pStyle w:val="BulletedList"/>
        <w:rPr>
          <w:sz w:val="18"/>
          <w:szCs w:val="18"/>
        </w:rPr>
      </w:pPr>
      <w:r w:rsidRPr="00C63F15">
        <w:rPr>
          <w:sz w:val="18"/>
          <w:szCs w:val="18"/>
          <w:lang w:val="en-AU"/>
        </w:rPr>
        <w:t xml:space="preserve">Clinicians should ensure careful screening of all </w:t>
      </w:r>
      <w:r w:rsidR="00914854" w:rsidRPr="00C63F15">
        <w:rPr>
          <w:sz w:val="18"/>
          <w:szCs w:val="18"/>
          <w:lang w:val="en-AU"/>
        </w:rPr>
        <w:t>patients to</w:t>
      </w:r>
      <w:r w:rsidRPr="00C63F15">
        <w:rPr>
          <w:sz w:val="18"/>
          <w:szCs w:val="18"/>
          <w:lang w:val="en-AU"/>
        </w:rPr>
        <w:t xml:space="preserve"> determine if they have either</w:t>
      </w:r>
      <w:r w:rsidR="00C20D94" w:rsidRPr="00AB55F8">
        <w:rPr>
          <w:sz w:val="18"/>
          <w:szCs w:val="18"/>
        </w:rPr>
        <w:t>; a)</w:t>
      </w:r>
      <w:r w:rsidR="00D8650E">
        <w:rPr>
          <w:sz w:val="18"/>
          <w:szCs w:val="18"/>
        </w:rPr>
        <w:t xml:space="preserve"> specified</w:t>
      </w:r>
      <w:r w:rsidR="00C20D94" w:rsidRPr="00AB55F8">
        <w:rPr>
          <w:sz w:val="18"/>
          <w:szCs w:val="18"/>
        </w:rPr>
        <w:t xml:space="preserve"> risk conditions for </w:t>
      </w:r>
      <w:r w:rsidR="00C20D94" w:rsidRPr="00CD0E83">
        <w:rPr>
          <w:sz w:val="18"/>
          <w:szCs w:val="18"/>
        </w:rPr>
        <w:t>invasive</w:t>
      </w:r>
      <w:r w:rsidR="00C20D94" w:rsidRPr="00AB55F8">
        <w:rPr>
          <w:sz w:val="18"/>
          <w:szCs w:val="18"/>
        </w:rPr>
        <w:t xml:space="preserve"> meningococcal disease or b) identify as Aboriginal and Torres Strait Islander, as they may be eligible for </w:t>
      </w:r>
      <w:r w:rsidR="00C20D94" w:rsidRPr="004B7696">
        <w:rPr>
          <w:sz w:val="18"/>
          <w:szCs w:val="18"/>
        </w:rPr>
        <w:t xml:space="preserve">funded doses of meningococcal vaccine(s), as described below. </w:t>
      </w:r>
    </w:p>
    <w:p w14:paraId="1F924238" w14:textId="57D589AB" w:rsidR="00C603B4" w:rsidRPr="00A00578" w:rsidRDefault="00C603B4" w:rsidP="001E3B4F">
      <w:pPr>
        <w:pStyle w:val="Heading2"/>
        <w:rPr>
          <w:sz w:val="18"/>
          <w:szCs w:val="18"/>
        </w:rPr>
      </w:pPr>
      <w:r w:rsidRPr="00AB55F8">
        <w:rPr>
          <w:sz w:val="18"/>
          <w:szCs w:val="18"/>
          <w:lang w:eastAsia="en-US"/>
        </w:rPr>
        <w:t>Children and adults with conditions that increase the risk of invasive meningococcal disease</w:t>
      </w:r>
      <w:r w:rsidRPr="00C603B4">
        <w:rPr>
          <w:sz w:val="18"/>
          <w:szCs w:val="18"/>
        </w:rPr>
        <w:t xml:space="preserve"> </w:t>
      </w:r>
    </w:p>
    <w:p w14:paraId="45DC6246" w14:textId="7ECDFFF8" w:rsidR="00F428DB" w:rsidRPr="00AB55F8" w:rsidRDefault="009B22E9" w:rsidP="00C8333A">
      <w:pPr>
        <w:pStyle w:val="BulletedList"/>
        <w:rPr>
          <w:sz w:val="18"/>
          <w:szCs w:val="18"/>
          <w:lang w:val="en-AU"/>
        </w:rPr>
      </w:pPr>
      <w:proofErr w:type="spellStart"/>
      <w:r w:rsidRPr="00AB55F8">
        <w:rPr>
          <w:sz w:val="18"/>
          <w:szCs w:val="18"/>
        </w:rPr>
        <w:t>MenB</w:t>
      </w:r>
      <w:proofErr w:type="spellEnd"/>
      <w:r w:rsidRPr="00AB55F8">
        <w:rPr>
          <w:sz w:val="18"/>
          <w:szCs w:val="18"/>
        </w:rPr>
        <w:t xml:space="preserve"> </w:t>
      </w:r>
      <w:r w:rsidR="00E56AC8" w:rsidRPr="00AB55F8">
        <w:rPr>
          <w:sz w:val="18"/>
          <w:szCs w:val="18"/>
        </w:rPr>
        <w:t xml:space="preserve">and </w:t>
      </w:r>
      <w:proofErr w:type="spellStart"/>
      <w:r w:rsidR="00966A52" w:rsidRPr="00AB55F8">
        <w:rPr>
          <w:sz w:val="18"/>
          <w:szCs w:val="18"/>
        </w:rPr>
        <w:t>MenACWY</w:t>
      </w:r>
      <w:proofErr w:type="spellEnd"/>
      <w:r w:rsidR="00966A52" w:rsidRPr="00AB55F8">
        <w:rPr>
          <w:sz w:val="18"/>
          <w:szCs w:val="18"/>
        </w:rPr>
        <w:t xml:space="preserve"> vaccines</w:t>
      </w:r>
      <w:r w:rsidR="00EE7771" w:rsidRPr="00AB55F8">
        <w:rPr>
          <w:sz w:val="18"/>
          <w:szCs w:val="18"/>
        </w:rPr>
        <w:t xml:space="preserve"> </w:t>
      </w:r>
      <w:r w:rsidR="002B5B54" w:rsidRPr="00AB55F8">
        <w:rPr>
          <w:sz w:val="18"/>
          <w:szCs w:val="18"/>
        </w:rPr>
        <w:t xml:space="preserve">are </w:t>
      </w:r>
      <w:r w:rsidR="00EE7771" w:rsidRPr="00AB55F8">
        <w:rPr>
          <w:sz w:val="18"/>
          <w:szCs w:val="18"/>
        </w:rPr>
        <w:t>now</w:t>
      </w:r>
      <w:r w:rsidR="00F428DB" w:rsidRPr="00AB55F8">
        <w:rPr>
          <w:sz w:val="18"/>
          <w:szCs w:val="18"/>
        </w:rPr>
        <w:t xml:space="preserve"> </w:t>
      </w:r>
      <w:r w:rsidR="005325CE" w:rsidRPr="00AB55F8">
        <w:rPr>
          <w:sz w:val="18"/>
          <w:szCs w:val="18"/>
        </w:rPr>
        <w:t>funded under</w:t>
      </w:r>
      <w:r w:rsidR="00F428DB" w:rsidRPr="00AB55F8">
        <w:rPr>
          <w:sz w:val="18"/>
          <w:szCs w:val="18"/>
        </w:rPr>
        <w:t xml:space="preserve"> the NIP for </w:t>
      </w:r>
      <w:r w:rsidRPr="00AB55F8">
        <w:rPr>
          <w:sz w:val="18"/>
          <w:szCs w:val="18"/>
        </w:rPr>
        <w:t>people</w:t>
      </w:r>
      <w:r w:rsidR="00F428DB" w:rsidRPr="00AB55F8">
        <w:rPr>
          <w:sz w:val="18"/>
          <w:szCs w:val="18"/>
        </w:rPr>
        <w:t xml:space="preserve"> </w:t>
      </w:r>
      <w:r w:rsidR="00293250" w:rsidRPr="00AB55F8">
        <w:rPr>
          <w:sz w:val="18"/>
          <w:szCs w:val="18"/>
        </w:rPr>
        <w:t xml:space="preserve">of all ages with </w:t>
      </w:r>
      <w:r w:rsidR="005774A6" w:rsidRPr="00AB55F8">
        <w:rPr>
          <w:sz w:val="18"/>
          <w:szCs w:val="18"/>
        </w:rPr>
        <w:t xml:space="preserve">some </w:t>
      </w:r>
      <w:r w:rsidR="00392EE3">
        <w:rPr>
          <w:sz w:val="18"/>
          <w:szCs w:val="18"/>
        </w:rPr>
        <w:t xml:space="preserve">specified </w:t>
      </w:r>
      <w:r w:rsidR="00293250" w:rsidRPr="00AB55F8">
        <w:rPr>
          <w:sz w:val="18"/>
          <w:szCs w:val="18"/>
        </w:rPr>
        <w:t xml:space="preserve">medical </w:t>
      </w:r>
      <w:r w:rsidR="00F428DB" w:rsidRPr="00AB55F8">
        <w:rPr>
          <w:sz w:val="18"/>
          <w:szCs w:val="18"/>
        </w:rPr>
        <w:t xml:space="preserve">conditions </w:t>
      </w:r>
      <w:r w:rsidR="00293250" w:rsidRPr="00AB55F8">
        <w:rPr>
          <w:sz w:val="18"/>
          <w:szCs w:val="18"/>
        </w:rPr>
        <w:t xml:space="preserve">that increase their </w:t>
      </w:r>
      <w:r w:rsidR="00F428DB" w:rsidRPr="00AB55F8">
        <w:rPr>
          <w:sz w:val="18"/>
          <w:szCs w:val="18"/>
        </w:rPr>
        <w:t xml:space="preserve">risk of </w:t>
      </w:r>
      <w:r w:rsidR="00C8333A" w:rsidRPr="00AB55F8">
        <w:rPr>
          <w:sz w:val="18"/>
          <w:szCs w:val="18"/>
        </w:rPr>
        <w:t xml:space="preserve">invasive </w:t>
      </w:r>
      <w:r w:rsidR="002B2AE8" w:rsidRPr="00AB55F8">
        <w:rPr>
          <w:sz w:val="18"/>
          <w:szCs w:val="18"/>
        </w:rPr>
        <w:t>meningococcal disease</w:t>
      </w:r>
      <w:r w:rsidR="004A592D" w:rsidRPr="00AB55F8">
        <w:rPr>
          <w:sz w:val="18"/>
          <w:szCs w:val="18"/>
        </w:rPr>
        <w:t xml:space="preserve"> </w:t>
      </w:r>
      <w:r w:rsidR="00943EC2" w:rsidRPr="00AB55F8">
        <w:rPr>
          <w:sz w:val="18"/>
          <w:szCs w:val="18"/>
        </w:rPr>
        <w:t>(</w:t>
      </w:r>
      <w:r w:rsidR="001D0399" w:rsidRPr="00AB55F8">
        <w:rPr>
          <w:sz w:val="18"/>
          <w:szCs w:val="18"/>
        </w:rPr>
        <w:t xml:space="preserve">List </w:t>
      </w:r>
      <w:r w:rsidR="004A592D" w:rsidRPr="00AB55F8">
        <w:rPr>
          <w:sz w:val="18"/>
          <w:szCs w:val="18"/>
        </w:rPr>
        <w:t>1</w:t>
      </w:r>
      <w:r w:rsidR="00943EC2" w:rsidRPr="00AB55F8">
        <w:rPr>
          <w:sz w:val="18"/>
          <w:szCs w:val="18"/>
        </w:rPr>
        <w:t>)</w:t>
      </w:r>
      <w:r w:rsidR="00980774" w:rsidRPr="00AB55F8">
        <w:rPr>
          <w:sz w:val="18"/>
          <w:szCs w:val="18"/>
        </w:rPr>
        <w:t>.</w:t>
      </w:r>
      <w:r w:rsidR="00FA1518" w:rsidRPr="00AB55F8">
        <w:rPr>
          <w:sz w:val="18"/>
          <w:szCs w:val="18"/>
        </w:rPr>
        <w:t xml:space="preserve"> </w:t>
      </w:r>
      <w:r w:rsidR="00705227" w:rsidRPr="00AB55F8">
        <w:rPr>
          <w:sz w:val="18"/>
          <w:szCs w:val="18"/>
        </w:rPr>
        <w:t xml:space="preserve">Also </w:t>
      </w:r>
      <w:r w:rsidR="00392EE3">
        <w:rPr>
          <w:sz w:val="18"/>
          <w:szCs w:val="18"/>
        </w:rPr>
        <w:t>refer to</w:t>
      </w:r>
      <w:r w:rsidR="0062036A" w:rsidRPr="00AB55F8">
        <w:rPr>
          <w:sz w:val="18"/>
          <w:szCs w:val="18"/>
        </w:rPr>
        <w:t xml:space="preserve"> </w:t>
      </w:r>
      <w:hyperlink r:id="rId15" w:history="1">
        <w:r w:rsidR="00980774" w:rsidRPr="000A35C3">
          <w:rPr>
            <w:rStyle w:val="Hyperlink"/>
            <w:sz w:val="18"/>
            <w:szCs w:val="18"/>
          </w:rPr>
          <w:t xml:space="preserve">ATAGI </w:t>
        </w:r>
        <w:r w:rsidR="00DC5339" w:rsidRPr="000A35C3">
          <w:rPr>
            <w:rStyle w:val="Hyperlink"/>
            <w:sz w:val="18"/>
            <w:szCs w:val="18"/>
          </w:rPr>
          <w:t xml:space="preserve">clinical advice </w:t>
        </w:r>
        <w:r w:rsidR="00980774" w:rsidRPr="000A35C3">
          <w:rPr>
            <w:rStyle w:val="Hyperlink"/>
            <w:sz w:val="18"/>
            <w:szCs w:val="18"/>
            <w:lang w:val="en-AU"/>
          </w:rPr>
          <w:t xml:space="preserve">on changes to vaccine </w:t>
        </w:r>
        <w:r w:rsidR="00DC5339" w:rsidRPr="000A35C3">
          <w:rPr>
            <w:rStyle w:val="Hyperlink"/>
            <w:sz w:val="18"/>
            <w:szCs w:val="18"/>
            <w:lang w:val="en-AU"/>
          </w:rPr>
          <w:t xml:space="preserve">recommendations </w:t>
        </w:r>
        <w:r w:rsidR="00B41EF2" w:rsidRPr="000A35C3">
          <w:rPr>
            <w:rStyle w:val="Hyperlink"/>
            <w:sz w:val="18"/>
            <w:szCs w:val="18"/>
            <w:lang w:val="en-AU"/>
          </w:rPr>
          <w:t xml:space="preserve">and funding </w:t>
        </w:r>
        <w:r w:rsidR="00980774" w:rsidRPr="000A35C3">
          <w:rPr>
            <w:rStyle w:val="Hyperlink"/>
            <w:sz w:val="18"/>
            <w:szCs w:val="18"/>
            <w:lang w:val="en-AU"/>
          </w:rPr>
          <w:t>for people with</w:t>
        </w:r>
        <w:r w:rsidR="00DC5339" w:rsidRPr="000A35C3">
          <w:rPr>
            <w:rStyle w:val="Hyperlink"/>
            <w:sz w:val="18"/>
            <w:szCs w:val="18"/>
            <w:lang w:val="en-AU"/>
          </w:rPr>
          <w:t xml:space="preserve"> </w:t>
        </w:r>
        <w:r w:rsidR="00980774" w:rsidRPr="000A35C3">
          <w:rPr>
            <w:rStyle w:val="Hyperlink"/>
            <w:sz w:val="18"/>
            <w:szCs w:val="18"/>
            <w:lang w:val="en-AU"/>
          </w:rPr>
          <w:t xml:space="preserve">risk </w:t>
        </w:r>
        <w:r w:rsidR="00DC5339" w:rsidRPr="000A35C3">
          <w:rPr>
            <w:rStyle w:val="Hyperlink"/>
            <w:sz w:val="18"/>
            <w:szCs w:val="18"/>
            <w:lang w:val="en-AU"/>
          </w:rPr>
          <w:t>conditions</w:t>
        </w:r>
        <w:r w:rsidR="00980774" w:rsidRPr="000A35C3">
          <w:rPr>
            <w:rStyle w:val="Hyperlink"/>
            <w:sz w:val="18"/>
            <w:szCs w:val="18"/>
            <w:lang w:val="en-AU"/>
          </w:rPr>
          <w:t xml:space="preserve"> from </w:t>
        </w:r>
        <w:r w:rsidR="00F35D98" w:rsidRPr="000A35C3">
          <w:rPr>
            <w:rStyle w:val="Hyperlink"/>
            <w:sz w:val="18"/>
            <w:szCs w:val="18"/>
            <w:lang w:val="en-AU"/>
          </w:rPr>
          <w:t xml:space="preserve">1 </w:t>
        </w:r>
        <w:r w:rsidR="00980774" w:rsidRPr="000A35C3">
          <w:rPr>
            <w:rStyle w:val="Hyperlink"/>
            <w:sz w:val="18"/>
            <w:szCs w:val="18"/>
            <w:lang w:val="en-AU"/>
          </w:rPr>
          <w:t>July 2020</w:t>
        </w:r>
      </w:hyperlink>
    </w:p>
    <w:p w14:paraId="50678A3A" w14:textId="5E7CCE53" w:rsidR="001D0399" w:rsidRDefault="00173253" w:rsidP="00FA1518">
      <w:pPr>
        <w:pStyle w:val="BulletedList"/>
        <w:numPr>
          <w:ilvl w:val="1"/>
          <w:numId w:val="4"/>
        </w:numPr>
        <w:rPr>
          <w:rStyle w:val="CommentReference"/>
          <w:i/>
          <w:sz w:val="18"/>
          <w:szCs w:val="18"/>
          <w:lang w:val="en-AU"/>
        </w:rPr>
      </w:pPr>
      <w:r w:rsidRPr="00AB55F8">
        <w:rPr>
          <w:i/>
          <w:sz w:val="18"/>
          <w:szCs w:val="18"/>
        </w:rPr>
        <w:t xml:space="preserve">Individuals with functional or anatomical </w:t>
      </w:r>
      <w:proofErr w:type="spellStart"/>
      <w:r w:rsidRPr="00AB55F8">
        <w:rPr>
          <w:i/>
          <w:sz w:val="18"/>
          <w:szCs w:val="18"/>
        </w:rPr>
        <w:t>asplenia</w:t>
      </w:r>
      <w:proofErr w:type="spellEnd"/>
      <w:r w:rsidRPr="00AB55F8">
        <w:rPr>
          <w:i/>
          <w:sz w:val="18"/>
          <w:szCs w:val="18"/>
        </w:rPr>
        <w:t xml:space="preserve"> </w:t>
      </w:r>
      <w:r w:rsidR="00D044A1" w:rsidRPr="00AB55F8">
        <w:rPr>
          <w:i/>
          <w:sz w:val="18"/>
          <w:szCs w:val="18"/>
        </w:rPr>
        <w:t xml:space="preserve">are at increased risk </w:t>
      </w:r>
      <w:r w:rsidR="00C853E3" w:rsidRPr="00AB55F8">
        <w:rPr>
          <w:i/>
          <w:sz w:val="18"/>
          <w:szCs w:val="18"/>
        </w:rPr>
        <w:t xml:space="preserve">of certain </w:t>
      </w:r>
      <w:r w:rsidRPr="00AB55F8">
        <w:rPr>
          <w:i/>
          <w:sz w:val="18"/>
          <w:szCs w:val="18"/>
        </w:rPr>
        <w:t>infections</w:t>
      </w:r>
      <w:r w:rsidR="00A94241" w:rsidRPr="00AB55F8">
        <w:rPr>
          <w:i/>
          <w:sz w:val="18"/>
          <w:szCs w:val="18"/>
        </w:rPr>
        <w:t xml:space="preserve"> </w:t>
      </w:r>
      <w:r w:rsidRPr="00AB55F8">
        <w:rPr>
          <w:i/>
          <w:sz w:val="18"/>
          <w:szCs w:val="18"/>
        </w:rPr>
        <w:t xml:space="preserve">particularly from encapsulated bacteria such as </w:t>
      </w:r>
      <w:proofErr w:type="spellStart"/>
      <w:r w:rsidRPr="00AB55F8">
        <w:rPr>
          <w:i/>
          <w:sz w:val="18"/>
          <w:szCs w:val="18"/>
        </w:rPr>
        <w:t>meningococcus</w:t>
      </w:r>
      <w:proofErr w:type="spellEnd"/>
      <w:r w:rsidRPr="00AB55F8">
        <w:rPr>
          <w:i/>
          <w:sz w:val="18"/>
          <w:szCs w:val="18"/>
        </w:rPr>
        <w:t xml:space="preserve">. </w:t>
      </w:r>
      <w:r w:rsidR="00907504" w:rsidRPr="00AB55F8">
        <w:rPr>
          <w:i/>
          <w:sz w:val="18"/>
          <w:szCs w:val="18"/>
        </w:rPr>
        <w:t>Individuals with a complement deficienc</w:t>
      </w:r>
      <w:r w:rsidR="00A94241" w:rsidRPr="00AB55F8">
        <w:rPr>
          <w:i/>
          <w:sz w:val="18"/>
          <w:szCs w:val="18"/>
        </w:rPr>
        <w:t>ies</w:t>
      </w:r>
      <w:r w:rsidR="00907504" w:rsidRPr="00AB55F8">
        <w:rPr>
          <w:i/>
          <w:sz w:val="18"/>
          <w:szCs w:val="18"/>
        </w:rPr>
        <w:t xml:space="preserve"> or </w:t>
      </w:r>
      <w:r w:rsidR="004F1C46">
        <w:rPr>
          <w:i/>
          <w:sz w:val="18"/>
          <w:szCs w:val="18"/>
        </w:rPr>
        <w:t xml:space="preserve">receiving </w:t>
      </w:r>
      <w:r w:rsidR="00907504" w:rsidRPr="00AB55F8">
        <w:rPr>
          <w:i/>
          <w:sz w:val="18"/>
          <w:szCs w:val="18"/>
        </w:rPr>
        <w:t xml:space="preserve">treatment with </w:t>
      </w:r>
      <w:proofErr w:type="spellStart"/>
      <w:r w:rsidR="00907504" w:rsidRPr="00AB55F8">
        <w:rPr>
          <w:i/>
          <w:sz w:val="18"/>
          <w:szCs w:val="18"/>
        </w:rPr>
        <w:t>eculizumab</w:t>
      </w:r>
      <w:proofErr w:type="spellEnd"/>
      <w:r w:rsidR="00907504" w:rsidRPr="00AB55F8">
        <w:rPr>
          <w:rStyle w:val="CommentReference"/>
          <w:sz w:val="18"/>
          <w:szCs w:val="18"/>
          <w:lang w:val="en-AU"/>
        </w:rPr>
        <w:t xml:space="preserve"> </w:t>
      </w:r>
      <w:r w:rsidR="00B85674" w:rsidRPr="00AB55F8">
        <w:rPr>
          <w:rStyle w:val="CommentReference"/>
          <w:i/>
          <w:sz w:val="18"/>
          <w:szCs w:val="18"/>
          <w:lang w:val="en-AU"/>
        </w:rPr>
        <w:t xml:space="preserve">are at a </w:t>
      </w:r>
      <w:r w:rsidR="00D478D3" w:rsidRPr="00AB55F8">
        <w:rPr>
          <w:rStyle w:val="CommentReference"/>
          <w:i/>
          <w:sz w:val="18"/>
          <w:szCs w:val="18"/>
          <w:lang w:val="en-AU"/>
        </w:rPr>
        <w:t xml:space="preserve">substantially </w:t>
      </w:r>
      <w:r w:rsidR="00B85674" w:rsidRPr="00AB55F8">
        <w:rPr>
          <w:rStyle w:val="CommentReference"/>
          <w:i/>
          <w:sz w:val="18"/>
          <w:szCs w:val="18"/>
          <w:lang w:val="en-AU"/>
        </w:rPr>
        <w:t>greater risk of</w:t>
      </w:r>
      <w:r w:rsidR="00C8333A" w:rsidRPr="00AB55F8">
        <w:rPr>
          <w:i/>
          <w:sz w:val="18"/>
          <w:szCs w:val="18"/>
        </w:rPr>
        <w:t xml:space="preserve"> invasive</w:t>
      </w:r>
      <w:r w:rsidR="00B85674" w:rsidRPr="00AB55F8">
        <w:rPr>
          <w:rStyle w:val="CommentReference"/>
          <w:i/>
          <w:sz w:val="18"/>
          <w:szCs w:val="18"/>
          <w:lang w:val="en-AU"/>
        </w:rPr>
        <w:t xml:space="preserve"> </w:t>
      </w:r>
      <w:r w:rsidR="00ED4673" w:rsidRPr="00AB55F8">
        <w:rPr>
          <w:rStyle w:val="CommentReference"/>
          <w:i/>
          <w:sz w:val="18"/>
          <w:szCs w:val="18"/>
          <w:lang w:val="en-AU"/>
        </w:rPr>
        <w:t>meningococcal disease</w:t>
      </w:r>
      <w:r w:rsidR="00B85674" w:rsidRPr="00AB55F8">
        <w:rPr>
          <w:rStyle w:val="CommentReference"/>
          <w:i/>
          <w:sz w:val="18"/>
          <w:szCs w:val="18"/>
          <w:lang w:val="en-AU"/>
        </w:rPr>
        <w:t xml:space="preserve"> than the general population</w:t>
      </w:r>
      <w:r w:rsidR="007A0DF4" w:rsidRPr="00AB55F8">
        <w:rPr>
          <w:rStyle w:val="CommentReference"/>
          <w:i/>
          <w:sz w:val="18"/>
          <w:szCs w:val="18"/>
          <w:lang w:val="en-AU"/>
        </w:rPr>
        <w:t xml:space="preserve"> (1,000 to 10,000-fold increase)</w:t>
      </w:r>
    </w:p>
    <w:p w14:paraId="43C7EAC2" w14:textId="2B2E0C8B" w:rsidR="0058175B" w:rsidRPr="00AB55F8" w:rsidRDefault="0058175B" w:rsidP="0058175B">
      <w:pPr>
        <w:pStyle w:val="BulletedList"/>
        <w:numPr>
          <w:ilvl w:val="1"/>
          <w:numId w:val="4"/>
        </w:numPr>
        <w:rPr>
          <w:i/>
          <w:sz w:val="18"/>
          <w:szCs w:val="18"/>
          <w:lang w:val="en-AU"/>
        </w:rPr>
      </w:pPr>
      <w:r>
        <w:rPr>
          <w:i/>
          <w:sz w:val="18"/>
          <w:szCs w:val="18"/>
          <w:lang w:val="en-AU"/>
        </w:rPr>
        <w:t>N</w:t>
      </w:r>
      <w:r w:rsidRPr="0058175B">
        <w:rPr>
          <w:i/>
          <w:sz w:val="18"/>
          <w:szCs w:val="18"/>
          <w:lang w:val="en-AU"/>
        </w:rPr>
        <w:t>ational fund</w:t>
      </w:r>
      <w:r>
        <w:rPr>
          <w:i/>
          <w:sz w:val="18"/>
          <w:szCs w:val="18"/>
          <w:lang w:val="en-AU"/>
        </w:rPr>
        <w:t>ing of</w:t>
      </w:r>
      <w:r w:rsidRPr="0058175B">
        <w:rPr>
          <w:i/>
          <w:sz w:val="18"/>
          <w:szCs w:val="18"/>
          <w:lang w:val="en-AU"/>
        </w:rPr>
        <w:t xml:space="preserve"> meningococcal vaccination</w:t>
      </w:r>
      <w:r>
        <w:rPr>
          <w:i/>
          <w:sz w:val="18"/>
          <w:szCs w:val="18"/>
          <w:lang w:val="en-AU"/>
        </w:rPr>
        <w:t>s</w:t>
      </w:r>
      <w:r w:rsidRPr="0058175B">
        <w:rPr>
          <w:i/>
          <w:sz w:val="18"/>
          <w:szCs w:val="18"/>
          <w:lang w:val="en-AU"/>
        </w:rPr>
        <w:t xml:space="preserve"> for these populations has been assessed as cost-effective</w:t>
      </w:r>
      <w:r>
        <w:rPr>
          <w:i/>
          <w:sz w:val="18"/>
          <w:szCs w:val="18"/>
          <w:lang w:val="en-AU"/>
        </w:rPr>
        <w:t>.</w:t>
      </w:r>
    </w:p>
    <w:p w14:paraId="33064A19" w14:textId="036AA3F9" w:rsidR="00810569" w:rsidRPr="003877A5" w:rsidRDefault="000E1088" w:rsidP="003877A5">
      <w:pPr>
        <w:pStyle w:val="BulletedList"/>
        <w:rPr>
          <w:sz w:val="18"/>
          <w:szCs w:val="18"/>
        </w:rPr>
      </w:pPr>
      <w:r w:rsidRPr="003877A5">
        <w:rPr>
          <w:sz w:val="18"/>
          <w:szCs w:val="18"/>
        </w:rPr>
        <w:t>P</w:t>
      </w:r>
      <w:r w:rsidR="00A31A18" w:rsidRPr="003877A5">
        <w:rPr>
          <w:sz w:val="18"/>
          <w:szCs w:val="18"/>
        </w:rPr>
        <w:t xml:space="preserve">eople living with HIV, recipients of </w:t>
      </w:r>
      <w:proofErr w:type="spellStart"/>
      <w:r w:rsidR="00A31A18" w:rsidRPr="003877A5">
        <w:rPr>
          <w:sz w:val="18"/>
          <w:szCs w:val="18"/>
        </w:rPr>
        <w:t>haematopoietic</w:t>
      </w:r>
      <w:proofErr w:type="spellEnd"/>
      <w:r w:rsidR="00A31A18" w:rsidRPr="003877A5">
        <w:rPr>
          <w:sz w:val="18"/>
          <w:szCs w:val="18"/>
        </w:rPr>
        <w:t xml:space="preserve"> stem cell transplant, young adults aged 20–24 years who are smokers or living in close quarters, and laboratory workers handling </w:t>
      </w:r>
      <w:r w:rsidR="00A31A18" w:rsidRPr="0076543C">
        <w:rPr>
          <w:i/>
          <w:sz w:val="18"/>
          <w:szCs w:val="18"/>
        </w:rPr>
        <w:t xml:space="preserve">Neisseria </w:t>
      </w:r>
      <w:proofErr w:type="spellStart"/>
      <w:r w:rsidR="00A31A18" w:rsidRPr="0076543C">
        <w:rPr>
          <w:i/>
          <w:sz w:val="18"/>
          <w:szCs w:val="18"/>
        </w:rPr>
        <w:t>meningitidis</w:t>
      </w:r>
      <w:proofErr w:type="spellEnd"/>
      <w:r w:rsidRPr="003877A5">
        <w:rPr>
          <w:sz w:val="18"/>
          <w:szCs w:val="18"/>
        </w:rPr>
        <w:t xml:space="preserve"> are also </w:t>
      </w:r>
      <w:r w:rsidR="00DE5F3E" w:rsidRPr="003877A5">
        <w:rPr>
          <w:sz w:val="18"/>
          <w:szCs w:val="18"/>
          <w:lang w:val="en-AU"/>
        </w:rPr>
        <w:t xml:space="preserve">recommended </w:t>
      </w:r>
      <w:r w:rsidRPr="003877A5">
        <w:rPr>
          <w:sz w:val="18"/>
          <w:szCs w:val="18"/>
          <w:lang w:val="en-AU"/>
        </w:rPr>
        <w:t xml:space="preserve">to receive both the </w:t>
      </w:r>
      <w:proofErr w:type="spellStart"/>
      <w:r w:rsidRPr="003877A5">
        <w:rPr>
          <w:sz w:val="18"/>
          <w:szCs w:val="18"/>
        </w:rPr>
        <w:t>MenB</w:t>
      </w:r>
      <w:proofErr w:type="spellEnd"/>
      <w:r w:rsidRPr="003877A5">
        <w:rPr>
          <w:sz w:val="18"/>
          <w:szCs w:val="18"/>
        </w:rPr>
        <w:t xml:space="preserve"> and </w:t>
      </w:r>
      <w:proofErr w:type="spellStart"/>
      <w:r w:rsidRPr="003877A5">
        <w:rPr>
          <w:sz w:val="18"/>
          <w:szCs w:val="18"/>
        </w:rPr>
        <w:t>MenACWY</w:t>
      </w:r>
      <w:proofErr w:type="spellEnd"/>
      <w:r w:rsidRPr="003877A5">
        <w:rPr>
          <w:sz w:val="18"/>
          <w:szCs w:val="18"/>
        </w:rPr>
        <w:t xml:space="preserve"> vaccines. However</w:t>
      </w:r>
      <w:r w:rsidR="00914854" w:rsidRPr="003877A5">
        <w:rPr>
          <w:sz w:val="18"/>
          <w:szCs w:val="18"/>
        </w:rPr>
        <w:t xml:space="preserve">, </w:t>
      </w:r>
      <w:r w:rsidR="00914854" w:rsidRPr="003877A5">
        <w:rPr>
          <w:sz w:val="18"/>
          <w:szCs w:val="18"/>
          <w:lang w:val="en-AU"/>
        </w:rPr>
        <w:t>they</w:t>
      </w:r>
      <w:r w:rsidRPr="003877A5">
        <w:rPr>
          <w:sz w:val="18"/>
          <w:szCs w:val="18"/>
          <w:lang w:val="en-AU"/>
        </w:rPr>
        <w:t xml:space="preserve"> are not eligible for </w:t>
      </w:r>
      <w:r w:rsidR="00DE5F3E" w:rsidRPr="003877A5">
        <w:rPr>
          <w:sz w:val="18"/>
          <w:szCs w:val="18"/>
          <w:lang w:val="en-AU"/>
        </w:rPr>
        <w:t>NIP</w:t>
      </w:r>
      <w:r w:rsidRPr="003877A5">
        <w:rPr>
          <w:sz w:val="18"/>
          <w:szCs w:val="18"/>
          <w:lang w:val="en-AU"/>
        </w:rPr>
        <w:t>-funded doses of these vaccines</w:t>
      </w:r>
      <w:r w:rsidR="00BF16C1">
        <w:rPr>
          <w:sz w:val="18"/>
          <w:szCs w:val="18"/>
        </w:rPr>
        <w:t>,</w:t>
      </w:r>
      <w:r w:rsidR="00BF16C1" w:rsidRPr="004C2039">
        <w:rPr>
          <w:sz w:val="18"/>
          <w:szCs w:val="18"/>
        </w:rPr>
        <w:t xml:space="preserve"> </w:t>
      </w:r>
      <w:r w:rsidR="00BF16C1">
        <w:rPr>
          <w:sz w:val="18"/>
          <w:szCs w:val="18"/>
        </w:rPr>
        <w:t xml:space="preserve">as </w:t>
      </w:r>
      <w:r w:rsidR="00BF16C1" w:rsidRPr="00BF16C1">
        <w:rPr>
          <w:sz w:val="18"/>
          <w:szCs w:val="18"/>
        </w:rPr>
        <w:t xml:space="preserve">cost-effectiveness thresholds for a nationally-funded population program </w:t>
      </w:r>
      <w:r w:rsidR="00DC025B">
        <w:rPr>
          <w:sz w:val="18"/>
          <w:szCs w:val="18"/>
        </w:rPr>
        <w:t>have</w:t>
      </w:r>
      <w:r w:rsidR="00BF16C1" w:rsidRPr="00BF16C1">
        <w:rPr>
          <w:sz w:val="18"/>
          <w:szCs w:val="18"/>
        </w:rPr>
        <w:t xml:space="preserve"> not</w:t>
      </w:r>
      <w:r w:rsidR="00DC025B">
        <w:rPr>
          <w:sz w:val="18"/>
          <w:szCs w:val="18"/>
        </w:rPr>
        <w:t xml:space="preserve"> been</w:t>
      </w:r>
      <w:r w:rsidR="00BF16C1" w:rsidRPr="00BF16C1">
        <w:rPr>
          <w:sz w:val="18"/>
          <w:szCs w:val="18"/>
        </w:rPr>
        <w:t xml:space="preserve"> met</w:t>
      </w:r>
      <w:r w:rsidR="00BF16C1">
        <w:rPr>
          <w:sz w:val="18"/>
          <w:szCs w:val="18"/>
        </w:rPr>
        <w:t>.</w:t>
      </w:r>
    </w:p>
    <w:p w14:paraId="10CE963D" w14:textId="77777777" w:rsidR="00181A0B" w:rsidRPr="00AB55F8" w:rsidRDefault="00181A0B" w:rsidP="00C813BF">
      <w:pPr>
        <w:pStyle w:val="Heading2"/>
        <w:rPr>
          <w:sz w:val="18"/>
          <w:szCs w:val="18"/>
        </w:rPr>
      </w:pPr>
      <w:r w:rsidRPr="00AB55F8">
        <w:rPr>
          <w:sz w:val="18"/>
          <w:szCs w:val="18"/>
        </w:rPr>
        <w:t>Aboriginal and Torres Strait Islander children</w:t>
      </w:r>
    </w:p>
    <w:p w14:paraId="60664B72" w14:textId="5851F973" w:rsidR="00181A0B" w:rsidRPr="00AB55F8" w:rsidRDefault="00181A0B" w:rsidP="00181A0B">
      <w:pPr>
        <w:pStyle w:val="BulletedList"/>
        <w:rPr>
          <w:sz w:val="18"/>
          <w:szCs w:val="18"/>
        </w:rPr>
      </w:pPr>
      <w:proofErr w:type="spellStart"/>
      <w:r w:rsidRPr="00AB55F8">
        <w:rPr>
          <w:sz w:val="18"/>
          <w:szCs w:val="18"/>
        </w:rPr>
        <w:t>Bexsero</w:t>
      </w:r>
      <w:proofErr w:type="spellEnd"/>
      <w:r w:rsidRPr="00AB55F8">
        <w:rPr>
          <w:sz w:val="18"/>
          <w:szCs w:val="18"/>
        </w:rPr>
        <w:t xml:space="preserve"> is now</w:t>
      </w:r>
      <w:r w:rsidR="00442EF8">
        <w:rPr>
          <w:sz w:val="18"/>
          <w:szCs w:val="18"/>
        </w:rPr>
        <w:t xml:space="preserve"> funded</w:t>
      </w:r>
      <w:r w:rsidRPr="00AB55F8">
        <w:rPr>
          <w:sz w:val="18"/>
          <w:szCs w:val="18"/>
        </w:rPr>
        <w:t xml:space="preserve"> through the NIP for </w:t>
      </w:r>
      <w:r w:rsidRPr="00AB55F8">
        <w:rPr>
          <w:sz w:val="18"/>
          <w:szCs w:val="18"/>
          <w:lang w:val="en-AU"/>
        </w:rPr>
        <w:t xml:space="preserve">Aboriginal and Torres Strait Islander </w:t>
      </w:r>
      <w:r w:rsidR="00442EF8">
        <w:rPr>
          <w:sz w:val="18"/>
          <w:szCs w:val="18"/>
          <w:lang w:val="en-AU"/>
        </w:rPr>
        <w:t>infants from 2 months of age</w:t>
      </w:r>
      <w:r w:rsidR="008D7AD9">
        <w:rPr>
          <w:sz w:val="18"/>
          <w:szCs w:val="18"/>
          <w:lang w:val="en-AU"/>
        </w:rPr>
        <w:t>,</w:t>
      </w:r>
      <w:r w:rsidR="00442EF8">
        <w:rPr>
          <w:sz w:val="18"/>
          <w:szCs w:val="18"/>
          <w:lang w:val="en-AU"/>
        </w:rPr>
        <w:t xml:space="preserve"> </w:t>
      </w:r>
      <w:r w:rsidR="008B5789" w:rsidRPr="008B5789">
        <w:rPr>
          <w:iCs/>
          <w:sz w:val="18"/>
          <w:szCs w:val="18"/>
          <w:lang w:val="en-AU"/>
        </w:rPr>
        <w:t>with catch-up available for Aboriginal and Torres Strait Islander children a</w:t>
      </w:r>
      <w:bookmarkStart w:id="1" w:name="_Hlk40430526"/>
      <w:r w:rsidR="008B5789" w:rsidRPr="008B5789">
        <w:rPr>
          <w:iCs/>
          <w:sz w:val="18"/>
          <w:szCs w:val="18"/>
          <w:lang w:val="en-AU"/>
        </w:rPr>
        <w:t>ged &lt;2 years (i.e. up to 23 months) for the first 3 years of the program</w:t>
      </w:r>
      <w:r w:rsidR="00442EF8">
        <w:rPr>
          <w:iCs/>
          <w:sz w:val="18"/>
          <w:szCs w:val="18"/>
          <w:lang w:val="en-AU"/>
        </w:rPr>
        <w:t xml:space="preserve"> (i.e. </w:t>
      </w:r>
      <w:r w:rsidR="00442EF8">
        <w:rPr>
          <w:sz w:val="18"/>
          <w:szCs w:val="18"/>
        </w:rPr>
        <w:t xml:space="preserve">until </w:t>
      </w:r>
      <w:r w:rsidR="000A5236">
        <w:rPr>
          <w:sz w:val="18"/>
          <w:szCs w:val="18"/>
        </w:rPr>
        <w:t xml:space="preserve">June </w:t>
      </w:r>
      <w:r w:rsidR="00442EF8">
        <w:rPr>
          <w:sz w:val="18"/>
          <w:szCs w:val="18"/>
        </w:rPr>
        <w:t>2023)</w:t>
      </w:r>
      <w:r w:rsidR="008B5789" w:rsidRPr="008B5789">
        <w:rPr>
          <w:iCs/>
          <w:sz w:val="18"/>
          <w:szCs w:val="18"/>
          <w:lang w:val="en-AU"/>
        </w:rPr>
        <w:t>.</w:t>
      </w:r>
      <w:bookmarkEnd w:id="1"/>
      <w:r w:rsidR="008B5789" w:rsidRPr="008B5789">
        <w:rPr>
          <w:iCs/>
          <w:sz w:val="18"/>
          <w:szCs w:val="18"/>
          <w:lang w:val="en-AU"/>
        </w:rPr>
        <w:t xml:space="preserve"> (Note: some Aboriginal and Torres Strait Islander children in South Australia would have already received </w:t>
      </w:r>
      <w:proofErr w:type="spellStart"/>
      <w:r w:rsidR="008B5789" w:rsidRPr="008B5789">
        <w:rPr>
          <w:iCs/>
          <w:sz w:val="18"/>
          <w:szCs w:val="18"/>
          <w:lang w:val="en-AU"/>
        </w:rPr>
        <w:t>Bexsero</w:t>
      </w:r>
      <w:proofErr w:type="spellEnd"/>
      <w:r w:rsidR="008B5789" w:rsidRPr="008B5789">
        <w:rPr>
          <w:iCs/>
          <w:sz w:val="18"/>
          <w:szCs w:val="18"/>
          <w:vertAlign w:val="superscript"/>
          <w:lang w:val="en-AU"/>
        </w:rPr>
        <w:t xml:space="preserve">® </w:t>
      </w:r>
      <w:r w:rsidR="008B5789" w:rsidRPr="008B5789">
        <w:rPr>
          <w:iCs/>
          <w:sz w:val="18"/>
          <w:szCs w:val="18"/>
          <w:lang w:val="en-AU"/>
        </w:rPr>
        <w:t>through the state-based program which commenced in October 2018.)</w:t>
      </w:r>
    </w:p>
    <w:p w14:paraId="4F693179" w14:textId="285954B3" w:rsidR="00181A0B" w:rsidRPr="00AB55F8" w:rsidRDefault="00181A0B" w:rsidP="00181A0B">
      <w:pPr>
        <w:pStyle w:val="BulletedList"/>
        <w:numPr>
          <w:ilvl w:val="1"/>
          <w:numId w:val="4"/>
        </w:numPr>
        <w:rPr>
          <w:iCs/>
          <w:sz w:val="18"/>
          <w:szCs w:val="18"/>
        </w:rPr>
      </w:pPr>
      <w:r w:rsidRPr="00AB55F8">
        <w:rPr>
          <w:i/>
          <w:sz w:val="18"/>
          <w:szCs w:val="18"/>
        </w:rPr>
        <w:t xml:space="preserve">The incidence of IMD caused by </w:t>
      </w:r>
      <w:proofErr w:type="spellStart"/>
      <w:r w:rsidRPr="00AB55F8">
        <w:rPr>
          <w:i/>
          <w:sz w:val="18"/>
          <w:szCs w:val="18"/>
        </w:rPr>
        <w:t>serogroup</w:t>
      </w:r>
      <w:proofErr w:type="spellEnd"/>
      <w:r w:rsidRPr="00AB55F8">
        <w:rPr>
          <w:i/>
          <w:sz w:val="18"/>
          <w:szCs w:val="18"/>
        </w:rPr>
        <w:t xml:space="preserve"> B is highest</w:t>
      </w:r>
      <w:r w:rsidR="00591D99">
        <w:rPr>
          <w:i/>
          <w:sz w:val="18"/>
          <w:szCs w:val="18"/>
        </w:rPr>
        <w:t xml:space="preserve"> in young children</w:t>
      </w:r>
      <w:r w:rsidRPr="00AB55F8">
        <w:rPr>
          <w:i/>
          <w:sz w:val="18"/>
          <w:szCs w:val="18"/>
        </w:rPr>
        <w:t xml:space="preserve"> compared with other age groups and </w:t>
      </w:r>
      <w:r w:rsidR="00591D99">
        <w:rPr>
          <w:i/>
          <w:sz w:val="18"/>
          <w:szCs w:val="18"/>
        </w:rPr>
        <w:t xml:space="preserve"> it is</w:t>
      </w:r>
      <w:r w:rsidRPr="00AB55F8">
        <w:rPr>
          <w:i/>
          <w:sz w:val="18"/>
          <w:szCs w:val="18"/>
        </w:rPr>
        <w:t xml:space="preserve"> </w:t>
      </w:r>
      <w:r w:rsidRPr="000C75FD">
        <w:rPr>
          <w:i/>
          <w:sz w:val="18"/>
        </w:rPr>
        <w:t>about 4 times higher</w:t>
      </w:r>
      <w:r w:rsidRPr="000C75FD">
        <w:rPr>
          <w:i/>
          <w:sz w:val="18"/>
          <w:szCs w:val="18"/>
        </w:rPr>
        <w:t xml:space="preserve"> in </w:t>
      </w:r>
      <w:r w:rsidRPr="000C75FD">
        <w:rPr>
          <w:i/>
          <w:sz w:val="18"/>
          <w:szCs w:val="18"/>
          <w:lang w:val="en-AU"/>
        </w:rPr>
        <w:t>Aboriginal</w:t>
      </w:r>
      <w:r w:rsidRPr="00AB55F8">
        <w:rPr>
          <w:i/>
          <w:sz w:val="18"/>
          <w:szCs w:val="18"/>
          <w:lang w:val="en-AU"/>
        </w:rPr>
        <w:t xml:space="preserve"> and Torres Strait Islander children &lt;2 years than in non-Indigenous children.</w:t>
      </w:r>
      <w:r w:rsidRPr="00AB55F8">
        <w:rPr>
          <w:sz w:val="18"/>
          <w:szCs w:val="18"/>
        </w:rPr>
        <w:t xml:space="preserve"> </w:t>
      </w:r>
    </w:p>
    <w:p w14:paraId="119BDFBA" w14:textId="6D39F6B5" w:rsidR="00181A0B" w:rsidRPr="000436F7" w:rsidRDefault="00181A0B" w:rsidP="000436F7">
      <w:pPr>
        <w:pStyle w:val="BulletedList"/>
        <w:numPr>
          <w:ilvl w:val="1"/>
          <w:numId w:val="4"/>
        </w:numPr>
        <w:rPr>
          <w:i/>
          <w:iCs/>
          <w:sz w:val="18"/>
          <w:szCs w:val="18"/>
        </w:rPr>
      </w:pPr>
      <w:r w:rsidRPr="000436F7">
        <w:rPr>
          <w:i/>
          <w:sz w:val="18"/>
          <w:szCs w:val="18"/>
        </w:rPr>
        <w:t xml:space="preserve">The number of </w:t>
      </w:r>
      <w:proofErr w:type="spellStart"/>
      <w:r w:rsidRPr="000436F7">
        <w:rPr>
          <w:i/>
          <w:sz w:val="18"/>
          <w:szCs w:val="18"/>
        </w:rPr>
        <w:t>Bexsero</w:t>
      </w:r>
      <w:proofErr w:type="spellEnd"/>
      <w:r w:rsidRPr="000436F7">
        <w:rPr>
          <w:i/>
          <w:sz w:val="18"/>
          <w:szCs w:val="18"/>
        </w:rPr>
        <w:t xml:space="preserve"> doses required will depend on age and presence of any medical conditions which increase the risk of </w:t>
      </w:r>
      <w:r w:rsidR="00C8333A" w:rsidRPr="000436F7">
        <w:rPr>
          <w:i/>
          <w:sz w:val="18"/>
          <w:szCs w:val="18"/>
        </w:rPr>
        <w:t xml:space="preserve">invasive </w:t>
      </w:r>
      <w:r w:rsidRPr="000436F7">
        <w:rPr>
          <w:i/>
          <w:sz w:val="18"/>
          <w:szCs w:val="18"/>
        </w:rPr>
        <w:t xml:space="preserve">meningococcal disease </w:t>
      </w:r>
      <w:bookmarkStart w:id="2" w:name="_Hlk40428962"/>
      <w:r w:rsidRPr="000436F7">
        <w:rPr>
          <w:i/>
          <w:sz w:val="18"/>
          <w:szCs w:val="18"/>
        </w:rPr>
        <w:t>(</w:t>
      </w:r>
      <w:r w:rsidR="006F12CA" w:rsidRPr="000436F7">
        <w:rPr>
          <w:i/>
          <w:sz w:val="18"/>
          <w:szCs w:val="18"/>
          <w:lang w:val="en-AU"/>
        </w:rPr>
        <w:t>Refer to</w:t>
      </w:r>
      <w:r w:rsidR="00B229AC" w:rsidRPr="000436F7">
        <w:rPr>
          <w:i/>
          <w:sz w:val="18"/>
          <w:szCs w:val="18"/>
          <w:lang w:val="en-AU"/>
        </w:rPr>
        <w:t xml:space="preserve"> Meningococcal disease chapter in the </w:t>
      </w:r>
      <w:hyperlink r:id="rId16" w:history="1">
        <w:r w:rsidR="00B229AC" w:rsidRPr="00066459">
          <w:rPr>
            <w:rStyle w:val="Hyperlink"/>
            <w:i/>
            <w:sz w:val="18"/>
            <w:szCs w:val="18"/>
            <w:lang w:val="en-AU"/>
          </w:rPr>
          <w:t>Australian Immunisation Handbook</w:t>
        </w:r>
      </w:hyperlink>
      <w:r w:rsidRPr="000436F7">
        <w:rPr>
          <w:i/>
          <w:sz w:val="18"/>
          <w:szCs w:val="18"/>
        </w:rPr>
        <w:t>).</w:t>
      </w:r>
      <w:r w:rsidR="009A7B48" w:rsidRPr="000436F7">
        <w:rPr>
          <w:i/>
          <w:sz w:val="18"/>
          <w:szCs w:val="18"/>
        </w:rPr>
        <w:t xml:space="preserve">  </w:t>
      </w:r>
      <w:bookmarkEnd w:id="2"/>
    </w:p>
    <w:p w14:paraId="235D3423" w14:textId="77777777" w:rsidR="00D224F3" w:rsidRPr="00AB55F8" w:rsidRDefault="00D224F3" w:rsidP="00CD0E83">
      <w:pPr>
        <w:rPr>
          <w:sz w:val="18"/>
          <w:szCs w:val="18"/>
        </w:rPr>
      </w:pPr>
    </w:p>
    <w:p w14:paraId="52567606" w14:textId="77777777" w:rsidR="00810569" w:rsidRPr="00AB55F8" w:rsidRDefault="00810569" w:rsidP="00810569">
      <w:pPr>
        <w:pStyle w:val="BulletedList"/>
        <w:numPr>
          <w:ilvl w:val="0"/>
          <w:numId w:val="0"/>
        </w:numPr>
        <w:ind w:left="360"/>
        <w:rPr>
          <w:sz w:val="18"/>
          <w:szCs w:val="18"/>
        </w:rPr>
      </w:pPr>
    </w:p>
    <w:sectPr w:rsidR="00810569" w:rsidRPr="00AB55F8" w:rsidSect="00DF133D">
      <w:footerReference w:type="default" r:id="rId17"/>
      <w:footerReference w:type="first" r:id="rId18"/>
      <w:pgSz w:w="11906" w:h="16838"/>
      <w:pgMar w:top="709" w:right="851" w:bottom="709" w:left="851" w:header="850" w:footer="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498F04" w16cid:durableId="2267B9DD"/>
  <w16cid:commentId w16cid:paraId="61B7F8F7" w16cid:durableId="2268DBCC"/>
  <w16cid:commentId w16cid:paraId="4DE88B09" w16cid:durableId="22029A6F"/>
  <w16cid:commentId w16cid:paraId="1A17B5AC" w16cid:durableId="2267B9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B0C00" w14:textId="77777777" w:rsidR="00A832DC" w:rsidRDefault="00A832DC" w:rsidP="005F4768">
      <w:r>
        <w:separator/>
      </w:r>
    </w:p>
  </w:endnote>
  <w:endnote w:type="continuationSeparator" w:id="0">
    <w:p w14:paraId="401218F6" w14:textId="77777777" w:rsidR="00A832DC" w:rsidRDefault="00A832DC" w:rsidP="005F4768">
      <w:r>
        <w:continuationSeparator/>
      </w:r>
    </w:p>
  </w:endnote>
  <w:endnote w:type="continuationNotice" w:id="1">
    <w:p w14:paraId="6FE4AE4B" w14:textId="77777777" w:rsidR="00A832DC" w:rsidRDefault="00A83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3578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B7A27C8" w14:textId="45D251ED" w:rsidR="008E53F4" w:rsidRPr="008E53F4" w:rsidRDefault="008E53F4">
            <w:pPr>
              <w:pStyle w:val="Footer"/>
            </w:pPr>
            <w:r w:rsidRPr="008E53F4">
              <w:t xml:space="preserve">Page </w:t>
            </w:r>
            <w:r w:rsidRPr="008E53F4">
              <w:rPr>
                <w:bCs/>
                <w:sz w:val="24"/>
                <w:szCs w:val="24"/>
              </w:rPr>
              <w:fldChar w:fldCharType="begin"/>
            </w:r>
            <w:r w:rsidRPr="008E53F4">
              <w:rPr>
                <w:bCs/>
              </w:rPr>
              <w:instrText xml:space="preserve"> PAGE </w:instrText>
            </w:r>
            <w:r w:rsidRPr="008E53F4">
              <w:rPr>
                <w:bCs/>
                <w:sz w:val="24"/>
                <w:szCs w:val="24"/>
              </w:rPr>
              <w:fldChar w:fldCharType="separate"/>
            </w:r>
            <w:r w:rsidR="00D501A9">
              <w:rPr>
                <w:bCs/>
                <w:noProof/>
              </w:rPr>
              <w:t>2</w:t>
            </w:r>
            <w:r w:rsidRPr="008E53F4">
              <w:rPr>
                <w:bCs/>
                <w:sz w:val="24"/>
                <w:szCs w:val="24"/>
              </w:rPr>
              <w:fldChar w:fldCharType="end"/>
            </w:r>
            <w:r w:rsidRPr="008E53F4">
              <w:t xml:space="preserve"> of </w:t>
            </w:r>
            <w:r w:rsidRPr="008E53F4">
              <w:rPr>
                <w:bCs/>
                <w:sz w:val="24"/>
                <w:szCs w:val="24"/>
              </w:rPr>
              <w:fldChar w:fldCharType="begin"/>
            </w:r>
            <w:r w:rsidRPr="008E53F4">
              <w:rPr>
                <w:bCs/>
              </w:rPr>
              <w:instrText xml:space="preserve"> NUMPAGES  </w:instrText>
            </w:r>
            <w:r w:rsidRPr="008E53F4">
              <w:rPr>
                <w:bCs/>
                <w:sz w:val="24"/>
                <w:szCs w:val="24"/>
              </w:rPr>
              <w:fldChar w:fldCharType="separate"/>
            </w:r>
            <w:r w:rsidR="00D501A9">
              <w:rPr>
                <w:bCs/>
                <w:noProof/>
              </w:rPr>
              <w:t>2</w:t>
            </w:r>
            <w:r w:rsidRPr="008E53F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0866D" w14:textId="77777777" w:rsidR="004279C3" w:rsidRDefault="00427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7797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407761D" w14:textId="38C4DA69" w:rsidR="00CB36BF" w:rsidRDefault="00CB36B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1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1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17AAFD" w14:textId="1A485592" w:rsidR="00D224F3" w:rsidRPr="0060508D" w:rsidRDefault="00D224F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F0C93" w14:textId="77777777" w:rsidR="00A832DC" w:rsidRDefault="00A832DC" w:rsidP="005F4768">
      <w:r>
        <w:separator/>
      </w:r>
    </w:p>
  </w:footnote>
  <w:footnote w:type="continuationSeparator" w:id="0">
    <w:p w14:paraId="5FD2688F" w14:textId="77777777" w:rsidR="00A832DC" w:rsidRDefault="00A832DC" w:rsidP="005F4768">
      <w:r>
        <w:continuationSeparator/>
      </w:r>
    </w:p>
  </w:footnote>
  <w:footnote w:type="continuationNotice" w:id="1">
    <w:p w14:paraId="39FED4B7" w14:textId="77777777" w:rsidR="00A832DC" w:rsidRDefault="00A832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62F"/>
    <w:multiLevelType w:val="hybridMultilevel"/>
    <w:tmpl w:val="8F48476E"/>
    <w:lvl w:ilvl="0" w:tplc="0C09001B">
      <w:start w:val="1"/>
      <w:numFmt w:val="lowerRoman"/>
      <w:lvlText w:val="%1."/>
      <w:lvlJc w:val="righ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12B1B3C"/>
    <w:multiLevelType w:val="hybridMultilevel"/>
    <w:tmpl w:val="F59AC2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9" w15:restartNumberingAfterBreak="0">
    <w:nsid w:val="307A6FDD"/>
    <w:multiLevelType w:val="hybridMultilevel"/>
    <w:tmpl w:val="A05EA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155AE"/>
    <w:multiLevelType w:val="multilevel"/>
    <w:tmpl w:val="835863EE"/>
    <w:lvl w:ilvl="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9D3270"/>
    <w:multiLevelType w:val="hybridMultilevel"/>
    <w:tmpl w:val="52B0B2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86F3A"/>
    <w:multiLevelType w:val="multilevel"/>
    <w:tmpl w:val="B0A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42B9C"/>
    <w:multiLevelType w:val="hybridMultilevel"/>
    <w:tmpl w:val="22849CFC"/>
    <w:lvl w:ilvl="0" w:tplc="E6609F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7426CC"/>
    <w:multiLevelType w:val="hybridMultilevel"/>
    <w:tmpl w:val="57665562"/>
    <w:lvl w:ilvl="0" w:tplc="E5103DB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FD2143"/>
    <w:multiLevelType w:val="hybridMultilevel"/>
    <w:tmpl w:val="6B5AB4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85219"/>
    <w:multiLevelType w:val="hybridMultilevel"/>
    <w:tmpl w:val="E0AA8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03DB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20"/>
  </w:num>
  <w:num w:numId="6">
    <w:abstractNumId w:val="17"/>
  </w:num>
  <w:num w:numId="7">
    <w:abstractNumId w:val="13"/>
  </w:num>
  <w:num w:numId="8">
    <w:abstractNumId w:val="21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16"/>
  </w:num>
  <w:num w:numId="14">
    <w:abstractNumId w:val="22"/>
  </w:num>
  <w:num w:numId="15">
    <w:abstractNumId w:val="2"/>
  </w:num>
  <w:num w:numId="16">
    <w:abstractNumId w:val="12"/>
  </w:num>
  <w:num w:numId="17">
    <w:abstractNumId w:val="10"/>
  </w:num>
  <w:num w:numId="18">
    <w:abstractNumId w:val="10"/>
  </w:num>
  <w:num w:numId="19">
    <w:abstractNumId w:val="0"/>
  </w:num>
  <w:num w:numId="20">
    <w:abstractNumId w:val="4"/>
  </w:num>
  <w:num w:numId="21">
    <w:abstractNumId w:val="11"/>
  </w:num>
  <w:num w:numId="22">
    <w:abstractNumId w:val="18"/>
  </w:num>
  <w:num w:numId="23">
    <w:abstractNumId w:val="14"/>
  </w:num>
  <w:num w:numId="24">
    <w:abstractNumId w:val="19"/>
  </w:num>
  <w:num w:numId="25">
    <w:abstractNumId w:val="15"/>
  </w:num>
  <w:num w:numId="2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67"/>
    <w:rsid w:val="00003743"/>
    <w:rsid w:val="00003A5E"/>
    <w:rsid w:val="00003BBB"/>
    <w:rsid w:val="00012810"/>
    <w:rsid w:val="0001630E"/>
    <w:rsid w:val="00016DAB"/>
    <w:rsid w:val="00017977"/>
    <w:rsid w:val="00021FE0"/>
    <w:rsid w:val="000309BD"/>
    <w:rsid w:val="00034C92"/>
    <w:rsid w:val="0003694E"/>
    <w:rsid w:val="000371D2"/>
    <w:rsid w:val="00040184"/>
    <w:rsid w:val="000436F7"/>
    <w:rsid w:val="0004452A"/>
    <w:rsid w:val="000524CD"/>
    <w:rsid w:val="0005755B"/>
    <w:rsid w:val="000602F3"/>
    <w:rsid w:val="0006140E"/>
    <w:rsid w:val="00062B0E"/>
    <w:rsid w:val="00065684"/>
    <w:rsid w:val="00066459"/>
    <w:rsid w:val="00067061"/>
    <w:rsid w:val="00067456"/>
    <w:rsid w:val="00071757"/>
    <w:rsid w:val="0007268D"/>
    <w:rsid w:val="000736D8"/>
    <w:rsid w:val="000738F4"/>
    <w:rsid w:val="00083432"/>
    <w:rsid w:val="000844FF"/>
    <w:rsid w:val="0008734F"/>
    <w:rsid w:val="00087931"/>
    <w:rsid w:val="000924FE"/>
    <w:rsid w:val="000A35C3"/>
    <w:rsid w:val="000A5062"/>
    <w:rsid w:val="000A5236"/>
    <w:rsid w:val="000B7B1F"/>
    <w:rsid w:val="000C1F26"/>
    <w:rsid w:val="000C27C2"/>
    <w:rsid w:val="000C2C5F"/>
    <w:rsid w:val="000C3A4E"/>
    <w:rsid w:val="000C75FD"/>
    <w:rsid w:val="000C7E8D"/>
    <w:rsid w:val="000D3051"/>
    <w:rsid w:val="000D4C7A"/>
    <w:rsid w:val="000D67F0"/>
    <w:rsid w:val="000D721B"/>
    <w:rsid w:val="000E04D9"/>
    <w:rsid w:val="000E1088"/>
    <w:rsid w:val="000E23F2"/>
    <w:rsid w:val="000E2673"/>
    <w:rsid w:val="000E406D"/>
    <w:rsid w:val="000E40A7"/>
    <w:rsid w:val="000E4B3F"/>
    <w:rsid w:val="000F2055"/>
    <w:rsid w:val="000F2092"/>
    <w:rsid w:val="000F4695"/>
    <w:rsid w:val="00102840"/>
    <w:rsid w:val="00105A1B"/>
    <w:rsid w:val="00107D13"/>
    <w:rsid w:val="00110BA0"/>
    <w:rsid w:val="00123004"/>
    <w:rsid w:val="00123E59"/>
    <w:rsid w:val="001632A1"/>
    <w:rsid w:val="00164684"/>
    <w:rsid w:val="001676DC"/>
    <w:rsid w:val="00173253"/>
    <w:rsid w:val="001753D8"/>
    <w:rsid w:val="00176924"/>
    <w:rsid w:val="00177D00"/>
    <w:rsid w:val="00181A0B"/>
    <w:rsid w:val="0018425E"/>
    <w:rsid w:val="00185613"/>
    <w:rsid w:val="0018589F"/>
    <w:rsid w:val="00190797"/>
    <w:rsid w:val="00191A3C"/>
    <w:rsid w:val="00194C75"/>
    <w:rsid w:val="001A51C8"/>
    <w:rsid w:val="001B2507"/>
    <w:rsid w:val="001B3443"/>
    <w:rsid w:val="001B683F"/>
    <w:rsid w:val="001B6C7E"/>
    <w:rsid w:val="001C1A24"/>
    <w:rsid w:val="001C1AE3"/>
    <w:rsid w:val="001C4653"/>
    <w:rsid w:val="001D0399"/>
    <w:rsid w:val="001D1BE0"/>
    <w:rsid w:val="001D21CE"/>
    <w:rsid w:val="001E232C"/>
    <w:rsid w:val="001E3557"/>
    <w:rsid w:val="001E3B4F"/>
    <w:rsid w:val="001E6EC7"/>
    <w:rsid w:val="001F090E"/>
    <w:rsid w:val="001F1297"/>
    <w:rsid w:val="001F1A15"/>
    <w:rsid w:val="001F6022"/>
    <w:rsid w:val="00200726"/>
    <w:rsid w:val="00203FB2"/>
    <w:rsid w:val="002040EF"/>
    <w:rsid w:val="002058AD"/>
    <w:rsid w:val="00205C5A"/>
    <w:rsid w:val="0023299C"/>
    <w:rsid w:val="00234619"/>
    <w:rsid w:val="0023687B"/>
    <w:rsid w:val="002377F5"/>
    <w:rsid w:val="002430D1"/>
    <w:rsid w:val="00243CB0"/>
    <w:rsid w:val="00243E23"/>
    <w:rsid w:val="00246552"/>
    <w:rsid w:val="00247BCD"/>
    <w:rsid w:val="00252CAB"/>
    <w:rsid w:val="002530E9"/>
    <w:rsid w:val="00263568"/>
    <w:rsid w:val="002650A3"/>
    <w:rsid w:val="00266ADD"/>
    <w:rsid w:val="00275310"/>
    <w:rsid w:val="0027535B"/>
    <w:rsid w:val="00275733"/>
    <w:rsid w:val="002768BE"/>
    <w:rsid w:val="0028298C"/>
    <w:rsid w:val="00284C44"/>
    <w:rsid w:val="00291A4E"/>
    <w:rsid w:val="00293250"/>
    <w:rsid w:val="00293701"/>
    <w:rsid w:val="00296DE8"/>
    <w:rsid w:val="002A10E3"/>
    <w:rsid w:val="002A6027"/>
    <w:rsid w:val="002A602A"/>
    <w:rsid w:val="002A69BC"/>
    <w:rsid w:val="002A7C0B"/>
    <w:rsid w:val="002B2AE8"/>
    <w:rsid w:val="002B5B54"/>
    <w:rsid w:val="002C09A3"/>
    <w:rsid w:val="002D5CC8"/>
    <w:rsid w:val="002D7474"/>
    <w:rsid w:val="002D7DA6"/>
    <w:rsid w:val="002E5BDC"/>
    <w:rsid w:val="002F088E"/>
    <w:rsid w:val="002F0F1A"/>
    <w:rsid w:val="002F34D2"/>
    <w:rsid w:val="002F3AE3"/>
    <w:rsid w:val="003021C5"/>
    <w:rsid w:val="003023F4"/>
    <w:rsid w:val="00304DAF"/>
    <w:rsid w:val="003065A0"/>
    <w:rsid w:val="0030786C"/>
    <w:rsid w:val="00307C01"/>
    <w:rsid w:val="003151C1"/>
    <w:rsid w:val="00323B20"/>
    <w:rsid w:val="003257EF"/>
    <w:rsid w:val="00340C7F"/>
    <w:rsid w:val="00353274"/>
    <w:rsid w:val="00360995"/>
    <w:rsid w:val="00364A32"/>
    <w:rsid w:val="00365888"/>
    <w:rsid w:val="00371492"/>
    <w:rsid w:val="00377449"/>
    <w:rsid w:val="0038271E"/>
    <w:rsid w:val="003877A5"/>
    <w:rsid w:val="00387970"/>
    <w:rsid w:val="00390FDF"/>
    <w:rsid w:val="00392EE3"/>
    <w:rsid w:val="0039363E"/>
    <w:rsid w:val="00394C68"/>
    <w:rsid w:val="003A29E6"/>
    <w:rsid w:val="003A3823"/>
    <w:rsid w:val="003B7900"/>
    <w:rsid w:val="003C0F83"/>
    <w:rsid w:val="003D17F9"/>
    <w:rsid w:val="003E7A6C"/>
    <w:rsid w:val="00400189"/>
    <w:rsid w:val="0040710D"/>
    <w:rsid w:val="004072F0"/>
    <w:rsid w:val="004121A8"/>
    <w:rsid w:val="0041495D"/>
    <w:rsid w:val="00416289"/>
    <w:rsid w:val="00420FEC"/>
    <w:rsid w:val="00425B7C"/>
    <w:rsid w:val="00425CED"/>
    <w:rsid w:val="004279C3"/>
    <w:rsid w:val="00434917"/>
    <w:rsid w:val="00435B7E"/>
    <w:rsid w:val="00442EF8"/>
    <w:rsid w:val="00443649"/>
    <w:rsid w:val="00445442"/>
    <w:rsid w:val="00450C0B"/>
    <w:rsid w:val="00452DCB"/>
    <w:rsid w:val="0046671E"/>
    <w:rsid w:val="0047029A"/>
    <w:rsid w:val="004702D5"/>
    <w:rsid w:val="00475F69"/>
    <w:rsid w:val="0047625E"/>
    <w:rsid w:val="004778A5"/>
    <w:rsid w:val="004858D9"/>
    <w:rsid w:val="00485B59"/>
    <w:rsid w:val="004867E2"/>
    <w:rsid w:val="004870BB"/>
    <w:rsid w:val="00490B13"/>
    <w:rsid w:val="00493CB7"/>
    <w:rsid w:val="004A06EE"/>
    <w:rsid w:val="004A0FA7"/>
    <w:rsid w:val="004A1690"/>
    <w:rsid w:val="004A2CD4"/>
    <w:rsid w:val="004A32C3"/>
    <w:rsid w:val="004A48AB"/>
    <w:rsid w:val="004A592D"/>
    <w:rsid w:val="004B7696"/>
    <w:rsid w:val="004D3B6B"/>
    <w:rsid w:val="004D4FA8"/>
    <w:rsid w:val="004F1C46"/>
    <w:rsid w:val="004F2684"/>
    <w:rsid w:val="004F28F5"/>
    <w:rsid w:val="004F2D10"/>
    <w:rsid w:val="004F3AA0"/>
    <w:rsid w:val="004F5DED"/>
    <w:rsid w:val="004F7AFF"/>
    <w:rsid w:val="0050116A"/>
    <w:rsid w:val="00502840"/>
    <w:rsid w:val="00503A96"/>
    <w:rsid w:val="00512C38"/>
    <w:rsid w:val="00516A71"/>
    <w:rsid w:val="00517DBF"/>
    <w:rsid w:val="005272BE"/>
    <w:rsid w:val="005311DA"/>
    <w:rsid w:val="005325CE"/>
    <w:rsid w:val="00535B03"/>
    <w:rsid w:val="00535D34"/>
    <w:rsid w:val="00543C9E"/>
    <w:rsid w:val="00557B8E"/>
    <w:rsid w:val="00561352"/>
    <w:rsid w:val="005641C8"/>
    <w:rsid w:val="00567B67"/>
    <w:rsid w:val="00573A25"/>
    <w:rsid w:val="00573D48"/>
    <w:rsid w:val="00574083"/>
    <w:rsid w:val="005756A0"/>
    <w:rsid w:val="00576444"/>
    <w:rsid w:val="005774A6"/>
    <w:rsid w:val="00577CC9"/>
    <w:rsid w:val="0058175B"/>
    <w:rsid w:val="00583878"/>
    <w:rsid w:val="00584750"/>
    <w:rsid w:val="00586D57"/>
    <w:rsid w:val="00591D99"/>
    <w:rsid w:val="00593A5F"/>
    <w:rsid w:val="00593B57"/>
    <w:rsid w:val="0059509A"/>
    <w:rsid w:val="00596E15"/>
    <w:rsid w:val="00597F18"/>
    <w:rsid w:val="005A0D19"/>
    <w:rsid w:val="005B359E"/>
    <w:rsid w:val="005B7E60"/>
    <w:rsid w:val="005C2118"/>
    <w:rsid w:val="005C3D7F"/>
    <w:rsid w:val="005D1645"/>
    <w:rsid w:val="005D2E42"/>
    <w:rsid w:val="005E0FAB"/>
    <w:rsid w:val="005E4631"/>
    <w:rsid w:val="005F4768"/>
    <w:rsid w:val="005F5B2A"/>
    <w:rsid w:val="005F77E3"/>
    <w:rsid w:val="00601FC7"/>
    <w:rsid w:val="00602943"/>
    <w:rsid w:val="0060508D"/>
    <w:rsid w:val="0061556D"/>
    <w:rsid w:val="00615976"/>
    <w:rsid w:val="006164C2"/>
    <w:rsid w:val="0062036A"/>
    <w:rsid w:val="00627DF9"/>
    <w:rsid w:val="0063427B"/>
    <w:rsid w:val="006401B8"/>
    <w:rsid w:val="00645DA3"/>
    <w:rsid w:val="00652F4E"/>
    <w:rsid w:val="00653366"/>
    <w:rsid w:val="0065462E"/>
    <w:rsid w:val="006549D3"/>
    <w:rsid w:val="00654A63"/>
    <w:rsid w:val="0065752C"/>
    <w:rsid w:val="006603E3"/>
    <w:rsid w:val="00661963"/>
    <w:rsid w:val="00662FB1"/>
    <w:rsid w:val="006658F8"/>
    <w:rsid w:val="00666AB2"/>
    <w:rsid w:val="0067230D"/>
    <w:rsid w:val="006727F5"/>
    <w:rsid w:val="00672899"/>
    <w:rsid w:val="00675B04"/>
    <w:rsid w:val="00676FCA"/>
    <w:rsid w:val="00693CA9"/>
    <w:rsid w:val="006957A4"/>
    <w:rsid w:val="006957CE"/>
    <w:rsid w:val="00696A5D"/>
    <w:rsid w:val="006A0809"/>
    <w:rsid w:val="006A4949"/>
    <w:rsid w:val="006A64F3"/>
    <w:rsid w:val="006B0EA3"/>
    <w:rsid w:val="006B1400"/>
    <w:rsid w:val="006B5200"/>
    <w:rsid w:val="006B6561"/>
    <w:rsid w:val="006C2F53"/>
    <w:rsid w:val="006C3364"/>
    <w:rsid w:val="006C34A6"/>
    <w:rsid w:val="006D3D60"/>
    <w:rsid w:val="006D492B"/>
    <w:rsid w:val="006D5392"/>
    <w:rsid w:val="006F12CA"/>
    <w:rsid w:val="006F229C"/>
    <w:rsid w:val="006F5435"/>
    <w:rsid w:val="006F7863"/>
    <w:rsid w:val="00705227"/>
    <w:rsid w:val="00713391"/>
    <w:rsid w:val="00715295"/>
    <w:rsid w:val="007163D4"/>
    <w:rsid w:val="007208E6"/>
    <w:rsid w:val="00720D52"/>
    <w:rsid w:val="007403E1"/>
    <w:rsid w:val="00740A97"/>
    <w:rsid w:val="00756087"/>
    <w:rsid w:val="00757F52"/>
    <w:rsid w:val="00760C5E"/>
    <w:rsid w:val="007633D3"/>
    <w:rsid w:val="00764BC6"/>
    <w:rsid w:val="0076543C"/>
    <w:rsid w:val="0076640D"/>
    <w:rsid w:val="00770737"/>
    <w:rsid w:val="00770D90"/>
    <w:rsid w:val="00783CE0"/>
    <w:rsid w:val="007973D6"/>
    <w:rsid w:val="007A0DF4"/>
    <w:rsid w:val="007C02C6"/>
    <w:rsid w:val="007C1E30"/>
    <w:rsid w:val="007C7A34"/>
    <w:rsid w:val="007D3F41"/>
    <w:rsid w:val="007D40D8"/>
    <w:rsid w:val="007D6885"/>
    <w:rsid w:val="007D71AA"/>
    <w:rsid w:val="007E4546"/>
    <w:rsid w:val="007E5340"/>
    <w:rsid w:val="007E6124"/>
    <w:rsid w:val="007F162D"/>
    <w:rsid w:val="007F1E53"/>
    <w:rsid w:val="007F602B"/>
    <w:rsid w:val="00800A28"/>
    <w:rsid w:val="00810569"/>
    <w:rsid w:val="00813A4B"/>
    <w:rsid w:val="008264EB"/>
    <w:rsid w:val="00826860"/>
    <w:rsid w:val="008274CC"/>
    <w:rsid w:val="00827C6F"/>
    <w:rsid w:val="00833D21"/>
    <w:rsid w:val="0083699F"/>
    <w:rsid w:val="00841363"/>
    <w:rsid w:val="00842FB7"/>
    <w:rsid w:val="00846A2D"/>
    <w:rsid w:val="00846E7A"/>
    <w:rsid w:val="00850CE3"/>
    <w:rsid w:val="0085777A"/>
    <w:rsid w:val="008644E7"/>
    <w:rsid w:val="00876991"/>
    <w:rsid w:val="00882107"/>
    <w:rsid w:val="00885093"/>
    <w:rsid w:val="0089228C"/>
    <w:rsid w:val="00895D7D"/>
    <w:rsid w:val="00896DA9"/>
    <w:rsid w:val="008975E4"/>
    <w:rsid w:val="008A258F"/>
    <w:rsid w:val="008A7234"/>
    <w:rsid w:val="008A7CB9"/>
    <w:rsid w:val="008B5789"/>
    <w:rsid w:val="008C68ED"/>
    <w:rsid w:val="008D2BE9"/>
    <w:rsid w:val="008D4150"/>
    <w:rsid w:val="008D5B24"/>
    <w:rsid w:val="008D7AD9"/>
    <w:rsid w:val="008E53F4"/>
    <w:rsid w:val="008F1DCF"/>
    <w:rsid w:val="008F6538"/>
    <w:rsid w:val="008F7E03"/>
    <w:rsid w:val="00902A34"/>
    <w:rsid w:val="0090377A"/>
    <w:rsid w:val="009038B1"/>
    <w:rsid w:val="009063F8"/>
    <w:rsid w:val="00907504"/>
    <w:rsid w:val="00914854"/>
    <w:rsid w:val="0091490F"/>
    <w:rsid w:val="00917592"/>
    <w:rsid w:val="00917E71"/>
    <w:rsid w:val="00923173"/>
    <w:rsid w:val="0092317C"/>
    <w:rsid w:val="009254E6"/>
    <w:rsid w:val="00927698"/>
    <w:rsid w:val="00930153"/>
    <w:rsid w:val="009346C0"/>
    <w:rsid w:val="009355A7"/>
    <w:rsid w:val="00943EC2"/>
    <w:rsid w:val="009451A6"/>
    <w:rsid w:val="009541AB"/>
    <w:rsid w:val="00961CDD"/>
    <w:rsid w:val="00963935"/>
    <w:rsid w:val="00965973"/>
    <w:rsid w:val="00966A52"/>
    <w:rsid w:val="00970522"/>
    <w:rsid w:val="00980774"/>
    <w:rsid w:val="009825A0"/>
    <w:rsid w:val="00982861"/>
    <w:rsid w:val="0098296B"/>
    <w:rsid w:val="00983721"/>
    <w:rsid w:val="00987EB3"/>
    <w:rsid w:val="0099237D"/>
    <w:rsid w:val="009A2C7A"/>
    <w:rsid w:val="009A6FF4"/>
    <w:rsid w:val="009A796E"/>
    <w:rsid w:val="009A7B48"/>
    <w:rsid w:val="009B22E9"/>
    <w:rsid w:val="009B4A93"/>
    <w:rsid w:val="009B5944"/>
    <w:rsid w:val="009B6CF6"/>
    <w:rsid w:val="009B6E47"/>
    <w:rsid w:val="009D50E7"/>
    <w:rsid w:val="009D7609"/>
    <w:rsid w:val="009D7661"/>
    <w:rsid w:val="009E0593"/>
    <w:rsid w:val="009E0F30"/>
    <w:rsid w:val="009E3A99"/>
    <w:rsid w:val="009E5B4B"/>
    <w:rsid w:val="009E74DB"/>
    <w:rsid w:val="009F4281"/>
    <w:rsid w:val="009F4C87"/>
    <w:rsid w:val="009F7DAB"/>
    <w:rsid w:val="00A00578"/>
    <w:rsid w:val="00A059E3"/>
    <w:rsid w:val="00A103A2"/>
    <w:rsid w:val="00A13607"/>
    <w:rsid w:val="00A149DA"/>
    <w:rsid w:val="00A21743"/>
    <w:rsid w:val="00A25693"/>
    <w:rsid w:val="00A30A78"/>
    <w:rsid w:val="00A317EF"/>
    <w:rsid w:val="00A31A18"/>
    <w:rsid w:val="00A321FB"/>
    <w:rsid w:val="00A35A0A"/>
    <w:rsid w:val="00A36A30"/>
    <w:rsid w:val="00A4475B"/>
    <w:rsid w:val="00A4512D"/>
    <w:rsid w:val="00A51EE6"/>
    <w:rsid w:val="00A523C3"/>
    <w:rsid w:val="00A549B7"/>
    <w:rsid w:val="00A659FD"/>
    <w:rsid w:val="00A66C82"/>
    <w:rsid w:val="00A705AF"/>
    <w:rsid w:val="00A71B7A"/>
    <w:rsid w:val="00A72E4F"/>
    <w:rsid w:val="00A832DC"/>
    <w:rsid w:val="00A94241"/>
    <w:rsid w:val="00A952FB"/>
    <w:rsid w:val="00A97AF9"/>
    <w:rsid w:val="00AA1943"/>
    <w:rsid w:val="00AA52C2"/>
    <w:rsid w:val="00AA556B"/>
    <w:rsid w:val="00AA557F"/>
    <w:rsid w:val="00AB55F8"/>
    <w:rsid w:val="00AC0789"/>
    <w:rsid w:val="00AC1AA3"/>
    <w:rsid w:val="00AC23C0"/>
    <w:rsid w:val="00AC25A4"/>
    <w:rsid w:val="00AD31AE"/>
    <w:rsid w:val="00AD5F04"/>
    <w:rsid w:val="00AD648E"/>
    <w:rsid w:val="00AE0390"/>
    <w:rsid w:val="00AE0A8E"/>
    <w:rsid w:val="00AE5F36"/>
    <w:rsid w:val="00B0053C"/>
    <w:rsid w:val="00B06596"/>
    <w:rsid w:val="00B14E31"/>
    <w:rsid w:val="00B229AC"/>
    <w:rsid w:val="00B2341B"/>
    <w:rsid w:val="00B24480"/>
    <w:rsid w:val="00B2749C"/>
    <w:rsid w:val="00B317DE"/>
    <w:rsid w:val="00B32971"/>
    <w:rsid w:val="00B33A12"/>
    <w:rsid w:val="00B354D0"/>
    <w:rsid w:val="00B41EF2"/>
    <w:rsid w:val="00B42851"/>
    <w:rsid w:val="00B44123"/>
    <w:rsid w:val="00B46E24"/>
    <w:rsid w:val="00B46F7E"/>
    <w:rsid w:val="00B50A29"/>
    <w:rsid w:val="00B53E32"/>
    <w:rsid w:val="00B54729"/>
    <w:rsid w:val="00B55437"/>
    <w:rsid w:val="00B57300"/>
    <w:rsid w:val="00B64B14"/>
    <w:rsid w:val="00B729D5"/>
    <w:rsid w:val="00B73E29"/>
    <w:rsid w:val="00B820AC"/>
    <w:rsid w:val="00B85674"/>
    <w:rsid w:val="00B85847"/>
    <w:rsid w:val="00B91D3C"/>
    <w:rsid w:val="00B92A8C"/>
    <w:rsid w:val="00B94280"/>
    <w:rsid w:val="00B94B9B"/>
    <w:rsid w:val="00BA29B3"/>
    <w:rsid w:val="00BA2EC9"/>
    <w:rsid w:val="00BA71E7"/>
    <w:rsid w:val="00BB7BD9"/>
    <w:rsid w:val="00BC185E"/>
    <w:rsid w:val="00BC21A4"/>
    <w:rsid w:val="00BD180F"/>
    <w:rsid w:val="00BD20A8"/>
    <w:rsid w:val="00BD2235"/>
    <w:rsid w:val="00BD316D"/>
    <w:rsid w:val="00BE0FB9"/>
    <w:rsid w:val="00BE0FEC"/>
    <w:rsid w:val="00BE3CC6"/>
    <w:rsid w:val="00BF16C1"/>
    <w:rsid w:val="00BF2FC3"/>
    <w:rsid w:val="00BF34CD"/>
    <w:rsid w:val="00C01D56"/>
    <w:rsid w:val="00C02073"/>
    <w:rsid w:val="00C20D94"/>
    <w:rsid w:val="00C211F3"/>
    <w:rsid w:val="00C2187D"/>
    <w:rsid w:val="00C25D7A"/>
    <w:rsid w:val="00C267A6"/>
    <w:rsid w:val="00C417F8"/>
    <w:rsid w:val="00C41F90"/>
    <w:rsid w:val="00C56E8A"/>
    <w:rsid w:val="00C603B4"/>
    <w:rsid w:val="00C617E9"/>
    <w:rsid w:val="00C63F15"/>
    <w:rsid w:val="00C66FAD"/>
    <w:rsid w:val="00C7735D"/>
    <w:rsid w:val="00C813BF"/>
    <w:rsid w:val="00C819DA"/>
    <w:rsid w:val="00C8333A"/>
    <w:rsid w:val="00C853E3"/>
    <w:rsid w:val="00C87174"/>
    <w:rsid w:val="00C90EB1"/>
    <w:rsid w:val="00C93BFE"/>
    <w:rsid w:val="00C94930"/>
    <w:rsid w:val="00CA2AA5"/>
    <w:rsid w:val="00CA5DA7"/>
    <w:rsid w:val="00CA7A1B"/>
    <w:rsid w:val="00CB22D5"/>
    <w:rsid w:val="00CB36BF"/>
    <w:rsid w:val="00CB4C13"/>
    <w:rsid w:val="00CB5B1A"/>
    <w:rsid w:val="00CB675F"/>
    <w:rsid w:val="00CB6BD6"/>
    <w:rsid w:val="00CC0BFF"/>
    <w:rsid w:val="00CC52CB"/>
    <w:rsid w:val="00CC7A83"/>
    <w:rsid w:val="00CD0C70"/>
    <w:rsid w:val="00CD0E83"/>
    <w:rsid w:val="00CD34DC"/>
    <w:rsid w:val="00CD3B3F"/>
    <w:rsid w:val="00CD74E7"/>
    <w:rsid w:val="00CD7E46"/>
    <w:rsid w:val="00CE1346"/>
    <w:rsid w:val="00CE1A60"/>
    <w:rsid w:val="00CE3150"/>
    <w:rsid w:val="00CE3658"/>
    <w:rsid w:val="00CE4C80"/>
    <w:rsid w:val="00CE57BD"/>
    <w:rsid w:val="00CE6B25"/>
    <w:rsid w:val="00CF07B2"/>
    <w:rsid w:val="00CF1008"/>
    <w:rsid w:val="00D0089A"/>
    <w:rsid w:val="00D02886"/>
    <w:rsid w:val="00D04189"/>
    <w:rsid w:val="00D044A1"/>
    <w:rsid w:val="00D04B0A"/>
    <w:rsid w:val="00D06B0F"/>
    <w:rsid w:val="00D07A39"/>
    <w:rsid w:val="00D17108"/>
    <w:rsid w:val="00D17910"/>
    <w:rsid w:val="00D17D24"/>
    <w:rsid w:val="00D20713"/>
    <w:rsid w:val="00D224F3"/>
    <w:rsid w:val="00D22D32"/>
    <w:rsid w:val="00D23BC4"/>
    <w:rsid w:val="00D2518C"/>
    <w:rsid w:val="00D33167"/>
    <w:rsid w:val="00D34AD0"/>
    <w:rsid w:val="00D35C09"/>
    <w:rsid w:val="00D36A2F"/>
    <w:rsid w:val="00D403F0"/>
    <w:rsid w:val="00D44820"/>
    <w:rsid w:val="00D458E0"/>
    <w:rsid w:val="00D478D3"/>
    <w:rsid w:val="00D501A9"/>
    <w:rsid w:val="00D50E6A"/>
    <w:rsid w:val="00D54FDA"/>
    <w:rsid w:val="00D567BF"/>
    <w:rsid w:val="00D61BFE"/>
    <w:rsid w:val="00D67F34"/>
    <w:rsid w:val="00D71396"/>
    <w:rsid w:val="00D724AC"/>
    <w:rsid w:val="00D73717"/>
    <w:rsid w:val="00D73D44"/>
    <w:rsid w:val="00D81C6C"/>
    <w:rsid w:val="00D8650E"/>
    <w:rsid w:val="00D908B7"/>
    <w:rsid w:val="00D923C3"/>
    <w:rsid w:val="00D93A8C"/>
    <w:rsid w:val="00DA1DB3"/>
    <w:rsid w:val="00DA2463"/>
    <w:rsid w:val="00DB41C6"/>
    <w:rsid w:val="00DB5E3A"/>
    <w:rsid w:val="00DB7458"/>
    <w:rsid w:val="00DC025B"/>
    <w:rsid w:val="00DC5339"/>
    <w:rsid w:val="00DC73AA"/>
    <w:rsid w:val="00DD0878"/>
    <w:rsid w:val="00DD1480"/>
    <w:rsid w:val="00DD5B70"/>
    <w:rsid w:val="00DE106C"/>
    <w:rsid w:val="00DE1317"/>
    <w:rsid w:val="00DE28BE"/>
    <w:rsid w:val="00DE5628"/>
    <w:rsid w:val="00DE5F3E"/>
    <w:rsid w:val="00DE62C9"/>
    <w:rsid w:val="00DE7D48"/>
    <w:rsid w:val="00DF133D"/>
    <w:rsid w:val="00DF2167"/>
    <w:rsid w:val="00DF2453"/>
    <w:rsid w:val="00DF363F"/>
    <w:rsid w:val="00DF4DC4"/>
    <w:rsid w:val="00DF782A"/>
    <w:rsid w:val="00E04E1B"/>
    <w:rsid w:val="00E06ACB"/>
    <w:rsid w:val="00E107C1"/>
    <w:rsid w:val="00E127DA"/>
    <w:rsid w:val="00E228B6"/>
    <w:rsid w:val="00E22A33"/>
    <w:rsid w:val="00E2497B"/>
    <w:rsid w:val="00E26508"/>
    <w:rsid w:val="00E32101"/>
    <w:rsid w:val="00E34197"/>
    <w:rsid w:val="00E36151"/>
    <w:rsid w:val="00E41F47"/>
    <w:rsid w:val="00E45CB1"/>
    <w:rsid w:val="00E516C4"/>
    <w:rsid w:val="00E56AC8"/>
    <w:rsid w:val="00E56B71"/>
    <w:rsid w:val="00E56E9D"/>
    <w:rsid w:val="00E6415A"/>
    <w:rsid w:val="00E6422D"/>
    <w:rsid w:val="00E661A1"/>
    <w:rsid w:val="00E7099F"/>
    <w:rsid w:val="00E719F2"/>
    <w:rsid w:val="00E8287C"/>
    <w:rsid w:val="00E83C5B"/>
    <w:rsid w:val="00E86EBA"/>
    <w:rsid w:val="00E94CF8"/>
    <w:rsid w:val="00E94D43"/>
    <w:rsid w:val="00EA221D"/>
    <w:rsid w:val="00EA318D"/>
    <w:rsid w:val="00EB3E9D"/>
    <w:rsid w:val="00EB6738"/>
    <w:rsid w:val="00EC50DC"/>
    <w:rsid w:val="00EC56FE"/>
    <w:rsid w:val="00ED14BB"/>
    <w:rsid w:val="00ED4673"/>
    <w:rsid w:val="00EE7771"/>
    <w:rsid w:val="00EF00D3"/>
    <w:rsid w:val="00EF034D"/>
    <w:rsid w:val="00EF0804"/>
    <w:rsid w:val="00EF2E61"/>
    <w:rsid w:val="00EF5936"/>
    <w:rsid w:val="00EF6AF7"/>
    <w:rsid w:val="00F03A18"/>
    <w:rsid w:val="00F06328"/>
    <w:rsid w:val="00F06551"/>
    <w:rsid w:val="00F151D2"/>
    <w:rsid w:val="00F15390"/>
    <w:rsid w:val="00F22C97"/>
    <w:rsid w:val="00F255EF"/>
    <w:rsid w:val="00F26163"/>
    <w:rsid w:val="00F26725"/>
    <w:rsid w:val="00F26B9F"/>
    <w:rsid w:val="00F32D21"/>
    <w:rsid w:val="00F32D52"/>
    <w:rsid w:val="00F35D98"/>
    <w:rsid w:val="00F410B0"/>
    <w:rsid w:val="00F41C3E"/>
    <w:rsid w:val="00F428DB"/>
    <w:rsid w:val="00F5605D"/>
    <w:rsid w:val="00F57EF2"/>
    <w:rsid w:val="00F60DF4"/>
    <w:rsid w:val="00F6779B"/>
    <w:rsid w:val="00F72136"/>
    <w:rsid w:val="00F72BBB"/>
    <w:rsid w:val="00F747A3"/>
    <w:rsid w:val="00F8060C"/>
    <w:rsid w:val="00F81F80"/>
    <w:rsid w:val="00F84137"/>
    <w:rsid w:val="00F84ECB"/>
    <w:rsid w:val="00F865DE"/>
    <w:rsid w:val="00F866D6"/>
    <w:rsid w:val="00F87E33"/>
    <w:rsid w:val="00F9158F"/>
    <w:rsid w:val="00F92124"/>
    <w:rsid w:val="00F93923"/>
    <w:rsid w:val="00F93C97"/>
    <w:rsid w:val="00F94D5B"/>
    <w:rsid w:val="00FA0677"/>
    <w:rsid w:val="00FA1518"/>
    <w:rsid w:val="00FA2D3E"/>
    <w:rsid w:val="00FA3DF6"/>
    <w:rsid w:val="00FA433B"/>
    <w:rsid w:val="00FB1FD8"/>
    <w:rsid w:val="00FB56BA"/>
    <w:rsid w:val="00FB5F68"/>
    <w:rsid w:val="00FC279F"/>
    <w:rsid w:val="00FC28DF"/>
    <w:rsid w:val="00FC3C7F"/>
    <w:rsid w:val="00FC53DA"/>
    <w:rsid w:val="00FD3BC4"/>
    <w:rsid w:val="00FD3DB6"/>
    <w:rsid w:val="00FF0F5E"/>
    <w:rsid w:val="00FF1978"/>
    <w:rsid w:val="00FF3453"/>
    <w:rsid w:val="00FF4B59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92F365D"/>
  <w15:docId w15:val="{58A9D438-5AC2-4281-B670-08C71033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971"/>
    <w:pPr>
      <w:spacing w:line="300" w:lineRule="auto"/>
    </w:pPr>
    <w:rPr>
      <w:rFonts w:ascii="Arial" w:hAnsi="Arial" w:cs="Arial"/>
      <w:sz w:val="21"/>
      <w:szCs w:val="20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13"/>
    <w:pPr>
      <w:spacing w:before="200" w:after="100" w:line="271" w:lineRule="auto"/>
      <w:outlineLvl w:val="2"/>
    </w:pPr>
    <w:rPr>
      <w:iCs/>
      <w:color w:val="57259F"/>
      <w:spacing w:val="5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spacing w:after="0"/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spacing w:after="0"/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A32C3"/>
    <w:pPr>
      <w:keepNext/>
      <w:keepLines/>
      <w:spacing w:before="360" w:after="0" w:line="240" w:lineRule="auto"/>
    </w:pPr>
    <w:rPr>
      <w:caps/>
      <w:kern w:val="20"/>
      <w:sz w:val="44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72899"/>
    <w:rPr>
      <w:rFonts w:cs="Arial"/>
      <w:caps/>
      <w:kern w:val="20"/>
      <w:sz w:val="44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  <w:pPr>
      <w:spacing w:after="0" w:line="240" w:lineRule="auto"/>
    </w:pPr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 w:line="240" w:lineRule="auto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qFormat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FF0F5E"/>
    <w:pPr>
      <w:pBdr>
        <w:left w:val="single" w:sz="48" w:space="8" w:color="57259F"/>
      </w:pBdr>
      <w:spacing w:after="120"/>
      <w:ind w:left="284"/>
    </w:pPr>
    <w:rPr>
      <w:bCs/>
      <w:caps/>
      <w:color w:val="000000" w:themeColor="text1"/>
      <w:sz w:val="32"/>
      <w:szCs w:val="32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pPr>
      <w:spacing w:after="0" w:line="240" w:lineRule="auto"/>
    </w:pPr>
    <w:rPr>
      <w:rFonts w:cs="Times New Roman"/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13"/>
    <w:rPr>
      <w:rFonts w:ascii="Arial" w:hAnsi="Arial" w:cs="Arial"/>
      <w:iCs/>
      <w:color w:val="57259F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1F1297"/>
    <w:pPr>
      <w:numPr>
        <w:numId w:val="4"/>
      </w:numPr>
      <w:spacing w:after="0"/>
      <w:contextualSpacing/>
    </w:pPr>
    <w:rPr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 w:cs="Times New Roman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 w:cs="Times New Roman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pPr>
      <w:spacing w:after="0" w:line="240" w:lineRule="auto"/>
    </w:pPr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spacing w:line="240" w:lineRule="auto"/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  <w:contextualSpacing w:val="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8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Dash">
    <w:name w:val="TableDash"/>
    <w:basedOn w:val="Normal"/>
    <w:rsid w:val="00D35C09"/>
    <w:pPr>
      <w:keepNext/>
      <w:numPr>
        <w:numId w:val="13"/>
      </w:numPr>
      <w:tabs>
        <w:tab w:val="clear" w:pos="216"/>
        <w:tab w:val="num" w:pos="432"/>
      </w:tabs>
      <w:spacing w:before="60" w:after="60" w:line="240" w:lineRule="auto"/>
    </w:pPr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BulletBeforeDash">
    <w:name w:val="BulletBeforeDash"/>
    <w:basedOn w:val="Normal"/>
    <w:rsid w:val="00D35C09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ash">
    <w:name w:val="Dash"/>
    <w:basedOn w:val="Normal"/>
    <w:rsid w:val="00D35C09"/>
    <w:pPr>
      <w:numPr>
        <w:numId w:val="15"/>
      </w:numPr>
      <w:tabs>
        <w:tab w:val="clear" w:pos="216"/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ashLast">
    <w:name w:val="DashLast"/>
    <w:basedOn w:val="Dash"/>
    <w:rsid w:val="00D35C09"/>
    <w:pPr>
      <w:spacing w:after="120"/>
    </w:pPr>
  </w:style>
  <w:style w:type="paragraph" w:customStyle="1" w:styleId="NormalBeforeBullet">
    <w:name w:val="NormalBeforeBullet"/>
    <w:basedOn w:val="Normal"/>
    <w:link w:val="NormalBeforeBulletChar"/>
    <w:qFormat/>
    <w:rsid w:val="00D35C09"/>
    <w:pPr>
      <w:keepNext/>
      <w:spacing w:after="12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ormalBeforeBulletChar">
    <w:name w:val="NormalBeforeBullet Char"/>
    <w:basedOn w:val="DefaultParagraphFont"/>
    <w:link w:val="NormalBeforeBullet"/>
    <w:rsid w:val="00D35C0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aliases w:val="List Paragraph1,List Paragraph11,Recommendation,Bulletr List Paragraph,FooterText,List Paragraph2,List Paragraph21,Paragraphe de liste1,numbered,列出段落,列出段落1,Bullet point,Bullets,CV text,Dot pt,F5 List Paragraph,L,List Paragraph111,lp1"/>
    <w:basedOn w:val="Normal"/>
    <w:link w:val="ListParagraphChar"/>
    <w:uiPriority w:val="34"/>
    <w:qFormat/>
    <w:rsid w:val="00D17910"/>
    <w:pPr>
      <w:ind w:left="720"/>
      <w:contextualSpacing/>
    </w:pPr>
  </w:style>
  <w:style w:type="paragraph" w:customStyle="1" w:styleId="BoxText0">
    <w:name w:val="BoxText"/>
    <w:basedOn w:val="Normal"/>
    <w:qFormat/>
    <w:rsid w:val="00246552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 w:line="240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BoxName">
    <w:name w:val="BoxName"/>
    <w:basedOn w:val="BoxText0"/>
    <w:rsid w:val="00246552"/>
    <w:pPr>
      <w:keepNext/>
      <w:spacing w:before="180"/>
      <w:ind w:left="1080" w:hanging="1080"/>
    </w:pPr>
    <w:rPr>
      <w:b/>
      <w:bCs/>
      <w:sz w:val="24"/>
    </w:rPr>
  </w:style>
  <w:style w:type="paragraph" w:customStyle="1" w:styleId="BoxBullet">
    <w:name w:val="BoxBullet"/>
    <w:basedOn w:val="BoxText0"/>
    <w:rsid w:val="00246552"/>
    <w:pPr>
      <w:numPr>
        <w:numId w:val="20"/>
      </w:numPr>
    </w:pPr>
  </w:style>
  <w:style w:type="character" w:customStyle="1" w:styleId="ListParagraphChar">
    <w:name w:val="List Paragraph Char"/>
    <w:aliases w:val="List Paragraph1 Char,List Paragraph11 Char,Recommendation Char,Bulletr List Paragraph Char,FooterText Char,List Paragraph2 Char,List Paragraph21 Char,Paragraphe de liste1 Char,numbered Char,列出段落 Char,列出段落1 Char,Bullet point Char"/>
    <w:basedOn w:val="DefaultParagraphFont"/>
    <w:link w:val="ListParagraph"/>
    <w:uiPriority w:val="34"/>
    <w:locked/>
    <w:rsid w:val="00EA318D"/>
    <w:rPr>
      <w:rFonts w:ascii="Arial" w:hAnsi="Arial" w:cs="Arial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ealth.gov.au/resources/publications/atagi-clinical-advice-on-vaccination-recommendations-for-people-with-risk-conditions-from-1-july-202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mmunisationhandbook.govcms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ealth.gov.au/resources/publications/atagi-clinical-advice-on-vaccination-recommendations-for-people-with-risk-conditions-from-1-july-2020" TargetMode="Externa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ealth.gov.au/resources/publications/atagi-clinical-advice-on-vaccination-recommendations-for-aboriginal-and-torres-strait-islander-people-from-1-july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C21FFB8AD293484BA846C7C48297039A" version="1.0.0">
  <systemFields>
    <field name="Objective-Id">
      <value order="0">A1977880</value>
    </field>
    <field name="Objective-Title">
      <value order="0">ATAGI Clinical Statement_disease focused _meningococcal_ 17 Mar2020</value>
    </field>
    <field name="Objective-Description">
      <value order="0"/>
    </field>
    <field name="Objective-CreationStamp">
      <value order="0">2020-03-24T01:04:32Z</value>
    </field>
    <field name="Objective-IsApproved">
      <value order="0">false</value>
    </field>
    <field name="Objective-IsPublished">
      <value order="0">true</value>
    </field>
    <field name="Objective-DatePublished">
      <value order="0">2020-03-24T03:31:33Z</value>
    </field>
    <field name="Objective-ModificationStamp">
      <value order="0">2020-03-24T03:31:33Z</value>
    </field>
    <field name="Objective-Owner">
      <value order="0">Lange, Nicole (CO)</value>
    </field>
    <field name="Objective-Path">
      <value order="0">Objective Global Folder:.Department for Health and Wellbeing:Public Health:Communicable Disease Control:Australian Technical Advisory Group on Immunisation [ATAGI] - Statements:2020 [2020-04044]</value>
    </field>
    <field name="Objective-Parent">
      <value order="0">2020 [2020-04044]</value>
    </field>
    <field name="Objective-State">
      <value order="0">Published</value>
    </field>
    <field name="Objective-VersionId">
      <value order="0">vA2958540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2020-04044</value>
    </field>
    <field name="Objective-Classification">
      <value order="0"/>
    </field>
    <field name="Objective-Caveats">
      <value order="0"/>
    </field>
  </systemFields>
  <catalogues>
    <catalogue name="EDoc.Standard Type Catalogue" type="type" ori="id:cA94">
      <field name="Objective-Workgroup">
        <value order="0">Immunisation CDC - HR&amp;P [DHW]</value>
      </field>
      <field name="Objective-Confidentiality">
        <value order="0">02 For Official Use Only [FOUO]</value>
      </field>
      <field name="Objective-Access Use Permission">
        <value order="0"/>
      </field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FERLITSCH, Sarah</DisplayName>
        <AccountId>17325</AccountId>
        <AccountType/>
      </UserInfo>
    </Quality_x0020_Reviewer_x0028_s_x0029_>
    <Content_x0020_Owner_x0020_Designation xmlns="2bd5d25a-ed67-4748-9d94-e4b1e4baa595">Assistant Secretary</Content_x0020_Owner_x0020_Designation>
    <Publishing_x0020_Required_x0020_By xmlns="2bd5d25a-ed67-4748-9d94-e4b1e4baa595" xsi:nil="true"/>
    <Approved_x0020_Date xmlns="2bd5d25a-ed67-4748-9d94-e4b1e4baa595">2020-06-02T14:00:00+00:00</Approved_x0020_Date>
    <IconOverlay xmlns="http://schemas.microsoft.com/sharepoint/v4" xsi:nil="true"/>
    <Content_x0020_Approver xmlns="2bd5d25a-ed67-4748-9d94-e4b1e4baa595">
      <UserInfo>
        <DisplayName>PEISLEY, Hope</DisplayName>
        <AccountId>4376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>HAWKINS, Louise</DisplayName>
        <AccountId>17803</AccountId>
        <AccountType/>
      </UserInfo>
    </Peer_x0020_Review_x0020_Required_x0020_By>
    <Content_x0020_Owner xmlns="2bd5d25a-ed67-4748-9d94-e4b1e4baa595">
      <UserInfo>
        <DisplayName>PEISLEY, Hope</DisplayName>
        <AccountId>4376</AccountId>
        <AccountType/>
      </UserInfo>
    </Content_x0020_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21FFB8AD293484BA846C7C48297039A"/>
  </ds:schemaRefs>
</ds:datastoreItem>
</file>

<file path=customXml/itemProps2.xml><?xml version="1.0" encoding="utf-8"?>
<ds:datastoreItem xmlns:ds="http://schemas.openxmlformats.org/officeDocument/2006/customXml" ds:itemID="{58755A53-313A-421C-82D5-A6F64771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92DD6-81A4-4C7E-975D-40569B46A68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2bd5d25a-ed67-4748-9d94-e4b1e4baa5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6192A2-3072-4416-9EA4-FD174274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tsitsi.mubaiwa</dc:creator>
  <cp:lastModifiedBy>Ferlitsch, Sarah</cp:lastModifiedBy>
  <cp:revision>6</cp:revision>
  <cp:lastPrinted>2020-05-29T02:58:00Z</cp:lastPrinted>
  <dcterms:created xsi:type="dcterms:W3CDTF">2020-05-26T05:41:00Z</dcterms:created>
  <dcterms:modified xsi:type="dcterms:W3CDTF">2020-06-03T01:21:00Z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b55235ed-5ca5-4ec6-8961-3a05ae543b2a,6;b55235ed-5ca5-4ec6-8961-3a05ae543b2a,6;b55235ed-5ca5-4ec6-8961-3a05ae543b2a,6;b55235ed-5ca5-4ec6-8961-3a05ae543b2a,6;b55235ed-5ca5-4ec6-8961-3a05ae543b2a,2;b55235ed-5ca5-4ec6-8961-3a05ae543b2a,2;b55235ed-5ca5-4ec6-89</vt:lpwstr>
  </property>
  <property fmtid="{D5CDD505-2E9C-101B-9397-08002B2CF9AE}" pid="5" name="Objective-Id">
    <vt:lpwstr>A1977880</vt:lpwstr>
  </property>
  <property fmtid="{D5CDD505-2E9C-101B-9397-08002B2CF9AE}" pid="6" name="Objective-Title">
    <vt:lpwstr>ATAGI Clinical Statement_disease focused _meningococcal_ 17 Mar2020</vt:lpwstr>
  </property>
  <property fmtid="{D5CDD505-2E9C-101B-9397-08002B2CF9AE}" pid="7" name="Objective-Description">
    <vt:lpwstr/>
  </property>
  <property fmtid="{D5CDD505-2E9C-101B-9397-08002B2CF9AE}" pid="8" name="Objective-CreationStamp">
    <vt:filetime>2020-03-24T01:04:32Z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2020-03-24T03:31:33Z</vt:filetime>
  </property>
  <property fmtid="{D5CDD505-2E9C-101B-9397-08002B2CF9AE}" pid="12" name="Objective-ModificationStamp">
    <vt:filetime>2020-03-24T03:31:33Z</vt:filetime>
  </property>
  <property fmtid="{D5CDD505-2E9C-101B-9397-08002B2CF9AE}" pid="13" name="Objective-Owner">
    <vt:lpwstr>Lange, Nicole (CO)</vt:lpwstr>
  </property>
  <property fmtid="{D5CDD505-2E9C-101B-9397-08002B2CF9AE}" pid="14" name="Objective-Path">
    <vt:lpwstr>Objective Global Folder:.Department for Health and Wellbeing:Public Health:Communicable Disease Control:Australian Technical Advisory Group on Immunisation [ATAGI] - Statements:2020 [2020-04044]</vt:lpwstr>
  </property>
  <property fmtid="{D5CDD505-2E9C-101B-9397-08002B2CF9AE}" pid="15" name="Objective-Parent">
    <vt:lpwstr>2020 [2020-04044]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vA2958540</vt:lpwstr>
  </property>
  <property fmtid="{D5CDD505-2E9C-101B-9397-08002B2CF9AE}" pid="18" name="Objective-Version">
    <vt:lpwstr>3.0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2020-04044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Workgroup">
    <vt:lpwstr>Immunisation CDC - HR&amp;P [DHW]</vt:lpwstr>
  </property>
  <property fmtid="{D5CDD505-2E9C-101B-9397-08002B2CF9AE}" pid="25" name="Objective-Confidentiality">
    <vt:lpwstr>02 For Official Use Only [FOUO]</vt:lpwstr>
  </property>
  <property fmtid="{D5CDD505-2E9C-101B-9397-08002B2CF9AE}" pid="26" name="Objective-Access Use Permission">
    <vt:lpwstr/>
  </property>
  <property fmtid="{D5CDD505-2E9C-101B-9397-08002B2CF9AE}" pid="27" name="Objective-Notes">
    <vt:lpwstr/>
  </property>
  <property fmtid="{D5CDD505-2E9C-101B-9397-08002B2CF9AE}" pid="28" name="Objective-Connect Creator">
    <vt:lpwstr/>
  </property>
  <property fmtid="{D5CDD505-2E9C-101B-9397-08002B2CF9AE}" pid="29" name="Objective-Comment">
    <vt:lpwstr/>
  </property>
</Properties>
</file>