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FA699" w14:textId="1816C41C" w:rsidR="009714AC" w:rsidRDefault="009714AC" w:rsidP="006C1470">
      <w:pPr>
        <w:tabs>
          <w:tab w:val="left" w:pos="11482"/>
        </w:tabs>
      </w:pPr>
    </w:p>
    <w:p w14:paraId="211048CA" w14:textId="72FFE07B" w:rsidR="007C30DD" w:rsidRDefault="007C30DD" w:rsidP="006C1470">
      <w:pPr>
        <w:tabs>
          <w:tab w:val="left" w:pos="11482"/>
        </w:tabs>
      </w:pPr>
    </w:p>
    <w:p w14:paraId="5D53BD17" w14:textId="623624B8" w:rsidR="0097689D" w:rsidRDefault="0097689D" w:rsidP="006C1470">
      <w:pPr>
        <w:tabs>
          <w:tab w:val="left" w:pos="11482"/>
        </w:tabs>
      </w:pPr>
    </w:p>
    <w:p w14:paraId="522B8C39" w14:textId="77777777" w:rsidR="0097689D" w:rsidRDefault="0097689D" w:rsidP="006C1470">
      <w:pPr>
        <w:tabs>
          <w:tab w:val="left" w:pos="11482"/>
        </w:tabs>
      </w:pPr>
    </w:p>
    <w:p w14:paraId="65AB3290" w14:textId="5CC3DC98" w:rsidR="007C30DD" w:rsidRDefault="007C30DD" w:rsidP="006C1470">
      <w:pPr>
        <w:tabs>
          <w:tab w:val="left" w:pos="11482"/>
        </w:tabs>
      </w:pPr>
    </w:p>
    <w:p w14:paraId="60F2A5A2" w14:textId="77777777" w:rsidR="007C30DD" w:rsidRPr="009714AC" w:rsidRDefault="007C30DD" w:rsidP="006C1470">
      <w:pPr>
        <w:tabs>
          <w:tab w:val="left" w:pos="11482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  <w:tblDescription w:val="This table lists the various considerations that need to be made when considering easing travel restrictions to remote areas."/>
      </w:tblPr>
      <w:tblGrid>
        <w:gridCol w:w="2480"/>
        <w:gridCol w:w="14909"/>
        <w:gridCol w:w="4154"/>
      </w:tblGrid>
      <w:tr w:rsidR="003C5783" w:rsidRPr="003C5783" w14:paraId="7787767F" w14:textId="63F5C509" w:rsidTr="00704B71">
        <w:trPr>
          <w:trHeight w:val="283"/>
          <w:tblHeader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84C2EA"/>
            <w:vAlign w:val="center"/>
          </w:tcPr>
          <w:p w14:paraId="2B847447" w14:textId="72C63064" w:rsidR="00D50681" w:rsidRPr="003C5783" w:rsidRDefault="006C1470" w:rsidP="004E3D5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bookmarkStart w:id="0" w:name="_GoBack" w:colFirst="0" w:colLast="3"/>
            <w:r w:rsidRPr="003C5783">
              <w:rPr>
                <w:rFonts w:asciiTheme="minorHAnsi" w:hAnsiTheme="minorHAnsi" w:cstheme="minorHAnsi"/>
                <w:b/>
                <w:sz w:val="28"/>
                <w:szCs w:val="28"/>
              </w:rPr>
              <w:t>Conditions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84C2EA"/>
            <w:vAlign w:val="center"/>
          </w:tcPr>
          <w:p w14:paraId="43F3B585" w14:textId="5B6347B5" w:rsidR="00D50681" w:rsidRPr="003C5783" w:rsidRDefault="006C1470" w:rsidP="004E3D5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5783">
              <w:rPr>
                <w:rFonts w:asciiTheme="minorHAnsi" w:hAnsiTheme="minorHAnsi" w:cstheme="minorHAnsi"/>
                <w:b/>
                <w:sz w:val="28"/>
                <w:szCs w:val="28"/>
              </w:rPr>
              <w:t>Considerations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84C2EA"/>
            <w:vAlign w:val="center"/>
          </w:tcPr>
          <w:p w14:paraId="6694DA23" w14:textId="6C3675D0" w:rsidR="00D50681" w:rsidRPr="003C5783" w:rsidRDefault="006C1470" w:rsidP="004E3D5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C578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Key partners </w:t>
            </w:r>
          </w:p>
        </w:tc>
      </w:tr>
      <w:tr w:rsidR="00E20A19" w:rsidRPr="00EB1F1C" w14:paraId="4D85E7F5" w14:textId="4D030BD6" w:rsidTr="00704B71">
        <w:tc>
          <w:tcPr>
            <w:tcW w:w="0" w:type="auto"/>
            <w:gridSpan w:val="2"/>
            <w:tcBorders>
              <w:top w:val="nil"/>
            </w:tcBorders>
            <w:shd w:val="clear" w:color="auto" w:fill="F5C945"/>
          </w:tcPr>
          <w:p w14:paraId="2F2585AC" w14:textId="110FEE3D" w:rsidR="00D50681" w:rsidRPr="004E3D52" w:rsidRDefault="00D50681" w:rsidP="00870D00">
            <w:pPr>
              <w:rPr>
                <w:rFonts w:asciiTheme="minorHAnsi" w:hAnsiTheme="minorHAnsi" w:cstheme="minorHAnsi"/>
                <w:b/>
              </w:rPr>
            </w:pPr>
            <w:r w:rsidRPr="004E3D52">
              <w:rPr>
                <w:rFonts w:asciiTheme="minorHAnsi" w:hAnsiTheme="minorHAnsi" w:cstheme="minorHAnsi"/>
                <w:b/>
              </w:rPr>
              <w:t>Internal</w:t>
            </w:r>
            <w:r w:rsidR="00870D00" w:rsidRPr="004E3D52">
              <w:rPr>
                <w:rFonts w:asciiTheme="minorHAnsi" w:hAnsiTheme="minorHAnsi" w:cstheme="minorHAnsi"/>
                <w:b/>
              </w:rPr>
              <w:t xml:space="preserve"> Considerations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5C945"/>
          </w:tcPr>
          <w:p w14:paraId="08E9E3EB" w14:textId="77777777" w:rsidR="00D50681" w:rsidRPr="00EB1F1C" w:rsidRDefault="00D50681" w:rsidP="003B088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0A19" w:rsidRPr="00EB1F1C" w14:paraId="6ED40B1B" w14:textId="714A5676" w:rsidTr="00704B71">
        <w:tc>
          <w:tcPr>
            <w:tcW w:w="0" w:type="auto"/>
            <w:gridSpan w:val="2"/>
            <w:shd w:val="clear" w:color="auto" w:fill="E7E6E6" w:themeFill="background2"/>
          </w:tcPr>
          <w:p w14:paraId="6FFD9899" w14:textId="5BCAB853" w:rsidR="00D50681" w:rsidRPr="00EB1F1C" w:rsidRDefault="00D50681" w:rsidP="003B088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b/>
                <w:sz w:val="22"/>
                <w:szCs w:val="22"/>
              </w:rPr>
              <w:t>Epidemiological Situation</w:t>
            </w:r>
          </w:p>
        </w:tc>
        <w:tc>
          <w:tcPr>
            <w:tcW w:w="0" w:type="auto"/>
            <w:shd w:val="clear" w:color="auto" w:fill="E7E6E6" w:themeFill="background2"/>
          </w:tcPr>
          <w:p w14:paraId="4BE3E580" w14:textId="77777777" w:rsidR="00D50681" w:rsidRPr="00EB1F1C" w:rsidRDefault="00D50681" w:rsidP="00AD7086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0A19" w:rsidRPr="00EB1F1C" w14:paraId="50D6EC2A" w14:textId="301E1C42" w:rsidTr="00704B71">
        <w:tc>
          <w:tcPr>
            <w:tcW w:w="0" w:type="auto"/>
          </w:tcPr>
          <w:p w14:paraId="57BB0FCE" w14:textId="18FA5BBE" w:rsidR="00D50681" w:rsidRPr="00EB1F1C" w:rsidRDefault="00D50681" w:rsidP="004C3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3D52">
              <w:rPr>
                <w:rFonts w:asciiTheme="minorHAnsi" w:hAnsiTheme="minorHAnsi" w:cstheme="minorHAnsi"/>
                <w:b/>
                <w:sz w:val="22"/>
                <w:szCs w:val="22"/>
              </w:rPr>
              <w:t>Surveillance</w:t>
            </w:r>
          </w:p>
        </w:tc>
        <w:tc>
          <w:tcPr>
            <w:tcW w:w="0" w:type="auto"/>
          </w:tcPr>
          <w:p w14:paraId="79B8E22D" w14:textId="1ED738F0" w:rsidR="006E56B8" w:rsidRPr="00EB1F1C" w:rsidRDefault="002E7672" w:rsidP="006E56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Focus surveillance efforts on</w:t>
            </w:r>
            <w:r w:rsidR="00F14543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3422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the biosecurity area (i.e. </w:t>
            </w:r>
            <w:r w:rsidR="00F14543" w:rsidRPr="00EB1F1C">
              <w:rPr>
                <w:rFonts w:asciiTheme="minorHAnsi" w:hAnsiTheme="minorHAnsi" w:cstheme="minorHAnsi"/>
                <w:sz w:val="22"/>
                <w:szCs w:val="22"/>
              </w:rPr>
              <w:t>geographical area</w:t>
            </w:r>
            <w:r w:rsidR="00C57F8F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="00792F71" w:rsidRPr="00EB1F1C">
              <w:rPr>
                <w:rFonts w:asciiTheme="minorHAnsi" w:hAnsiTheme="minorHAnsi" w:cstheme="minorHAnsi"/>
                <w:sz w:val="22"/>
                <w:szCs w:val="22"/>
              </w:rPr>
              <w:t>with frequent contact</w:t>
            </w:r>
            <w:r w:rsidR="009841B4" w:rsidRPr="00EB1F1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57F8F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including cross-jurisdictional </w:t>
            </w:r>
            <w:r w:rsidR="009841B4" w:rsidRPr="00EB1F1C">
              <w:rPr>
                <w:rFonts w:asciiTheme="minorHAnsi" w:hAnsiTheme="minorHAnsi" w:cstheme="minorHAnsi"/>
                <w:sz w:val="22"/>
                <w:szCs w:val="22"/>
              </w:rPr>
              <w:t>areas</w:t>
            </w:r>
            <w:r w:rsidR="008A3422" w:rsidRPr="00EB1F1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C57F8F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C4D093C" w14:textId="77777777" w:rsidR="00A20136" w:rsidRPr="00EB1F1C" w:rsidRDefault="00D50681" w:rsidP="00B151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Well established surveillance mechanism</w:t>
            </w:r>
            <w:r w:rsidR="00A20136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53AD7F28" w14:textId="749DDCB7" w:rsidR="00EF2EFA" w:rsidRPr="00EB1F1C" w:rsidRDefault="00B1512C" w:rsidP="00A2013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informed by the </w:t>
            </w:r>
            <w:r w:rsidRPr="00EB1F1C">
              <w:rPr>
                <w:rFonts w:asciiTheme="minorHAnsi" w:hAnsiTheme="minorHAnsi" w:cstheme="minorHAnsi"/>
                <w:i/>
                <w:sz w:val="22"/>
                <w:szCs w:val="22"/>
              </w:rPr>
              <w:t>Interim National Guidance for remote Aboriginal and Torres Strait Islander communities for COVID-19</w:t>
            </w:r>
            <w:r w:rsidR="00A20136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204416CC" w14:textId="77777777" w:rsidR="00EF2EFA" w:rsidRPr="00EB1F1C" w:rsidRDefault="00DF6A36" w:rsidP="00A2013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tailored </w:t>
            </w:r>
            <w:r w:rsidR="00A20136" w:rsidRPr="00EB1F1C">
              <w:rPr>
                <w:rFonts w:asciiTheme="minorHAnsi" w:hAnsiTheme="minorHAnsi" w:cstheme="minorHAnsi"/>
                <w:sz w:val="22"/>
                <w:szCs w:val="22"/>
              </w:rPr>
              <w:t>to c</w:t>
            </w:r>
            <w:r w:rsidR="00EF2EFA" w:rsidRPr="00EB1F1C">
              <w:rPr>
                <w:rFonts w:asciiTheme="minorHAnsi" w:hAnsiTheme="minorHAnsi" w:cstheme="minorHAnsi"/>
                <w:sz w:val="22"/>
                <w:szCs w:val="22"/>
              </w:rPr>
              <w:t>ommunity need and readiness; and</w:t>
            </w:r>
          </w:p>
          <w:p w14:paraId="385DD59B" w14:textId="6F2B43CF" w:rsidR="00D50681" w:rsidRPr="00EB1F1C" w:rsidRDefault="00667983" w:rsidP="00A2013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proofErr w:type="gramEnd"/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good representation of whole community</w:t>
            </w:r>
            <w:r w:rsidR="005A6983" w:rsidRPr="00EB1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51744D" w14:textId="7ABDA07E" w:rsidR="009D5A41" w:rsidRPr="00EB1F1C" w:rsidRDefault="005A6983" w:rsidP="009D5A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Zero </w:t>
            </w:r>
            <w:r w:rsidR="00DC139B" w:rsidRPr="00EB1F1C">
              <w:rPr>
                <w:rFonts w:asciiTheme="minorHAnsi" w:hAnsiTheme="minorHAnsi" w:cstheme="minorHAnsi"/>
                <w:sz w:val="22"/>
                <w:szCs w:val="22"/>
              </w:rPr>
              <w:t>active cases within community OR zero cases in the community with date of onset in the last 28 days</w:t>
            </w:r>
          </w:p>
          <w:p w14:paraId="38C8DCE9" w14:textId="4628EC30" w:rsidR="007D4AC3" w:rsidRPr="00EB1F1C" w:rsidRDefault="007D4AC3" w:rsidP="009D5A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At least two incubation periods (28 days) since last active case in </w:t>
            </w:r>
            <w:r w:rsidR="007B1A9E" w:rsidRPr="00EB1F1C">
              <w:rPr>
                <w:rFonts w:asciiTheme="minorHAnsi" w:hAnsiTheme="minorHAnsi" w:cstheme="minorHAnsi"/>
                <w:sz w:val="22"/>
                <w:szCs w:val="22"/>
              </w:rPr>
              <w:t>the biosecurity area</w:t>
            </w:r>
            <w:r w:rsidR="00EE016F" w:rsidRPr="00EB1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2ED66A6" w14:textId="0C7E597E" w:rsidR="00F752DB" w:rsidRPr="00EB1F1C" w:rsidRDefault="0046504E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No community transmission in the </w:t>
            </w:r>
            <w:r w:rsidR="00A227A4" w:rsidRPr="00EB1F1C">
              <w:rPr>
                <w:rFonts w:asciiTheme="minorHAnsi" w:hAnsiTheme="minorHAnsi" w:cstheme="minorHAnsi"/>
                <w:sz w:val="22"/>
                <w:szCs w:val="22"/>
              </w:rPr>
              <w:t>biosecurity area</w:t>
            </w:r>
            <w:r w:rsidR="00F9384C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, including at least 28 days since cases without epidemiological links to </w:t>
            </w:r>
            <w:r w:rsidR="007368C0" w:rsidRPr="00EB1F1C">
              <w:rPr>
                <w:rFonts w:asciiTheme="minorHAnsi" w:hAnsiTheme="minorHAnsi" w:cstheme="minorHAnsi"/>
                <w:sz w:val="22"/>
                <w:szCs w:val="22"/>
              </w:rPr>
              <w:t>a confirmed case</w:t>
            </w:r>
            <w:r w:rsidR="00F9384C" w:rsidRPr="00EB1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6D8A8F7" w14:textId="7F9ADC77" w:rsidR="0039101F" w:rsidRPr="00EB1F1C" w:rsidRDefault="00731941" w:rsidP="003910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Prioritised enhanced testing of all symptomatic people for </w:t>
            </w:r>
            <w:r w:rsidR="00D27D31" w:rsidRPr="00EB1F1C">
              <w:rPr>
                <w:rFonts w:asciiTheme="minorHAnsi" w:hAnsiTheme="minorHAnsi" w:cstheme="minorHAnsi"/>
                <w:sz w:val="22"/>
                <w:szCs w:val="22"/>
              </w:rPr>
              <w:t>Aboriginal and Torres Strait Islander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and non-Indigenous populations</w:t>
            </w:r>
            <w:r w:rsidR="009E0B60" w:rsidRPr="00EB1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215C7435" w14:textId="77777777" w:rsidR="009F0115" w:rsidRPr="00EB1F1C" w:rsidRDefault="009F0115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State and territory surveillance units</w:t>
            </w:r>
          </w:p>
          <w:p w14:paraId="3DF4B793" w14:textId="7AE58508" w:rsidR="009F0115" w:rsidRPr="00EB1F1C" w:rsidRDefault="009F0115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Commonwealth</w:t>
            </w:r>
          </w:p>
          <w:p w14:paraId="12901DB1" w14:textId="77777777" w:rsidR="009F0115" w:rsidRPr="00EB1F1C" w:rsidRDefault="009F0115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Indigenous health sector</w:t>
            </w:r>
          </w:p>
          <w:p w14:paraId="0E2ECBFF" w14:textId="379569A0" w:rsidR="00D50681" w:rsidRPr="00EB1F1C" w:rsidRDefault="00404A46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Public Health Units (PHU)</w:t>
            </w:r>
          </w:p>
        </w:tc>
      </w:tr>
      <w:tr w:rsidR="00E20A19" w:rsidRPr="00EB1F1C" w14:paraId="735F3BAC" w14:textId="07FADCBF" w:rsidTr="00704B71">
        <w:tc>
          <w:tcPr>
            <w:tcW w:w="0" w:type="auto"/>
          </w:tcPr>
          <w:p w14:paraId="58F478FE" w14:textId="38BA2809" w:rsidR="00D50681" w:rsidRPr="00EB1F1C" w:rsidRDefault="00D50681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Modelling</w:t>
            </w:r>
          </w:p>
        </w:tc>
        <w:tc>
          <w:tcPr>
            <w:tcW w:w="0" w:type="auto"/>
          </w:tcPr>
          <w:p w14:paraId="454B433C" w14:textId="7426DC3B" w:rsidR="00D50681" w:rsidRPr="00EB1F1C" w:rsidRDefault="00D50681" w:rsidP="004B3E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Response plans informed by </w:t>
            </w:r>
            <w:r w:rsidR="003D4C8C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latest evidence, </w:t>
            </w:r>
            <w:r w:rsidR="004B3E60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such as </w:t>
            </w:r>
            <w:r w:rsidR="00B40CB1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national-level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remote community modelling,</w:t>
            </w:r>
            <w:r w:rsidR="004B3E60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which found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community transmission </w:t>
            </w:r>
            <w:r w:rsidR="00373D5C" w:rsidRPr="00EB1F1C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likely </w:t>
            </w:r>
            <w:r w:rsidR="00373D5C" w:rsidRPr="00EB1F1C">
              <w:rPr>
                <w:rFonts w:asciiTheme="minorHAnsi" w:hAnsiTheme="minorHAnsi" w:cstheme="minorHAnsi"/>
                <w:sz w:val="22"/>
                <w:szCs w:val="22"/>
              </w:rPr>
              <w:t>established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in smaller communities when first cases are detected.</w:t>
            </w:r>
          </w:p>
        </w:tc>
        <w:tc>
          <w:tcPr>
            <w:tcW w:w="0" w:type="auto"/>
          </w:tcPr>
          <w:p w14:paraId="04EDD737" w14:textId="47B2ABA1" w:rsidR="000504C7" w:rsidRPr="00EB1F1C" w:rsidRDefault="00E20A19" w:rsidP="00050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Aboriginal Community Cont</w:t>
            </w:r>
            <w:r w:rsidR="00C83596" w:rsidRPr="00EB1F1C">
              <w:rPr>
                <w:rFonts w:asciiTheme="minorHAnsi" w:hAnsiTheme="minorHAnsi" w:cstheme="minorHAnsi"/>
                <w:sz w:val="22"/>
                <w:szCs w:val="22"/>
              </w:rPr>
              <w:t>rolled Health Services (ACCHS</w:t>
            </w:r>
            <w:r w:rsidR="00C83596" w:rsidRPr="00EB1F1C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footnoteReference w:id="2"/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0504C7" w:rsidRPr="00EB1F1C">
              <w:rPr>
                <w:rFonts w:asciiTheme="minorHAnsi" w:hAnsiTheme="minorHAnsi" w:cstheme="minorHAnsi"/>
                <w:sz w:val="22"/>
                <w:szCs w:val="22"/>
              </w:rPr>
              <w:t>/Health Services</w:t>
            </w:r>
          </w:p>
          <w:p w14:paraId="13483F45" w14:textId="77777777" w:rsidR="000504C7" w:rsidRPr="00EB1F1C" w:rsidRDefault="000504C7" w:rsidP="00050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Jurisdictions</w:t>
            </w:r>
          </w:p>
          <w:p w14:paraId="3DF33592" w14:textId="53A03201" w:rsidR="00D50681" w:rsidRPr="00EB1F1C" w:rsidRDefault="000504C7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Commonwealth</w:t>
            </w:r>
          </w:p>
        </w:tc>
      </w:tr>
      <w:tr w:rsidR="00E20A19" w:rsidRPr="00EB1F1C" w14:paraId="6143B537" w14:textId="283A44C6" w:rsidTr="00704B71">
        <w:tc>
          <w:tcPr>
            <w:tcW w:w="0" w:type="auto"/>
            <w:gridSpan w:val="2"/>
            <w:shd w:val="clear" w:color="auto" w:fill="E7E6E6" w:themeFill="background2"/>
          </w:tcPr>
          <w:p w14:paraId="2A17772D" w14:textId="24B10A0D" w:rsidR="00D50681" w:rsidRPr="00EB1F1C" w:rsidRDefault="00D50681" w:rsidP="003B088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b/>
                <w:sz w:val="22"/>
                <w:szCs w:val="22"/>
              </w:rPr>
              <w:t>Public Health System Capacity</w:t>
            </w:r>
          </w:p>
        </w:tc>
        <w:tc>
          <w:tcPr>
            <w:tcW w:w="0" w:type="auto"/>
            <w:shd w:val="clear" w:color="auto" w:fill="E7E6E6" w:themeFill="background2"/>
          </w:tcPr>
          <w:p w14:paraId="5E6D3A5E" w14:textId="77777777" w:rsidR="00D50681" w:rsidRPr="00EB1F1C" w:rsidRDefault="00D50681" w:rsidP="00AD7086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0A19" w:rsidRPr="00EB1F1C" w14:paraId="2865CCB5" w14:textId="542AF941" w:rsidTr="00704B71">
        <w:tc>
          <w:tcPr>
            <w:tcW w:w="0" w:type="auto"/>
          </w:tcPr>
          <w:p w14:paraId="26FFF41D" w14:textId="7BEF9EEB" w:rsidR="00D50681" w:rsidRPr="00EB1F1C" w:rsidRDefault="00D50681" w:rsidP="000D3F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System in place for evacuation</w:t>
            </w:r>
          </w:p>
        </w:tc>
        <w:tc>
          <w:tcPr>
            <w:tcW w:w="0" w:type="auto"/>
          </w:tcPr>
          <w:p w14:paraId="45E415E5" w14:textId="03B0ACE3" w:rsidR="008139DD" w:rsidRPr="00EB1F1C" w:rsidRDefault="008139DD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Protocols in place for evacuation and repatriation, including low-acuity retrievals between local health services</w:t>
            </w:r>
            <w:r w:rsidR="002B3B5C" w:rsidRPr="00EB1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C37ACC0" w14:textId="34560A2D" w:rsidR="00D50681" w:rsidRPr="00EB1F1C" w:rsidRDefault="00D50681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Access to </w:t>
            </w:r>
            <w:r w:rsidR="00E004A6" w:rsidRPr="00EB1F1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482A50" w:rsidRPr="00EB1F1C">
              <w:rPr>
                <w:rFonts w:asciiTheme="minorHAnsi" w:hAnsiTheme="minorHAnsi" w:cstheme="minorHAnsi"/>
                <w:sz w:val="22"/>
                <w:szCs w:val="22"/>
              </w:rPr>
              <w:t>oyal Flying Doctor</w:t>
            </w:r>
            <w:r w:rsidR="00E004A6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Service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1B19FB" w:rsidRPr="00EB1F1C">
              <w:rPr>
                <w:rFonts w:asciiTheme="minorHAnsi" w:hAnsiTheme="minorHAnsi" w:cstheme="minorHAnsi"/>
                <w:sz w:val="22"/>
                <w:szCs w:val="22"/>
              </w:rPr>
              <w:t>/or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other aeromedical retrieval from remote communities. </w:t>
            </w:r>
          </w:p>
          <w:p w14:paraId="3A4C9E68" w14:textId="21A66C63" w:rsidR="00D50681" w:rsidRPr="00EB1F1C" w:rsidRDefault="00D50681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786BAD5E" w14:textId="77777777" w:rsidR="000504C7" w:rsidRPr="00EB1F1C" w:rsidRDefault="000504C7" w:rsidP="00050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ACCHS/Health Services</w:t>
            </w:r>
          </w:p>
          <w:p w14:paraId="190D65F2" w14:textId="77777777" w:rsidR="000504C7" w:rsidRPr="00EB1F1C" w:rsidRDefault="000504C7" w:rsidP="00050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Jurisdictions</w:t>
            </w:r>
          </w:p>
          <w:p w14:paraId="0FA917D8" w14:textId="539E5354" w:rsidR="00D50681" w:rsidRPr="00EB1F1C" w:rsidRDefault="000504C7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Commonwealth</w:t>
            </w:r>
          </w:p>
        </w:tc>
      </w:tr>
      <w:tr w:rsidR="00E20A19" w:rsidRPr="00EB1F1C" w14:paraId="0258601C" w14:textId="2CF4AB3C" w:rsidTr="00704B71">
        <w:tc>
          <w:tcPr>
            <w:tcW w:w="0" w:type="auto"/>
          </w:tcPr>
          <w:p w14:paraId="20DBC852" w14:textId="5F5ED1AA" w:rsidR="00D50681" w:rsidRPr="00EB1F1C" w:rsidRDefault="00D50681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Laboratory capacity and supplies</w:t>
            </w:r>
          </w:p>
        </w:tc>
        <w:tc>
          <w:tcPr>
            <w:tcW w:w="0" w:type="auto"/>
          </w:tcPr>
          <w:p w14:paraId="3ED76B72" w14:textId="5274CB41" w:rsidR="00D50681" w:rsidRPr="00EB1F1C" w:rsidRDefault="00D50681" w:rsidP="004C21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Testing capacity of laboratories (public and private) under the various surveillance scenarios.</w:t>
            </w:r>
          </w:p>
          <w:p w14:paraId="083C8D96" w14:textId="77777777" w:rsidR="00F644CA" w:rsidRPr="00EB1F1C" w:rsidRDefault="00F644CA" w:rsidP="00F644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Availability of trained staff to undertake testing. </w:t>
            </w:r>
          </w:p>
          <w:p w14:paraId="485AE227" w14:textId="2958E824" w:rsidR="00D50681" w:rsidRPr="00EB1F1C" w:rsidRDefault="00D50681" w:rsidP="00F644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Availability of </w:t>
            </w:r>
            <w:r w:rsidR="001F5105" w:rsidRPr="00EB1F1C">
              <w:rPr>
                <w:rFonts w:asciiTheme="minorHAnsi" w:hAnsiTheme="minorHAnsi" w:cstheme="minorHAnsi"/>
                <w:sz w:val="22"/>
                <w:szCs w:val="22"/>
              </w:rPr>
              <w:t>personal protective equipment (PPE)</w:t>
            </w:r>
            <w:r w:rsidR="00D27D31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laboratory consumables to support testing.</w:t>
            </w:r>
          </w:p>
          <w:p w14:paraId="701C222F" w14:textId="7EBDE552" w:rsidR="00D50681" w:rsidRPr="00EB1F1C" w:rsidRDefault="000C39FB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Also see</w:t>
            </w:r>
            <w:r w:rsidR="007839ED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‘Testing’ in </w:t>
            </w:r>
            <w:r w:rsidR="007839ED" w:rsidRPr="00EB1F1C">
              <w:rPr>
                <w:rFonts w:asciiTheme="minorHAnsi" w:hAnsiTheme="minorHAnsi" w:cstheme="minorHAnsi"/>
                <w:i/>
                <w:sz w:val="22"/>
                <w:szCs w:val="22"/>
              </w:rPr>
              <w:t>Section 3. Health Care System Capacity</w:t>
            </w:r>
            <w:r w:rsidR="007839ED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below</w:t>
            </w:r>
            <w:r w:rsidR="00DE3305" w:rsidRPr="00EB1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00A9DC02" w14:textId="77777777" w:rsidR="00D50681" w:rsidRPr="00EB1F1C" w:rsidRDefault="000504C7" w:rsidP="004C21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Jurisdictions</w:t>
            </w:r>
          </w:p>
          <w:p w14:paraId="4159EAA6" w14:textId="0F69EE27" w:rsidR="0039101F" w:rsidRPr="00EB1F1C" w:rsidRDefault="0039101F" w:rsidP="004C21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Public and private laboratories;</w:t>
            </w:r>
          </w:p>
        </w:tc>
      </w:tr>
      <w:tr w:rsidR="00E20A19" w:rsidRPr="00EB1F1C" w14:paraId="54148BD3" w14:textId="42454457" w:rsidTr="00704B71">
        <w:tc>
          <w:tcPr>
            <w:tcW w:w="0" w:type="auto"/>
          </w:tcPr>
          <w:p w14:paraId="21586E15" w14:textId="11C78788" w:rsidR="00D50681" w:rsidRPr="00EB1F1C" w:rsidRDefault="00D50681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Contact Tracing capacity</w:t>
            </w:r>
          </w:p>
        </w:tc>
        <w:tc>
          <w:tcPr>
            <w:tcW w:w="0" w:type="auto"/>
          </w:tcPr>
          <w:p w14:paraId="3E8858BA" w14:textId="0B0713B4" w:rsidR="00D50681" w:rsidRPr="00EB1F1C" w:rsidRDefault="00D50681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Staff trained to ensure </w:t>
            </w:r>
            <w:r w:rsidR="00E653D8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culturally safe contact tracing,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outbreak response</w:t>
            </w:r>
            <w:r w:rsidR="00036280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0E26" w:rsidRPr="00EB1F1C">
              <w:rPr>
                <w:rFonts w:asciiTheme="minorHAnsi" w:hAnsiTheme="minorHAnsi" w:cstheme="minorHAnsi"/>
                <w:sz w:val="22"/>
                <w:szCs w:val="22"/>
              </w:rPr>
              <w:t>capacity</w:t>
            </w:r>
            <w:r w:rsidR="00E653D8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and coordination</w:t>
            </w:r>
            <w:r w:rsidR="00020E26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within </w:t>
            </w:r>
            <w:r w:rsidR="002E7672" w:rsidRPr="00EB1F1C">
              <w:rPr>
                <w:rFonts w:asciiTheme="minorHAnsi" w:hAnsiTheme="minorHAnsi" w:cstheme="minorHAnsi"/>
                <w:sz w:val="22"/>
                <w:szCs w:val="22"/>
              </w:rPr>
              <w:t>ACCH</w:t>
            </w:r>
            <w:r w:rsidR="008811CB" w:rsidRPr="00EB1F1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2E7672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6D58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404A46" w:rsidRPr="00EB1F1C">
              <w:rPr>
                <w:rFonts w:asciiTheme="minorHAnsi" w:hAnsiTheme="minorHAnsi" w:cstheme="minorHAnsi"/>
                <w:sz w:val="22"/>
                <w:szCs w:val="22"/>
              </w:rPr>
              <w:t>PHUs</w:t>
            </w:r>
            <w:r w:rsidR="00166373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98A6163" w14:textId="277A777C" w:rsidR="00C338EE" w:rsidRPr="00EB1F1C" w:rsidRDefault="00C338EE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Ability to commence contact tracing and outbreak response within </w:t>
            </w:r>
            <w:r w:rsidR="008C4643" w:rsidRPr="00EB1F1C">
              <w:rPr>
                <w:rFonts w:asciiTheme="minorHAnsi" w:hAnsiTheme="minorHAnsi" w:cstheme="minorHAnsi"/>
                <w:sz w:val="22"/>
                <w:szCs w:val="22"/>
              </w:rPr>
              <w:t>four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hours of first confirmed </w:t>
            </w:r>
            <w:r w:rsidR="00D0227E" w:rsidRPr="00EB1F1C">
              <w:rPr>
                <w:rFonts w:asciiTheme="minorHAnsi" w:hAnsiTheme="minorHAnsi" w:cstheme="minorHAnsi"/>
                <w:sz w:val="22"/>
                <w:szCs w:val="22"/>
              </w:rPr>
              <w:t>case</w:t>
            </w:r>
            <w:r w:rsidR="003A08D6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being notified to the relevant jurisdictional authority</w:t>
            </w:r>
            <w:r w:rsidR="00F8743C" w:rsidRPr="00EB1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883D1CD" w14:textId="61313D1B" w:rsidR="00D50681" w:rsidRPr="00EB1F1C" w:rsidRDefault="004A1107" w:rsidP="00C15A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Transport</w:t>
            </w:r>
            <w:r w:rsidR="00BC6D9A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or telehealth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mechanisms to remote communities for contact tracing teams</w:t>
            </w:r>
            <w:r w:rsidR="00AD7733">
              <w:rPr>
                <w:rFonts w:asciiTheme="minorHAnsi" w:hAnsiTheme="minorHAnsi" w:cstheme="minorHAnsi"/>
                <w:sz w:val="22"/>
                <w:szCs w:val="22"/>
              </w:rPr>
              <w:t>. I</w:t>
            </w:r>
            <w:r w:rsidR="0039101F">
              <w:rPr>
                <w:rFonts w:asciiTheme="minorHAnsi" w:hAnsiTheme="minorHAnsi" w:cstheme="minorHAnsi"/>
                <w:sz w:val="22"/>
                <w:szCs w:val="22"/>
              </w:rPr>
              <w:t>dentification</w:t>
            </w:r>
            <w:r w:rsidR="0039101F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2E7672" w:rsidRPr="00EB1F1C">
              <w:rPr>
                <w:rFonts w:asciiTheme="minorHAnsi" w:hAnsiTheme="minorHAnsi" w:cstheme="minorHAnsi"/>
                <w:sz w:val="22"/>
                <w:szCs w:val="22"/>
              </w:rPr>
              <w:t>community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links </w:t>
            </w:r>
            <w:r w:rsidR="003B5FAE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and establishment of community relationships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prior to arrival</w:t>
            </w:r>
            <w:r w:rsidR="00C757B9" w:rsidRPr="00EB1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6E7A50EC" w14:textId="77777777" w:rsidR="000504C7" w:rsidRPr="00EB1F1C" w:rsidRDefault="000504C7" w:rsidP="00050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ACCHS/Health Services</w:t>
            </w:r>
          </w:p>
          <w:p w14:paraId="765BA3BB" w14:textId="2315AE2C" w:rsidR="00D50681" w:rsidRPr="00EB1F1C" w:rsidRDefault="000504C7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Jurisdictions</w:t>
            </w:r>
          </w:p>
        </w:tc>
      </w:tr>
      <w:tr w:rsidR="00E20A19" w:rsidRPr="00EB1F1C" w14:paraId="64236191" w14:textId="7C2761D2" w:rsidTr="00704B71">
        <w:tc>
          <w:tcPr>
            <w:tcW w:w="0" w:type="auto"/>
          </w:tcPr>
          <w:p w14:paraId="477965B0" w14:textId="6B1F7536" w:rsidR="00D50681" w:rsidRPr="00EB1F1C" w:rsidRDefault="00D50681" w:rsidP="00061F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Access to </w:t>
            </w:r>
            <w:r w:rsidR="00061FCA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Medicines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and PPE </w:t>
            </w:r>
          </w:p>
        </w:tc>
        <w:tc>
          <w:tcPr>
            <w:tcW w:w="0" w:type="auto"/>
          </w:tcPr>
          <w:p w14:paraId="173EED54" w14:textId="28595725" w:rsidR="00D50681" w:rsidRPr="00EB1F1C" w:rsidRDefault="00D50681" w:rsidP="00BA04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Established and secure supply chains of essential medicines and PPE for </w:t>
            </w:r>
            <w:r w:rsidR="00BA0430" w:rsidRPr="00EB1F1C">
              <w:rPr>
                <w:rFonts w:asciiTheme="minorHAnsi" w:hAnsiTheme="minorHAnsi" w:cstheme="minorHAnsi"/>
                <w:sz w:val="22"/>
                <w:szCs w:val="22"/>
              </w:rPr>
              <w:t>business as usual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and surge capacity</w:t>
            </w:r>
            <w:r w:rsidR="002E7672" w:rsidRPr="00EB1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02EEB4BD" w14:textId="77777777" w:rsidR="000504C7" w:rsidRPr="00EB1F1C" w:rsidRDefault="000504C7" w:rsidP="00050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ACCHS/Health Services</w:t>
            </w:r>
          </w:p>
          <w:p w14:paraId="6616883D" w14:textId="77777777" w:rsidR="000504C7" w:rsidRPr="00EB1F1C" w:rsidRDefault="000504C7" w:rsidP="00050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Jurisdictions</w:t>
            </w:r>
          </w:p>
          <w:p w14:paraId="4E746504" w14:textId="77777777" w:rsidR="00D50681" w:rsidRPr="00EB1F1C" w:rsidRDefault="000504C7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Commonwealth</w:t>
            </w:r>
          </w:p>
          <w:p w14:paraId="0DE09D11" w14:textId="1925E591" w:rsidR="00D50681" w:rsidRPr="00EB1F1C" w:rsidRDefault="00D96C0D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Primary Health Networks (PHN)</w:t>
            </w:r>
          </w:p>
        </w:tc>
      </w:tr>
      <w:tr w:rsidR="00E20A19" w:rsidRPr="00EB1F1C" w14:paraId="68B9DE0F" w14:textId="634D7ED9" w:rsidTr="00704B71">
        <w:tc>
          <w:tcPr>
            <w:tcW w:w="0" w:type="auto"/>
            <w:gridSpan w:val="2"/>
            <w:shd w:val="clear" w:color="auto" w:fill="E7E6E6" w:themeFill="background2"/>
          </w:tcPr>
          <w:p w14:paraId="07948B8A" w14:textId="13E45003" w:rsidR="00D50681" w:rsidRPr="00EB1F1C" w:rsidRDefault="00D50681" w:rsidP="003B088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Health Care System Capacity</w:t>
            </w:r>
          </w:p>
        </w:tc>
        <w:tc>
          <w:tcPr>
            <w:tcW w:w="0" w:type="auto"/>
            <w:shd w:val="clear" w:color="auto" w:fill="E7E6E6" w:themeFill="background2"/>
          </w:tcPr>
          <w:p w14:paraId="2F083A7A" w14:textId="0A26F727" w:rsidR="00D50681" w:rsidRPr="00EB1F1C" w:rsidRDefault="00D50681" w:rsidP="00AD7086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0A19" w:rsidRPr="00EB1F1C" w14:paraId="22A1011C" w14:textId="77777777" w:rsidTr="00704B71">
        <w:tc>
          <w:tcPr>
            <w:tcW w:w="0" w:type="auto"/>
          </w:tcPr>
          <w:p w14:paraId="0056B8CA" w14:textId="63107A0C" w:rsidR="008C0943" w:rsidRPr="00EB1F1C" w:rsidRDefault="008C0943" w:rsidP="00E044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Health system status</w:t>
            </w:r>
          </w:p>
        </w:tc>
        <w:tc>
          <w:tcPr>
            <w:tcW w:w="0" w:type="auto"/>
          </w:tcPr>
          <w:p w14:paraId="6ADEECBC" w14:textId="77740D99" w:rsidR="00EE09B4" w:rsidRPr="00EB1F1C" w:rsidRDefault="00EC4146" w:rsidP="00C2742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8C0943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ealth system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has capacity for</w:t>
            </w:r>
            <w:r w:rsidR="008C0943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usual healthcare needs in addition to COVID-19 related illness. </w:t>
            </w:r>
          </w:p>
        </w:tc>
        <w:tc>
          <w:tcPr>
            <w:tcW w:w="0" w:type="auto"/>
          </w:tcPr>
          <w:p w14:paraId="1B2DC369" w14:textId="77777777" w:rsidR="000504C7" w:rsidRPr="00EB1F1C" w:rsidRDefault="000504C7" w:rsidP="00050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ACCHS/Health Services</w:t>
            </w:r>
          </w:p>
          <w:p w14:paraId="052CCC29" w14:textId="73C18B78" w:rsidR="008C0943" w:rsidRPr="00EB1F1C" w:rsidRDefault="000504C7" w:rsidP="00E044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Jurisdictions</w:t>
            </w:r>
          </w:p>
        </w:tc>
      </w:tr>
      <w:tr w:rsidR="00E20A19" w:rsidRPr="00EB1F1C" w14:paraId="1C9CED8C" w14:textId="77777777" w:rsidTr="00704B71">
        <w:tc>
          <w:tcPr>
            <w:tcW w:w="0" w:type="auto"/>
          </w:tcPr>
          <w:p w14:paraId="07C76B37" w14:textId="46AED409" w:rsidR="00B3343D" w:rsidRPr="00EB1F1C" w:rsidRDefault="00B3343D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Response planning</w:t>
            </w:r>
          </w:p>
        </w:tc>
        <w:tc>
          <w:tcPr>
            <w:tcW w:w="0" w:type="auto"/>
          </w:tcPr>
          <w:p w14:paraId="40BA041F" w14:textId="5A1FDBD9" w:rsidR="00B3343D" w:rsidRPr="00EB1F1C" w:rsidRDefault="00D07D9E" w:rsidP="00B33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Service Level Pandemic </w:t>
            </w:r>
            <w:r w:rsidR="00B3343D" w:rsidRPr="00EB1F1C">
              <w:rPr>
                <w:rFonts w:asciiTheme="minorHAnsi" w:hAnsiTheme="minorHAnsi" w:cstheme="minorHAnsi"/>
                <w:sz w:val="22"/>
                <w:szCs w:val="22"/>
              </w:rPr>
              <w:t>Plans (including surge and recovery) in place</w:t>
            </w:r>
            <w:r w:rsidR="00682811" w:rsidRPr="00EB1F1C">
              <w:rPr>
                <w:rFonts w:asciiTheme="minorHAnsi" w:hAnsiTheme="minorHAnsi" w:cstheme="minorHAnsi"/>
                <w:sz w:val="22"/>
                <w:szCs w:val="22"/>
              </w:rPr>
              <w:t>, and have been tested and practiced</w:t>
            </w:r>
            <w:r w:rsidR="008F67CE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. Plans </w:t>
            </w:r>
            <w:r w:rsidR="00031CC0" w:rsidRPr="00EB1F1C">
              <w:rPr>
                <w:rFonts w:asciiTheme="minorHAnsi" w:hAnsiTheme="minorHAnsi" w:cstheme="minorHAnsi"/>
                <w:sz w:val="22"/>
                <w:szCs w:val="22"/>
              </w:rPr>
              <w:t>have been consulted and communicated with community throughout the process,</w:t>
            </w:r>
            <w:r w:rsidR="004008E2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67CE" w:rsidRPr="00EB1F1C">
              <w:rPr>
                <w:rFonts w:asciiTheme="minorHAnsi" w:hAnsiTheme="minorHAnsi" w:cstheme="minorHAnsi"/>
                <w:sz w:val="22"/>
                <w:szCs w:val="22"/>
              </w:rPr>
              <w:t>while</w:t>
            </w:r>
            <w:r w:rsidR="00031CC0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building and maintaining positive working relationships with key partners at all levels. Plans </w:t>
            </w:r>
            <w:r w:rsidR="004008E2" w:rsidRPr="00EB1F1C">
              <w:rPr>
                <w:rFonts w:asciiTheme="minorHAnsi" w:hAnsiTheme="minorHAnsi" w:cstheme="minorHAnsi"/>
                <w:sz w:val="22"/>
                <w:szCs w:val="22"/>
              </w:rPr>
              <w:t>include</w:t>
            </w:r>
            <w:r w:rsidR="00B3343D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risk assessments for</w:t>
            </w:r>
            <w:r w:rsidR="008F67CE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continuing/easing restrictions</w:t>
            </w:r>
            <w:r w:rsidR="00A64852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2697" w:rsidRPr="00EB1F1C">
              <w:rPr>
                <w:rFonts w:asciiTheme="minorHAnsi" w:hAnsiTheme="minorHAnsi" w:cstheme="minorHAnsi"/>
                <w:sz w:val="22"/>
                <w:szCs w:val="22"/>
              </w:rPr>
              <w:t>as well as</w:t>
            </w:r>
            <w:r w:rsidR="00A64852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impact on education and other services</w:t>
            </w:r>
            <w:r w:rsidR="008F67CE" w:rsidRPr="00EB1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3343D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973DC67" w14:textId="3EB9AFBC" w:rsidR="00D07D9E" w:rsidRPr="00EB1F1C" w:rsidRDefault="00B3343D" w:rsidP="00B33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Local, regional and jurisdictional plans are</w:t>
            </w:r>
            <w:r w:rsidR="00FB02B8" w:rsidRPr="00EB1F1C">
              <w:rPr>
                <w:rFonts w:asciiTheme="minorHAnsi" w:hAnsiTheme="minorHAnsi" w:cstheme="minorHAnsi"/>
                <w:sz w:val="22"/>
                <w:szCs w:val="22"/>
              </w:rPr>
              <w:t>: well-coordinated;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4105" w:rsidRPr="00EB1F1C">
              <w:rPr>
                <w:rFonts w:asciiTheme="minorHAnsi" w:hAnsiTheme="minorHAnsi" w:cstheme="minorHAnsi"/>
                <w:sz w:val="22"/>
                <w:szCs w:val="22"/>
              </w:rPr>
              <w:t>evidence based</w:t>
            </w:r>
            <w:r w:rsidR="00FB02B8" w:rsidRPr="00EB1F1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244105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agreed</w:t>
            </w:r>
            <w:r w:rsidR="00FB02B8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with key partners;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sufficiently resourced</w:t>
            </w:r>
            <w:r w:rsidR="00FB02B8" w:rsidRPr="00EB1F1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F90A88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and available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E0D7C55" w14:textId="0C66769F" w:rsidR="000C76D3" w:rsidRPr="00EB1F1C" w:rsidRDefault="00141FC9" w:rsidP="00B33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B3343D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overnance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arrangements </w:t>
            </w:r>
            <w:r w:rsidR="005C38D6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for plans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are</w:t>
            </w:r>
            <w:r w:rsidR="00B3343D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clear to all including local health ser</w:t>
            </w:r>
            <w:r w:rsidR="000C76D3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vices and community members. </w:t>
            </w:r>
          </w:p>
          <w:p w14:paraId="3B3CE5C4" w14:textId="3598533C" w:rsidR="00B3343D" w:rsidRPr="00EB1F1C" w:rsidRDefault="000C76D3" w:rsidP="00B33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Commonwealth and jurisdictional roles for outbreak response </w:t>
            </w:r>
            <w:r w:rsidR="00B3343D" w:rsidRPr="00EB1F1C">
              <w:rPr>
                <w:rFonts w:asciiTheme="minorHAnsi" w:hAnsiTheme="minorHAnsi" w:cstheme="minorHAnsi"/>
                <w:sz w:val="22"/>
                <w:szCs w:val="22"/>
              </w:rPr>
              <w:t>agreed.</w:t>
            </w:r>
          </w:p>
          <w:p w14:paraId="0868C85E" w14:textId="7AF1C3D5" w:rsidR="00B3343D" w:rsidRPr="00EB1F1C" w:rsidRDefault="00B3343D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Specific plans for vulnerable sub-population groups </w:t>
            </w:r>
            <w:r w:rsidR="001168DA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(e.g. people with disabilities)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established and tested,</w:t>
            </w:r>
            <w:r w:rsidR="00D73934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e.g.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including risk assessments for continuing/easing restrictions</w:t>
            </w:r>
            <w:r w:rsidR="00BC2F0D" w:rsidRPr="00EB1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1D842429" w14:textId="77777777" w:rsidR="00B3343D" w:rsidRPr="00EB1F1C" w:rsidRDefault="00B3343D" w:rsidP="00B33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ACCHS/Health Services</w:t>
            </w:r>
          </w:p>
          <w:p w14:paraId="36DB7825" w14:textId="716BF762" w:rsidR="00B3343D" w:rsidRPr="00EB1F1C" w:rsidRDefault="00B3343D" w:rsidP="00B33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Jurisdictions</w:t>
            </w:r>
          </w:p>
        </w:tc>
      </w:tr>
      <w:tr w:rsidR="00E20A19" w:rsidRPr="00EB1F1C" w14:paraId="4C9874C7" w14:textId="277F7DF7" w:rsidTr="00704B71">
        <w:tc>
          <w:tcPr>
            <w:tcW w:w="0" w:type="auto"/>
          </w:tcPr>
          <w:p w14:paraId="20F116BB" w14:textId="3A0C40CF" w:rsidR="00D50681" w:rsidRPr="00EB1F1C" w:rsidRDefault="00D50681" w:rsidP="00F91C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Access to Primary Health</w:t>
            </w:r>
            <w:r w:rsidR="00F91C23" w:rsidRPr="00EB1F1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</w:p>
        </w:tc>
        <w:tc>
          <w:tcPr>
            <w:tcW w:w="0" w:type="auto"/>
          </w:tcPr>
          <w:p w14:paraId="3C34B1DE" w14:textId="7E580997" w:rsidR="00D50681" w:rsidRPr="00EB1F1C" w:rsidRDefault="005F2484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Consider implications of current restrictions on access to other types of health care e.g. </w:t>
            </w:r>
            <w:proofErr w:type="spellStart"/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renal</w:t>
            </w:r>
            <w:proofErr w:type="spellEnd"/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units and support units</w:t>
            </w:r>
            <w:r w:rsidR="00073196" w:rsidRPr="00EB1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6941B93E" w14:textId="77777777" w:rsidR="000504C7" w:rsidRPr="00EB1F1C" w:rsidRDefault="000504C7" w:rsidP="00050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ACCHS/Health Services</w:t>
            </w:r>
          </w:p>
          <w:p w14:paraId="6110437F" w14:textId="67D63CA2" w:rsidR="00D50681" w:rsidRPr="00EB1F1C" w:rsidDel="001E19FF" w:rsidRDefault="000504C7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Jurisdictions</w:t>
            </w:r>
          </w:p>
        </w:tc>
      </w:tr>
      <w:tr w:rsidR="00E20A19" w:rsidRPr="00EB1F1C" w14:paraId="14809229" w14:textId="77777777" w:rsidTr="00704B71">
        <w:tc>
          <w:tcPr>
            <w:tcW w:w="0" w:type="auto"/>
          </w:tcPr>
          <w:p w14:paraId="2BA7B183" w14:textId="0A5B3393" w:rsidR="004D393A" w:rsidRPr="00EB1F1C" w:rsidRDefault="004D393A" w:rsidP="00E044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Hospital surge capacity</w:t>
            </w:r>
          </w:p>
        </w:tc>
        <w:tc>
          <w:tcPr>
            <w:tcW w:w="0" w:type="auto"/>
          </w:tcPr>
          <w:p w14:paraId="25D2FE39" w14:textId="5A6CF56C" w:rsidR="004D393A" w:rsidRPr="00EB1F1C" w:rsidRDefault="004D393A" w:rsidP="00E044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Jurisdiction has capacity and surge ability on bed states, including I</w:t>
            </w:r>
            <w:r w:rsidR="005F7B38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ntensive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5F7B38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5F7B38" w:rsidRPr="00EB1F1C">
              <w:rPr>
                <w:rFonts w:asciiTheme="minorHAnsi" w:hAnsiTheme="minorHAnsi" w:cstheme="minorHAnsi"/>
                <w:sz w:val="22"/>
                <w:szCs w:val="22"/>
              </w:rPr>
              <w:t>nit (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ICU</w:t>
            </w:r>
            <w:r w:rsidR="005F7B38" w:rsidRPr="00EB1F1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beds and patients requiring ventilation/</w:t>
            </w:r>
            <w:r w:rsidR="004E3AD0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6933" w:rsidRPr="00EB1F1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4E3AD0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xtracorporeal membrane oxygenation (ECMO), </w:t>
            </w:r>
            <w:r w:rsidR="00376518" w:rsidRPr="00EB1F1C">
              <w:rPr>
                <w:rFonts w:asciiTheme="minorHAnsi" w:hAnsiTheme="minorHAnsi" w:cstheme="minorHAnsi"/>
                <w:sz w:val="22"/>
                <w:szCs w:val="22"/>
              </w:rPr>
              <w:t>where available</w:t>
            </w:r>
            <w:r w:rsidR="00073196" w:rsidRPr="00EB1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B51BB77" w14:textId="69DACD82" w:rsidR="002F5B1A" w:rsidRPr="00EB1F1C" w:rsidRDefault="002F5B1A" w:rsidP="000731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Jurisdiction has agreed surge capacity for all Aboriginal </w:t>
            </w:r>
            <w:r w:rsidR="007839ED" w:rsidRPr="00EB1F1C">
              <w:rPr>
                <w:rFonts w:asciiTheme="minorHAnsi" w:hAnsiTheme="minorHAnsi" w:cstheme="minorHAnsi"/>
                <w:sz w:val="22"/>
                <w:szCs w:val="22"/>
              </w:rPr>
              <w:t>and Torres Strait Islander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73196" w:rsidRPr="00EB1F1C">
              <w:rPr>
                <w:rFonts w:asciiTheme="minorHAnsi" w:hAnsiTheme="minorHAnsi" w:cstheme="minorHAnsi"/>
                <w:sz w:val="22"/>
                <w:szCs w:val="22"/>
              </w:rPr>
              <w:t>primary healthcare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including ACCHSs.</w:t>
            </w:r>
          </w:p>
        </w:tc>
        <w:tc>
          <w:tcPr>
            <w:tcW w:w="0" w:type="auto"/>
          </w:tcPr>
          <w:p w14:paraId="6991AC01" w14:textId="1D17D6F2" w:rsidR="004D393A" w:rsidRPr="00EB1F1C" w:rsidRDefault="000504C7" w:rsidP="00E044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Jurisdiction</w:t>
            </w:r>
            <w:r w:rsidR="007F746E" w:rsidRPr="00EB1F1C">
              <w:rPr>
                <w:rFonts w:asciiTheme="minorHAnsi" w:hAnsiTheme="minorHAnsi" w:cstheme="minorHAnsi"/>
                <w:sz w:val="22"/>
                <w:szCs w:val="22"/>
              </w:rPr>
              <w:t>/Health Services</w:t>
            </w:r>
          </w:p>
        </w:tc>
      </w:tr>
      <w:tr w:rsidR="00E20A19" w:rsidRPr="00EB1F1C" w14:paraId="51A69D5F" w14:textId="6DBDD423" w:rsidTr="00704B71">
        <w:tc>
          <w:tcPr>
            <w:tcW w:w="0" w:type="auto"/>
          </w:tcPr>
          <w:p w14:paraId="2FB95A9E" w14:textId="5A72DA64" w:rsidR="00D50681" w:rsidRPr="00EB1F1C" w:rsidRDefault="00D50681" w:rsidP="00EB12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Surge workforce capacity</w:t>
            </w:r>
          </w:p>
        </w:tc>
        <w:tc>
          <w:tcPr>
            <w:tcW w:w="0" w:type="auto"/>
          </w:tcPr>
          <w:p w14:paraId="149D6918" w14:textId="147E7BED" w:rsidR="00B76132" w:rsidRPr="00EB1F1C" w:rsidRDefault="00B76132" w:rsidP="00477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Maximise local intelligence</w:t>
            </w:r>
            <w:r w:rsidR="00EA26E3" w:rsidRPr="00EB1F1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8A8" w:rsidRPr="00EB1F1C">
              <w:rPr>
                <w:rFonts w:asciiTheme="minorHAnsi" w:hAnsiTheme="minorHAnsi" w:cstheme="minorHAnsi"/>
                <w:sz w:val="22"/>
                <w:szCs w:val="22"/>
              </w:rPr>
              <w:t>capacity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and cultural capability through upskilling existing workforce.</w:t>
            </w:r>
          </w:p>
          <w:p w14:paraId="394C67B6" w14:textId="6B113FAB" w:rsidR="0047739B" w:rsidRPr="00EB1F1C" w:rsidRDefault="0047739B" w:rsidP="00477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Escalation/</w:t>
            </w:r>
            <w:r w:rsidR="00012108" w:rsidRPr="00EB1F1C">
              <w:rPr>
                <w:rFonts w:asciiTheme="minorHAnsi" w:hAnsiTheme="minorHAnsi" w:cstheme="minorHAnsi"/>
                <w:sz w:val="22"/>
                <w:szCs w:val="22"/>
              </w:rPr>
              <w:t>communication paths and management teams in pla</w:t>
            </w:r>
            <w:r w:rsidR="00906171" w:rsidRPr="00EB1F1C">
              <w:rPr>
                <w:rFonts w:asciiTheme="minorHAnsi" w:hAnsiTheme="minorHAnsi" w:cstheme="minorHAnsi"/>
                <w:sz w:val="22"/>
                <w:szCs w:val="22"/>
              </w:rPr>
              <w:t>ce to rapidly deploy response, including</w:t>
            </w:r>
            <w:r w:rsidR="00012108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D50681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greed high-level approach with </w:t>
            </w:r>
            <w:r w:rsidR="000E16EB" w:rsidRPr="00EB1F1C">
              <w:rPr>
                <w:rFonts w:asciiTheme="minorHAnsi" w:hAnsiTheme="minorHAnsi" w:cstheme="minorHAnsi"/>
                <w:sz w:val="22"/>
                <w:szCs w:val="22"/>
              </w:rPr>
              <w:t>Royal Flying Doctor Service (</w:t>
            </w:r>
            <w:r w:rsidR="00D50681" w:rsidRPr="00EB1F1C">
              <w:rPr>
                <w:rFonts w:asciiTheme="minorHAnsi" w:hAnsiTheme="minorHAnsi" w:cstheme="minorHAnsi"/>
                <w:sz w:val="22"/>
                <w:szCs w:val="22"/>
              </w:rPr>
              <w:t>RFDS</w:t>
            </w:r>
            <w:r w:rsidR="000E16EB" w:rsidRPr="00EB1F1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D50681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, ASPEN Medical or GP Fly-In Respiratory Clinics. Consideration of </w:t>
            </w:r>
            <w:r w:rsidR="00E85D01" w:rsidRPr="00EB1F1C">
              <w:rPr>
                <w:rStyle w:val="e24kjd"/>
                <w:rFonts w:asciiTheme="minorHAnsi" w:hAnsiTheme="minorHAnsi" w:cstheme="minorHAnsi"/>
                <w:color w:val="222222"/>
                <w:sz w:val="22"/>
                <w:szCs w:val="22"/>
              </w:rPr>
              <w:t>Australian Medical Assistance Teams</w:t>
            </w:r>
            <w:r w:rsidR="00E85D01" w:rsidRPr="00EB1F1C">
              <w:rPr>
                <w:rStyle w:val="e24kjd"/>
                <w:rFonts w:ascii="Arial" w:hAnsi="Arial" w:cs="Arial"/>
                <w:color w:val="222222"/>
                <w:sz w:val="22"/>
                <w:szCs w:val="22"/>
              </w:rPr>
              <w:t xml:space="preserve"> (</w:t>
            </w:r>
            <w:r w:rsidR="00D50681" w:rsidRPr="00EB1F1C">
              <w:rPr>
                <w:rFonts w:asciiTheme="minorHAnsi" w:hAnsiTheme="minorHAnsi" w:cstheme="minorHAnsi"/>
                <w:sz w:val="22"/>
                <w:szCs w:val="22"/>
              </w:rPr>
              <w:t>AUSMAT</w:t>
            </w:r>
            <w:r w:rsidR="00E85D01" w:rsidRPr="00EB1F1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D50681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="00F02B08" w:rsidRPr="00EB1F1C">
              <w:rPr>
                <w:rFonts w:asciiTheme="minorHAnsi" w:hAnsiTheme="minorHAnsi" w:cstheme="minorHAnsi"/>
                <w:sz w:val="22"/>
                <w:szCs w:val="22"/>
              </w:rPr>
              <w:t>Department of</w:t>
            </w:r>
            <w:r w:rsidR="00D50681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Defence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if jurisdiction</w:t>
            </w:r>
            <w:r w:rsidR="00153637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cannot respond</w:t>
            </w:r>
            <w:r w:rsidR="00E76478" w:rsidRPr="00EB1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1708A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Ensure</w:t>
            </w:r>
            <w:r w:rsidR="005D58E0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cultural safety is maintained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4A60F52" w14:textId="3E2E360D" w:rsidR="00EE09B4" w:rsidRPr="00EB1F1C" w:rsidRDefault="0047739B" w:rsidP="004773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B6040" w:rsidRPr="00EB1F1C">
              <w:rPr>
                <w:rFonts w:asciiTheme="minorHAnsi" w:hAnsiTheme="minorHAnsi" w:cstheme="minorHAnsi"/>
                <w:sz w:val="22"/>
                <w:szCs w:val="22"/>
              </w:rPr>
              <w:t>cale</w:t>
            </w:r>
            <w:r w:rsidR="005D58E0" w:rsidRPr="00EB1F1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B6040" w:rsidRPr="00EB1F1C">
              <w:rPr>
                <w:rFonts w:asciiTheme="minorHAnsi" w:hAnsiTheme="minorHAnsi" w:cstheme="minorHAnsi"/>
                <w:sz w:val="22"/>
                <w:szCs w:val="22"/>
              </w:rPr>
              <w:t>up safe on site accommodation.</w:t>
            </w:r>
            <w:r w:rsidR="009E6073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5A4B6D2A" w14:textId="77777777" w:rsidR="000504C7" w:rsidRPr="00EB1F1C" w:rsidRDefault="000504C7" w:rsidP="00050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ACCHS/Health Services</w:t>
            </w:r>
          </w:p>
          <w:p w14:paraId="01FECB17" w14:textId="77777777" w:rsidR="000504C7" w:rsidRPr="00EB1F1C" w:rsidRDefault="000504C7" w:rsidP="00050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Jurisdictions</w:t>
            </w:r>
          </w:p>
          <w:p w14:paraId="26802BC4" w14:textId="1C6499F4" w:rsidR="00D50681" w:rsidRPr="00EB1F1C" w:rsidRDefault="000504C7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Commonwealth</w:t>
            </w:r>
          </w:p>
        </w:tc>
      </w:tr>
      <w:tr w:rsidR="00E20A19" w:rsidRPr="00EB1F1C" w14:paraId="437B5438" w14:textId="58172751" w:rsidTr="00704B71">
        <w:tc>
          <w:tcPr>
            <w:tcW w:w="0" w:type="auto"/>
          </w:tcPr>
          <w:p w14:paraId="406D8633" w14:textId="45139C6B" w:rsidR="00D50681" w:rsidRPr="00EB1F1C" w:rsidRDefault="00D50681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System in place for isolation</w:t>
            </w:r>
          </w:p>
        </w:tc>
        <w:tc>
          <w:tcPr>
            <w:tcW w:w="0" w:type="auto"/>
          </w:tcPr>
          <w:p w14:paraId="29ACEAF1" w14:textId="17CC914D" w:rsidR="00E7670C" w:rsidRPr="00EB1F1C" w:rsidRDefault="00E7670C" w:rsidP="00EE31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Isolation and quarantine </w:t>
            </w:r>
            <w:r w:rsidR="00180D53" w:rsidRPr="00EB1F1C">
              <w:rPr>
                <w:rFonts w:asciiTheme="minorHAnsi" w:hAnsiTheme="minorHAnsi" w:cstheme="minorHAnsi"/>
                <w:sz w:val="22"/>
                <w:szCs w:val="22"/>
              </w:rPr>
              <w:t>arrangements</w:t>
            </w:r>
            <w:r w:rsidR="002E08F0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in place</w:t>
            </w:r>
            <w:r w:rsidR="00180D53" w:rsidRPr="00EB1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5D0D156" w14:textId="77777777" w:rsidR="00EF0F1F" w:rsidRPr="00EB1F1C" w:rsidRDefault="00EF0F1F" w:rsidP="00157C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Ensure food security.</w:t>
            </w:r>
          </w:p>
          <w:p w14:paraId="09DECD6C" w14:textId="55831332" w:rsidR="00D50681" w:rsidRPr="00EB1F1C" w:rsidRDefault="00EF0F1F" w:rsidP="00EF0F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Support for</w:t>
            </w:r>
            <w:r w:rsidR="00D50681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mental health </w:t>
            </w:r>
            <w:r w:rsidR="00B371F3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and social </w:t>
            </w:r>
            <w:r w:rsidR="00D50681" w:rsidRPr="00EB1F1C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AD3C6E" w:rsidRPr="00EB1F1C">
              <w:rPr>
                <w:rFonts w:asciiTheme="minorHAnsi" w:hAnsiTheme="minorHAnsi" w:cstheme="minorHAnsi"/>
                <w:sz w:val="22"/>
                <w:szCs w:val="22"/>
              </w:rPr>
              <w:t>elfare, e.g. Aboriginal Liaison Officers</w:t>
            </w:r>
            <w:r w:rsidR="00D50681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or other check ins.  </w:t>
            </w:r>
          </w:p>
        </w:tc>
        <w:tc>
          <w:tcPr>
            <w:tcW w:w="0" w:type="auto"/>
          </w:tcPr>
          <w:p w14:paraId="240D0F36" w14:textId="77777777" w:rsidR="000504C7" w:rsidRPr="00EB1F1C" w:rsidRDefault="000504C7" w:rsidP="00050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ACCHS/Health Services</w:t>
            </w:r>
          </w:p>
          <w:p w14:paraId="0B4C28F1" w14:textId="21F4BD6C" w:rsidR="00D50681" w:rsidRPr="00EB1F1C" w:rsidRDefault="000504C7" w:rsidP="00EE31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Jurisdictions</w:t>
            </w:r>
          </w:p>
        </w:tc>
      </w:tr>
      <w:tr w:rsidR="00E20A19" w:rsidRPr="00EB1F1C" w14:paraId="35E88FD0" w14:textId="0BD9F6C2" w:rsidTr="00704B71">
        <w:tc>
          <w:tcPr>
            <w:tcW w:w="0" w:type="auto"/>
          </w:tcPr>
          <w:p w14:paraId="451A6849" w14:textId="66DC0690" w:rsidR="00D50681" w:rsidRPr="00EB1F1C" w:rsidRDefault="00D50681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Workforce training</w:t>
            </w:r>
          </w:p>
        </w:tc>
        <w:tc>
          <w:tcPr>
            <w:tcW w:w="0" w:type="auto"/>
          </w:tcPr>
          <w:p w14:paraId="74D60461" w14:textId="28A881C9" w:rsidR="00EC04F5" w:rsidRPr="00EB1F1C" w:rsidRDefault="00EC04F5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Identify skill gaps.</w:t>
            </w:r>
          </w:p>
          <w:p w14:paraId="743B9831" w14:textId="77777777" w:rsidR="00EC04F5" w:rsidRPr="00EB1F1C" w:rsidRDefault="00EC04F5" w:rsidP="00EC04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A44D6A" w:rsidRPr="00EB1F1C">
              <w:rPr>
                <w:rFonts w:asciiTheme="minorHAnsi" w:hAnsiTheme="minorHAnsi" w:cstheme="minorHAnsi"/>
                <w:sz w:val="22"/>
                <w:szCs w:val="22"/>
              </w:rPr>
              <w:t>esource and provide required</w:t>
            </w:r>
            <w:r w:rsidR="00D50681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training</w:t>
            </w:r>
            <w:r w:rsidR="00A44D6A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r w:rsidR="00A44D6A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2662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infection control and prevention,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laboratory </w:t>
            </w:r>
            <w:r w:rsidR="0074038B" w:rsidRPr="00EB1F1C">
              <w:rPr>
                <w:rFonts w:asciiTheme="minorHAnsi" w:hAnsiTheme="minorHAnsi" w:cstheme="minorHAnsi"/>
                <w:sz w:val="22"/>
                <w:szCs w:val="22"/>
              </w:rPr>
              <w:t>testing</w:t>
            </w:r>
            <w:r w:rsidR="009872CA" w:rsidRPr="00EB1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2CE7844" w14:textId="5E63C17A" w:rsidR="00D50681" w:rsidRPr="00EB1F1C" w:rsidRDefault="00EC04F5" w:rsidP="00EC04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Utilise surge capabilities if required.</w:t>
            </w:r>
          </w:p>
        </w:tc>
        <w:tc>
          <w:tcPr>
            <w:tcW w:w="0" w:type="auto"/>
          </w:tcPr>
          <w:p w14:paraId="20375D39" w14:textId="77777777" w:rsidR="000504C7" w:rsidRPr="00EB1F1C" w:rsidRDefault="000504C7" w:rsidP="00050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ACCHS/Health Services</w:t>
            </w:r>
          </w:p>
          <w:p w14:paraId="43DC1C89" w14:textId="2613F649" w:rsidR="00D50681" w:rsidRPr="00EB1F1C" w:rsidRDefault="000504C7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Jurisdictions</w:t>
            </w:r>
          </w:p>
        </w:tc>
      </w:tr>
      <w:tr w:rsidR="00E20A19" w:rsidRPr="00EB1F1C" w14:paraId="536F9F85" w14:textId="71298B70" w:rsidTr="00704B71">
        <w:tc>
          <w:tcPr>
            <w:tcW w:w="0" w:type="auto"/>
          </w:tcPr>
          <w:p w14:paraId="35E89971" w14:textId="75CA835F" w:rsidR="00D50681" w:rsidRPr="00EB1F1C" w:rsidRDefault="00D50681" w:rsidP="00FF4B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Provision of health consumables </w:t>
            </w:r>
          </w:p>
        </w:tc>
        <w:tc>
          <w:tcPr>
            <w:tcW w:w="0" w:type="auto"/>
          </w:tcPr>
          <w:p w14:paraId="1DE75680" w14:textId="03238C79" w:rsidR="00D50681" w:rsidRPr="00EB1F1C" w:rsidRDefault="005E2DE1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Ensure adequate stockpiles of p</w:t>
            </w:r>
            <w:r w:rsidR="00D50681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harmaceuticals and PPE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for outbreak response and business as usual</w:t>
            </w:r>
            <w:r w:rsidR="00D50681" w:rsidRPr="00EB1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8CD34CE" w14:textId="69519B44" w:rsidR="00D50681" w:rsidRPr="00EB1F1C" w:rsidRDefault="007839ED" w:rsidP="00132A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Logistics in place (e.g. flights and transport vehicles)</w:t>
            </w:r>
            <w:r w:rsidR="00D50681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5232" w:rsidRPr="00EB1F1C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D50681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additional </w:t>
            </w:r>
            <w:r w:rsidR="00132A07" w:rsidRPr="00EB1F1C">
              <w:rPr>
                <w:rFonts w:asciiTheme="minorHAnsi" w:hAnsiTheme="minorHAnsi" w:cstheme="minorHAnsi"/>
                <w:sz w:val="22"/>
                <w:szCs w:val="22"/>
              </w:rPr>
              <w:t>pharmaceuticals and PPE</w:t>
            </w:r>
            <w:r w:rsidR="00045232" w:rsidRPr="00EB1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5F6D4D9D" w14:textId="26CE2247" w:rsidR="000504C7" w:rsidRPr="00EB1F1C" w:rsidRDefault="000504C7" w:rsidP="00050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ACCHS/Health Services</w:t>
            </w:r>
          </w:p>
          <w:p w14:paraId="578BE714" w14:textId="53AD41B3" w:rsidR="00D50681" w:rsidRPr="00EB1F1C" w:rsidRDefault="000504C7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Jurisdictions</w:t>
            </w:r>
            <w:r w:rsidR="00C518E4" w:rsidRPr="00EB1F1C">
              <w:rPr>
                <w:rFonts w:asciiTheme="minorHAnsi" w:hAnsiTheme="minorHAnsi" w:cstheme="minorHAnsi"/>
                <w:sz w:val="22"/>
                <w:szCs w:val="22"/>
              </w:rPr>
              <w:t>/RFDS</w:t>
            </w:r>
          </w:p>
          <w:p w14:paraId="61D74B1C" w14:textId="39E3B77B" w:rsidR="00D50681" w:rsidRPr="00EB1F1C" w:rsidRDefault="004E7A0A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PHNs</w:t>
            </w:r>
          </w:p>
        </w:tc>
      </w:tr>
      <w:tr w:rsidR="00E20A19" w:rsidRPr="00EB1F1C" w14:paraId="7925F88F" w14:textId="4AD60F8E" w:rsidTr="00704B71">
        <w:tc>
          <w:tcPr>
            <w:tcW w:w="0" w:type="auto"/>
          </w:tcPr>
          <w:p w14:paraId="193539A1" w14:textId="0D7CB18C" w:rsidR="00D50681" w:rsidRPr="00EB1F1C" w:rsidRDefault="00D50681" w:rsidP="00FF4B0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Testing </w:t>
            </w:r>
          </w:p>
        </w:tc>
        <w:tc>
          <w:tcPr>
            <w:tcW w:w="0" w:type="auto"/>
          </w:tcPr>
          <w:p w14:paraId="02163CEE" w14:textId="77777777" w:rsidR="00520510" w:rsidRPr="00EB1F1C" w:rsidRDefault="00D50681" w:rsidP="007D78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Community access to </w:t>
            </w:r>
            <w:r w:rsidR="00CE391E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safe and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timely collection, transport and processing of </w:t>
            </w:r>
            <w:r w:rsidR="00520510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COVID-19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specimens</w:t>
            </w:r>
            <w:r w:rsidR="00CE391E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1AAF477" w14:textId="0C555C33" w:rsidR="00251B1B" w:rsidRPr="00EB1F1C" w:rsidRDefault="00CE391E" w:rsidP="007D78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BC2150" w:rsidRPr="00EB1F1C">
              <w:rPr>
                <w:rFonts w:asciiTheme="minorHAnsi" w:hAnsiTheme="minorHAnsi" w:cstheme="minorHAnsi"/>
                <w:sz w:val="22"/>
                <w:szCs w:val="22"/>
              </w:rPr>
              <w:t>est results for suspected cases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available in </w:t>
            </w:r>
            <w:r w:rsidR="00DA2E07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48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hours or less.</w:t>
            </w:r>
            <w:r w:rsidR="00BC2150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E21938A" w14:textId="7B6BAED2" w:rsidR="00D50681" w:rsidRPr="00EB1F1C" w:rsidRDefault="00520510" w:rsidP="006400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If test results are </w:t>
            </w:r>
            <w:r w:rsidR="00DB5C76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not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available </w:t>
            </w:r>
            <w:r w:rsidR="00DB5C76" w:rsidRPr="00EB1F1C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BE444C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2E07" w:rsidRPr="00EB1F1C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hours</w:t>
            </w:r>
            <w:r w:rsidR="003A379C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or more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, a</w:t>
            </w:r>
            <w:r w:rsidR="00251B1B" w:rsidRPr="00EB1F1C">
              <w:rPr>
                <w:rFonts w:asciiTheme="minorHAnsi" w:hAnsiTheme="minorHAnsi" w:cstheme="minorHAnsi"/>
                <w:sz w:val="22"/>
                <w:szCs w:val="22"/>
              </w:rPr>
              <w:t>bility to isolate suspect cases and quarantine contacts</w:t>
            </w:r>
            <w:r w:rsidR="00BE444C" w:rsidRPr="00EB1F1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51B1B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with safe isolation facilities in </w:t>
            </w:r>
            <w:r w:rsidR="00BE444C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or outside community </w:t>
            </w:r>
            <w:r w:rsidR="00251B1B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(including timely early evacuation) and </w:t>
            </w:r>
            <w:r w:rsidR="00BE444C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transport </w:t>
            </w:r>
            <w:r w:rsidR="00251B1B" w:rsidRPr="00EB1F1C">
              <w:rPr>
                <w:rFonts w:asciiTheme="minorHAnsi" w:hAnsiTheme="minorHAnsi" w:cstheme="minorHAnsi"/>
                <w:sz w:val="22"/>
                <w:szCs w:val="22"/>
              </w:rPr>
              <w:t>mechanism</w:t>
            </w:r>
            <w:r w:rsidR="00BE444C" w:rsidRPr="00EB1F1C">
              <w:rPr>
                <w:rFonts w:asciiTheme="minorHAnsi" w:hAnsiTheme="minorHAnsi" w:cstheme="minorHAnsi"/>
                <w:sz w:val="22"/>
                <w:szCs w:val="22"/>
              </w:rPr>
              <w:t>s agreed</w:t>
            </w:r>
            <w:r w:rsidR="006400CB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and available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3E899760" w14:textId="77777777" w:rsidR="000504C7" w:rsidRPr="00EB1F1C" w:rsidRDefault="000504C7" w:rsidP="00050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ACCHS/Health Services</w:t>
            </w:r>
          </w:p>
          <w:p w14:paraId="04EEBDA7" w14:textId="77777777" w:rsidR="000504C7" w:rsidRPr="00EB1F1C" w:rsidRDefault="000504C7" w:rsidP="00050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Jurisdictions</w:t>
            </w:r>
          </w:p>
          <w:p w14:paraId="111F891D" w14:textId="0CF0D088" w:rsidR="00D50681" w:rsidRPr="00EB1F1C" w:rsidRDefault="000504C7" w:rsidP="00147F1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Commonwealth</w:t>
            </w:r>
          </w:p>
        </w:tc>
      </w:tr>
      <w:tr w:rsidR="00E20A19" w:rsidRPr="00EB1F1C" w14:paraId="2539B939" w14:textId="5793FB1D" w:rsidTr="00704B71">
        <w:tc>
          <w:tcPr>
            <w:tcW w:w="0" w:type="auto"/>
          </w:tcPr>
          <w:p w14:paraId="3D3062C5" w14:textId="6030D8DC" w:rsidR="00D50681" w:rsidRPr="00EB1F1C" w:rsidRDefault="00D50681" w:rsidP="00307D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Access to </w:t>
            </w:r>
            <w:r w:rsidR="00307D91" w:rsidRPr="00EB1F1C">
              <w:rPr>
                <w:rFonts w:asciiTheme="minorHAnsi" w:hAnsiTheme="minorHAnsi" w:cstheme="minorHAnsi"/>
                <w:sz w:val="22"/>
                <w:szCs w:val="22"/>
              </w:rPr>
              <w:t>business as usual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care</w:t>
            </w:r>
          </w:p>
        </w:tc>
        <w:tc>
          <w:tcPr>
            <w:tcW w:w="0" w:type="auto"/>
          </w:tcPr>
          <w:p w14:paraId="309DDCE4" w14:textId="11414736" w:rsidR="00531812" w:rsidRPr="00EB1F1C" w:rsidRDefault="00531812" w:rsidP="00AB1B9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Continued primary healthcare support via telehealth where possible</w:t>
            </w:r>
            <w:r w:rsidR="00BE2DEA" w:rsidRPr="00EB1F1C">
              <w:rPr>
                <w:rFonts w:asciiTheme="minorHAnsi" w:hAnsiTheme="minorHAnsi" w:cstheme="minorHAnsi"/>
                <w:sz w:val="22"/>
                <w:szCs w:val="22"/>
              </w:rPr>
              <w:t>, e.g. methadone, wound care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FBC1BC2" w14:textId="3A1AC900" w:rsidR="00D50681" w:rsidRPr="00EB1F1C" w:rsidRDefault="00D50681" w:rsidP="00AB1B9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Availability of infl</w:t>
            </w:r>
            <w:r w:rsidR="00D465C8" w:rsidRPr="00EB1F1C">
              <w:rPr>
                <w:rFonts w:asciiTheme="minorHAnsi" w:hAnsiTheme="minorHAnsi" w:cstheme="minorHAnsi"/>
                <w:sz w:val="22"/>
                <w:szCs w:val="22"/>
              </w:rPr>
              <w:t>uenza and pneumococcal vaccines.</w:t>
            </w:r>
          </w:p>
          <w:p w14:paraId="0449FB48" w14:textId="68E677EE" w:rsidR="00D50681" w:rsidRPr="00EB1F1C" w:rsidRDefault="00D50681" w:rsidP="000C29A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 w:rsidDel="002C7293">
              <w:rPr>
                <w:rFonts w:asciiTheme="minorHAnsi" w:hAnsiTheme="minorHAnsi" w:cstheme="minorHAnsi"/>
                <w:sz w:val="22"/>
                <w:szCs w:val="22"/>
              </w:rPr>
              <w:t xml:space="preserve">Access to treatment, monitoring and support for </w:t>
            </w:r>
            <w:r w:rsidR="00D465C8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acute, </w:t>
            </w:r>
            <w:r w:rsidRPr="00EB1F1C" w:rsidDel="002C7293">
              <w:rPr>
                <w:rFonts w:asciiTheme="minorHAnsi" w:hAnsiTheme="minorHAnsi" w:cstheme="minorHAnsi"/>
                <w:sz w:val="22"/>
                <w:szCs w:val="22"/>
              </w:rPr>
              <w:t xml:space="preserve">chronic </w:t>
            </w:r>
            <w:r w:rsidR="00093E33" w:rsidRPr="00EB1F1C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  <w:r w:rsidRPr="00EB1F1C" w:rsidDel="002C7293">
              <w:rPr>
                <w:rFonts w:asciiTheme="minorHAnsi" w:hAnsiTheme="minorHAnsi" w:cstheme="minorHAnsi"/>
                <w:sz w:val="22"/>
                <w:szCs w:val="22"/>
              </w:rPr>
              <w:t xml:space="preserve"> mental health conditions</w:t>
            </w:r>
            <w:r w:rsidR="00093E33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</w:p>
        </w:tc>
        <w:tc>
          <w:tcPr>
            <w:tcW w:w="0" w:type="auto"/>
          </w:tcPr>
          <w:p w14:paraId="637594C6" w14:textId="79EFB9CD" w:rsidR="000504C7" w:rsidRPr="00EB1F1C" w:rsidRDefault="000504C7" w:rsidP="00050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ACCHS/Health Services</w:t>
            </w:r>
          </w:p>
          <w:p w14:paraId="2803E584" w14:textId="77777777" w:rsidR="00D50681" w:rsidRPr="00EB1F1C" w:rsidRDefault="000504C7" w:rsidP="00AB1B9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Jurisdictions</w:t>
            </w:r>
          </w:p>
          <w:p w14:paraId="631564F8" w14:textId="3F999C52" w:rsidR="00D50681" w:rsidRPr="00EB1F1C" w:rsidRDefault="00D50681" w:rsidP="00AB1B9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0A19" w:rsidRPr="00EB1F1C" w14:paraId="78AF1964" w14:textId="5A1A2C35" w:rsidTr="00704B71">
        <w:tc>
          <w:tcPr>
            <w:tcW w:w="0" w:type="auto"/>
            <w:gridSpan w:val="2"/>
            <w:shd w:val="clear" w:color="auto" w:fill="E7E6E6" w:themeFill="background2"/>
          </w:tcPr>
          <w:p w14:paraId="79A2E16D" w14:textId="1F064321" w:rsidR="00D50681" w:rsidRPr="00EB1F1C" w:rsidRDefault="00EE5688" w:rsidP="003B088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b/>
                <w:sz w:val="22"/>
                <w:szCs w:val="22"/>
              </w:rPr>
              <w:t>Local Decision Making Capacity</w:t>
            </w:r>
          </w:p>
        </w:tc>
        <w:tc>
          <w:tcPr>
            <w:tcW w:w="0" w:type="auto"/>
            <w:shd w:val="clear" w:color="auto" w:fill="E7E6E6" w:themeFill="background2"/>
          </w:tcPr>
          <w:p w14:paraId="391ECFC9" w14:textId="323838B7" w:rsidR="00D50681" w:rsidRPr="00EB1F1C" w:rsidRDefault="00D50681" w:rsidP="00AD7086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20A19" w:rsidRPr="00EB1F1C" w14:paraId="53B42BDE" w14:textId="36AE36AA" w:rsidTr="00704B71">
        <w:tc>
          <w:tcPr>
            <w:tcW w:w="0" w:type="auto"/>
          </w:tcPr>
          <w:p w14:paraId="3AE2943C" w14:textId="1C20D280" w:rsidR="00D50681" w:rsidRPr="00EB1F1C" w:rsidRDefault="00D50681" w:rsidP="00FF35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Identified communities</w:t>
            </w:r>
          </w:p>
        </w:tc>
        <w:tc>
          <w:tcPr>
            <w:tcW w:w="0" w:type="auto"/>
          </w:tcPr>
          <w:p w14:paraId="32136230" w14:textId="6205DA9C" w:rsidR="00D50681" w:rsidRPr="00EB1F1C" w:rsidRDefault="00D50681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Community COVID-19 Response Plans </w:t>
            </w:r>
            <w:r w:rsidR="00251B1B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informed by recent public health evidence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in place</w:t>
            </w:r>
            <w:r w:rsidR="005A1FDE" w:rsidRPr="00EB1F1C">
              <w:rPr>
                <w:rFonts w:asciiTheme="minorHAnsi" w:hAnsiTheme="minorHAnsi" w:cstheme="minorHAnsi"/>
                <w:sz w:val="22"/>
                <w:szCs w:val="22"/>
              </w:rPr>
              <w:t>. Include</w:t>
            </w:r>
            <w:r w:rsidR="00B54CE9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risk assessments for</w:t>
            </w:r>
            <w:r w:rsidR="005A1FDE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continuing/easing restrictions. P</w:t>
            </w:r>
            <w:r w:rsidR="00B54CE9" w:rsidRPr="00EB1F1C">
              <w:rPr>
                <w:rFonts w:asciiTheme="minorHAnsi" w:hAnsiTheme="minorHAnsi" w:cstheme="minorHAnsi"/>
                <w:sz w:val="22"/>
                <w:szCs w:val="22"/>
              </w:rPr>
              <w:t>lans have been tested</w:t>
            </w:r>
            <w:r w:rsidR="003E1152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347F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and practiced </w:t>
            </w:r>
            <w:r w:rsidR="003E1152" w:rsidRPr="00EB1F1C">
              <w:rPr>
                <w:rFonts w:asciiTheme="minorHAnsi" w:hAnsiTheme="minorHAnsi" w:cstheme="minorHAnsi"/>
                <w:sz w:val="22"/>
                <w:szCs w:val="22"/>
              </w:rPr>
              <w:t>with communities and key stakeholders</w:t>
            </w:r>
            <w:r w:rsidR="001953D1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C7B59" w:rsidRPr="00EB1F1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1953D1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oles and responsibilities with key partners </w:t>
            </w:r>
            <w:r w:rsidR="0010587B" w:rsidRPr="00EB1F1C">
              <w:rPr>
                <w:rFonts w:asciiTheme="minorHAnsi" w:hAnsiTheme="minorHAnsi" w:cstheme="minorHAnsi"/>
                <w:sz w:val="22"/>
                <w:szCs w:val="22"/>
              </w:rPr>
              <w:t>clear.</w:t>
            </w:r>
          </w:p>
          <w:p w14:paraId="46526DCE" w14:textId="31FDDFE3" w:rsidR="00D50681" w:rsidRPr="00EB1F1C" w:rsidRDefault="00C545A9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D50681" w:rsidRPr="00EB1F1C">
              <w:rPr>
                <w:rFonts w:asciiTheme="minorHAnsi" w:hAnsiTheme="minorHAnsi" w:cstheme="minorHAnsi"/>
                <w:sz w:val="22"/>
                <w:szCs w:val="22"/>
              </w:rPr>
              <w:t>eas</w:t>
            </w:r>
            <w:r w:rsidR="00D1617F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ures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tailored to individual communities</w:t>
            </w:r>
            <w:r w:rsidR="00D1617F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0681" w:rsidRPr="00EB1F1C">
              <w:rPr>
                <w:rFonts w:asciiTheme="minorHAnsi" w:hAnsiTheme="minorHAnsi" w:cstheme="minorHAnsi"/>
                <w:sz w:val="22"/>
                <w:szCs w:val="22"/>
              </w:rPr>
              <w:t>based on capacity and situation</w:t>
            </w:r>
            <w:r w:rsidR="00D1617F" w:rsidRPr="00EB1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C6E049F" w14:textId="5FC2269D" w:rsidR="00D50681" w:rsidRPr="00EB1F1C" w:rsidRDefault="00D50681" w:rsidP="00D1617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Community capacity to </w:t>
            </w:r>
            <w:r w:rsidR="00ED1653" w:rsidRPr="00EB1F1C">
              <w:rPr>
                <w:rFonts w:asciiTheme="minorHAnsi" w:hAnsiTheme="minorHAnsi" w:cstheme="minorHAnsi"/>
                <w:sz w:val="22"/>
                <w:szCs w:val="22"/>
              </w:rPr>
              <w:t>swiftly and independently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F133F" w:rsidRPr="00EB1F1C">
              <w:rPr>
                <w:rFonts w:asciiTheme="minorHAnsi" w:hAnsiTheme="minorHAnsi" w:cstheme="minorHAnsi"/>
                <w:sz w:val="22"/>
                <w:szCs w:val="22"/>
              </w:rPr>
              <w:t>restrict / limit access to community</w:t>
            </w:r>
            <w:r w:rsidR="00ED1653" w:rsidRPr="00EB1F1C">
              <w:rPr>
                <w:rFonts w:asciiTheme="minorHAnsi" w:hAnsiTheme="minorHAnsi" w:cstheme="minorHAnsi"/>
                <w:sz w:val="22"/>
                <w:szCs w:val="22"/>
              </w:rPr>
              <w:t>, informed by public health,</w:t>
            </w:r>
            <w:r w:rsidR="00AD1312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with support from </w:t>
            </w:r>
            <w:r w:rsidR="00BE3D63" w:rsidRPr="00EB1F1C">
              <w:rPr>
                <w:rFonts w:asciiTheme="minorHAnsi" w:hAnsiTheme="minorHAnsi" w:cstheme="minorHAnsi"/>
                <w:sz w:val="22"/>
                <w:szCs w:val="22"/>
              </w:rPr>
              <w:t>compliance staff</w:t>
            </w:r>
            <w:r w:rsidR="00ED1653" w:rsidRPr="00EB1F1C">
              <w:rPr>
                <w:rFonts w:asciiTheme="minorHAnsi" w:hAnsiTheme="minorHAnsi" w:cstheme="minorHAnsi"/>
                <w:sz w:val="22"/>
                <w:szCs w:val="22"/>
              </w:rPr>
              <w:t>, health</w:t>
            </w:r>
            <w:r w:rsidR="00CB5E66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and other key </w:t>
            </w:r>
            <w:r w:rsidR="006B6B47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partners </w:t>
            </w:r>
            <w:r w:rsidR="00D1617F" w:rsidRPr="00EB1F1C">
              <w:rPr>
                <w:rFonts w:asciiTheme="minorHAnsi" w:hAnsiTheme="minorHAnsi" w:cstheme="minorHAnsi"/>
                <w:sz w:val="22"/>
                <w:szCs w:val="22"/>
              </w:rPr>
              <w:t>if cases increase</w:t>
            </w:r>
            <w:r w:rsidR="00093E33" w:rsidRPr="00EB1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72CF39E5" w14:textId="7028BEFF" w:rsidR="000504C7" w:rsidRPr="00EB1F1C" w:rsidRDefault="000504C7" w:rsidP="00050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Communities</w:t>
            </w:r>
          </w:p>
          <w:p w14:paraId="12ED0712" w14:textId="77777777" w:rsidR="000504C7" w:rsidRPr="00EB1F1C" w:rsidRDefault="000504C7" w:rsidP="00050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ACCHS/Health Services</w:t>
            </w:r>
          </w:p>
          <w:p w14:paraId="183A2AA8" w14:textId="77777777" w:rsidR="00D50681" w:rsidRPr="00EB1F1C" w:rsidRDefault="000504C7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Jurisdictions</w:t>
            </w:r>
          </w:p>
          <w:p w14:paraId="5473F7F7" w14:textId="7AF92932" w:rsidR="00D50681" w:rsidRPr="00EB1F1C" w:rsidRDefault="004E7A0A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Land Councils</w:t>
            </w:r>
          </w:p>
        </w:tc>
      </w:tr>
      <w:tr w:rsidR="00E20A19" w:rsidRPr="00EB1F1C" w14:paraId="779A5E83" w14:textId="76A21CF8" w:rsidTr="00704B71">
        <w:tc>
          <w:tcPr>
            <w:tcW w:w="0" w:type="auto"/>
          </w:tcPr>
          <w:p w14:paraId="2B16632D" w14:textId="2BC41342" w:rsidR="00D50681" w:rsidRPr="00EB1F1C" w:rsidRDefault="00D50681" w:rsidP="004C3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Acceptability of public health measures </w:t>
            </w:r>
          </w:p>
        </w:tc>
        <w:tc>
          <w:tcPr>
            <w:tcW w:w="0" w:type="auto"/>
          </w:tcPr>
          <w:p w14:paraId="4060242B" w14:textId="17EF1130" w:rsidR="00D50681" w:rsidRPr="00EB1F1C" w:rsidRDefault="00D50681" w:rsidP="00B47F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Timely</w:t>
            </w:r>
            <w:r w:rsidR="00093E33" w:rsidRPr="00EB1F1C">
              <w:rPr>
                <w:rFonts w:asciiTheme="minorHAnsi" w:hAnsiTheme="minorHAnsi" w:cstheme="minorHAnsi"/>
                <w:sz w:val="22"/>
                <w:szCs w:val="22"/>
              </w:rPr>
              <w:t>, accessible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and consistent </w:t>
            </w:r>
            <w:r w:rsidR="00DA1063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community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messaging</w:t>
            </w:r>
            <w:r w:rsidR="00DA1063" w:rsidRPr="00EB1F1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1063" w:rsidRPr="00EB1F1C">
              <w:rPr>
                <w:rFonts w:asciiTheme="minorHAnsi" w:hAnsiTheme="minorHAnsi" w:cstheme="minorHAnsi"/>
                <w:sz w:val="22"/>
                <w:szCs w:val="22"/>
              </w:rPr>
              <w:t>including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a rationale for decisions made</w:t>
            </w:r>
            <w:r w:rsidR="00DA1063" w:rsidRPr="00EB1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74722F4" w14:textId="12B3F431" w:rsidR="00D50681" w:rsidRPr="00EB1F1C" w:rsidRDefault="00D50681" w:rsidP="007F3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Mechanisms for communication with community </w:t>
            </w:r>
            <w:r w:rsidR="003F55FF" w:rsidRPr="00EB1F1C">
              <w:rPr>
                <w:rFonts w:asciiTheme="minorHAnsi" w:hAnsiTheme="minorHAnsi" w:cstheme="minorHAnsi"/>
                <w:sz w:val="22"/>
                <w:szCs w:val="22"/>
              </w:rPr>
              <w:t>e.g.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social media, local radio</w:t>
            </w:r>
            <w:r w:rsidR="0012590E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prior to </w:t>
            </w:r>
            <w:r w:rsidR="00575304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implementation of </w:t>
            </w:r>
            <w:r w:rsidR="009766FC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or changes to </w:t>
            </w:r>
            <w:r w:rsidR="00575304" w:rsidRPr="00EB1F1C">
              <w:rPr>
                <w:rFonts w:asciiTheme="minorHAnsi" w:hAnsiTheme="minorHAnsi" w:cstheme="minorHAnsi"/>
                <w:sz w:val="22"/>
                <w:szCs w:val="22"/>
              </w:rPr>
              <w:t>measures.</w:t>
            </w:r>
          </w:p>
          <w:p w14:paraId="014CBA79" w14:textId="3835068C" w:rsidR="00D50681" w:rsidRPr="00EB1F1C" w:rsidRDefault="0062604B" w:rsidP="00EC42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Jurisdictions continue to provide transparent public health advice to communities </w:t>
            </w:r>
            <w:r w:rsidR="00EC425E" w:rsidRPr="00EB1F1C">
              <w:rPr>
                <w:rFonts w:asciiTheme="minorHAnsi" w:hAnsiTheme="minorHAnsi" w:cstheme="minorHAnsi"/>
                <w:sz w:val="22"/>
                <w:szCs w:val="22"/>
              </w:rPr>
              <w:t>for informed decision-making.</w:t>
            </w:r>
          </w:p>
        </w:tc>
        <w:tc>
          <w:tcPr>
            <w:tcW w:w="0" w:type="auto"/>
          </w:tcPr>
          <w:p w14:paraId="4E458433" w14:textId="4F6C3951" w:rsidR="000504C7" w:rsidRPr="00EB1F1C" w:rsidRDefault="000504C7" w:rsidP="00050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Communities</w:t>
            </w:r>
          </w:p>
          <w:p w14:paraId="5BED6986" w14:textId="77777777" w:rsidR="000504C7" w:rsidRPr="00EB1F1C" w:rsidRDefault="000504C7" w:rsidP="00050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ACCHS/Health Services</w:t>
            </w:r>
          </w:p>
          <w:p w14:paraId="443E5DB7" w14:textId="3ABE25FC" w:rsidR="00D50681" w:rsidRPr="00EB1F1C" w:rsidRDefault="000504C7" w:rsidP="00B47F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Jurisdictions</w:t>
            </w:r>
          </w:p>
        </w:tc>
      </w:tr>
      <w:tr w:rsidR="00C868A8" w:rsidRPr="00EB1F1C" w14:paraId="046308D1" w14:textId="328422F1" w:rsidTr="00704B71">
        <w:trPr>
          <w:trHeight w:val="410"/>
        </w:trPr>
        <w:tc>
          <w:tcPr>
            <w:tcW w:w="0" w:type="auto"/>
          </w:tcPr>
          <w:p w14:paraId="65FE4366" w14:textId="357092D8" w:rsidR="00D50681" w:rsidRPr="00EB1F1C" w:rsidRDefault="00D50681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Cultural considerations</w:t>
            </w:r>
          </w:p>
          <w:p w14:paraId="4FF1206E" w14:textId="60808410" w:rsidR="00D50681" w:rsidRPr="00EB1F1C" w:rsidRDefault="00D50681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04342AA" w14:textId="2F6F1302" w:rsidR="00251B1B" w:rsidRPr="00EB1F1C" w:rsidRDefault="005141AC" w:rsidP="00251B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251B1B" w:rsidRPr="00EB1F1C">
              <w:rPr>
                <w:rFonts w:asciiTheme="minorHAnsi" w:hAnsiTheme="minorHAnsi" w:cstheme="minorHAnsi"/>
                <w:sz w:val="22"/>
                <w:szCs w:val="22"/>
              </w:rPr>
              <w:t>egions and communities have a meaningful say in whether to maintain or enhance restriction measures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42BA3C9" w14:textId="5602E04D" w:rsidR="00A13D2F" w:rsidRPr="00EB1F1C" w:rsidRDefault="00A13D2F" w:rsidP="00A13D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Adjustments to restrictions</w:t>
            </w:r>
            <w:r w:rsidR="00DD0AD4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balance</w:t>
            </w:r>
            <w:r w:rsidR="005A7C55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public health with funeral, cultural and social practices</w:t>
            </w:r>
            <w:r w:rsidR="00DD0AD4" w:rsidRPr="00EB1F1C">
              <w:rPr>
                <w:rFonts w:asciiTheme="minorHAnsi" w:hAnsiTheme="minorHAnsi" w:cstheme="minorHAnsi"/>
                <w:sz w:val="22"/>
                <w:szCs w:val="22"/>
              </w:rPr>
              <w:t>, including</w:t>
            </w:r>
            <w:r w:rsidR="00AB5D81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0AD4" w:rsidRPr="00EB1F1C">
              <w:rPr>
                <w:rFonts w:asciiTheme="minorHAnsi" w:hAnsiTheme="minorHAnsi" w:cstheme="minorHAnsi"/>
                <w:sz w:val="22"/>
                <w:szCs w:val="22"/>
              </w:rPr>
              <w:t>support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0AD4" w:rsidRPr="00EB1F1C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social distancing and hand hygiene. </w:t>
            </w:r>
          </w:p>
          <w:p w14:paraId="5C4EB5D6" w14:textId="77777777" w:rsidR="005141AC" w:rsidRPr="00EB1F1C" w:rsidRDefault="005141AC" w:rsidP="00077D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Gaps in information are understood and addressed. </w:t>
            </w:r>
          </w:p>
          <w:p w14:paraId="1AB09C25" w14:textId="4CC13259" w:rsidR="00D50681" w:rsidRPr="00EB1F1C" w:rsidRDefault="005141AC" w:rsidP="00E31C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noProof/>
                <w:sz w:val="22"/>
                <w:szCs w:val="22"/>
              </w:rPr>
              <w:t>Encourage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Environmental Health input</w:t>
            </w:r>
            <w:r w:rsidRPr="00EB1F1C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5953E001" w14:textId="3269C17E" w:rsidR="000504C7" w:rsidRPr="00EB1F1C" w:rsidRDefault="000504C7" w:rsidP="00050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Communities</w:t>
            </w:r>
          </w:p>
          <w:p w14:paraId="01C57928" w14:textId="77777777" w:rsidR="000504C7" w:rsidRPr="00EB1F1C" w:rsidRDefault="000504C7" w:rsidP="00050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ACCHS/Health Services</w:t>
            </w:r>
          </w:p>
          <w:p w14:paraId="46EB01B0" w14:textId="77777777" w:rsidR="000504C7" w:rsidRPr="00EB1F1C" w:rsidRDefault="000504C7" w:rsidP="00050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Jurisdictions</w:t>
            </w:r>
          </w:p>
          <w:p w14:paraId="123D40C2" w14:textId="51F4BFD8" w:rsidR="00D50681" w:rsidRPr="00EB1F1C" w:rsidRDefault="000504C7" w:rsidP="00077D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Commonwealth</w:t>
            </w:r>
          </w:p>
        </w:tc>
      </w:tr>
      <w:tr w:rsidR="00E20A19" w:rsidRPr="00EB1F1C" w14:paraId="66676A6B" w14:textId="0234658B" w:rsidTr="00704B71">
        <w:tc>
          <w:tcPr>
            <w:tcW w:w="0" w:type="auto"/>
          </w:tcPr>
          <w:p w14:paraId="7CC007F0" w14:textId="2AB7383A" w:rsidR="00D50681" w:rsidRPr="00EB1F1C" w:rsidRDefault="00D50681" w:rsidP="004C3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Personal practices </w:t>
            </w:r>
          </w:p>
        </w:tc>
        <w:tc>
          <w:tcPr>
            <w:tcW w:w="0" w:type="auto"/>
          </w:tcPr>
          <w:p w14:paraId="514B6BC8" w14:textId="7D58134E" w:rsidR="00627D66" w:rsidRPr="00EB1F1C" w:rsidRDefault="00627D66" w:rsidP="000C17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Community COVID-19 Response Plans include mechanisms to prevent transmission through </w:t>
            </w:r>
            <w:r w:rsidRPr="00EB1F1C" w:rsidDel="002F5C8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hysical dist</w:t>
            </w:r>
            <w:r w:rsidR="00DE1799" w:rsidRPr="00EB1F1C">
              <w:rPr>
                <w:rFonts w:asciiTheme="minorHAnsi" w:hAnsiTheme="minorHAnsi" w:cstheme="minorHAnsi"/>
                <w:sz w:val="22"/>
                <w:szCs w:val="22"/>
              </w:rPr>
              <w:t>ancing; personal hygiene practices (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hand wash</w:t>
            </w:r>
            <w:r w:rsidR="00DE1799" w:rsidRPr="00EB1F1C">
              <w:rPr>
                <w:rFonts w:asciiTheme="minorHAnsi" w:hAnsiTheme="minorHAnsi" w:cstheme="minorHAnsi"/>
                <w:sz w:val="22"/>
                <w:szCs w:val="22"/>
              </w:rPr>
              <w:t>ing,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cough etiquette, health hardware, </w:t>
            </w:r>
            <w:r w:rsidR="00936E14" w:rsidRPr="00EB1F1C">
              <w:rPr>
                <w:rFonts w:asciiTheme="minorHAnsi" w:hAnsiTheme="minorHAnsi" w:cstheme="minorHAnsi"/>
                <w:sz w:val="22"/>
                <w:szCs w:val="22"/>
              </w:rPr>
              <w:t>and soap</w:t>
            </w:r>
            <w:r w:rsidR="00DE1799" w:rsidRPr="00EB1F1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; compliance with quarantine; and</w:t>
            </w:r>
            <w:r w:rsidR="00936E1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individuals’ ability to recognise / understand signs and symptoms</w:t>
            </w:r>
            <w:r w:rsidR="00DE1799" w:rsidRPr="00EB1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94BA78B" w14:textId="767EE9E3" w:rsidR="00C03FF3" w:rsidRPr="00EB1F1C" w:rsidRDefault="00C03FF3" w:rsidP="000C17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Jurisdictions to ensure messaging remains consistent on the importance of physical distancing and personal hygiene practices.</w:t>
            </w:r>
          </w:p>
        </w:tc>
        <w:tc>
          <w:tcPr>
            <w:tcW w:w="0" w:type="auto"/>
          </w:tcPr>
          <w:p w14:paraId="0CB840A0" w14:textId="77777777" w:rsidR="000504C7" w:rsidRPr="00EB1F1C" w:rsidRDefault="000504C7" w:rsidP="00050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Communities</w:t>
            </w:r>
          </w:p>
          <w:p w14:paraId="501878AF" w14:textId="77777777" w:rsidR="00D50681" w:rsidRPr="00EB1F1C" w:rsidRDefault="000504C7" w:rsidP="004C3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ACCHS/Health Services</w:t>
            </w:r>
          </w:p>
          <w:p w14:paraId="2F283993" w14:textId="66F20EA8" w:rsidR="00D50681" w:rsidRPr="00EB1F1C" w:rsidRDefault="00DB1161" w:rsidP="004C32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Individuals</w:t>
            </w:r>
          </w:p>
        </w:tc>
      </w:tr>
      <w:tr w:rsidR="004E3D52" w:rsidRPr="004E3D52" w14:paraId="52CC1E1D" w14:textId="6D88DA61" w:rsidTr="00704B71">
        <w:tc>
          <w:tcPr>
            <w:tcW w:w="0" w:type="auto"/>
            <w:gridSpan w:val="2"/>
            <w:shd w:val="clear" w:color="auto" w:fill="767171" w:themeFill="background2" w:themeFillShade="80"/>
          </w:tcPr>
          <w:p w14:paraId="32611E17" w14:textId="2085FFFA" w:rsidR="00D50681" w:rsidRPr="004E3D52" w:rsidRDefault="00D50681" w:rsidP="003B0883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4E3D5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External Considerations</w:t>
            </w:r>
          </w:p>
        </w:tc>
        <w:tc>
          <w:tcPr>
            <w:tcW w:w="0" w:type="auto"/>
            <w:shd w:val="clear" w:color="auto" w:fill="767171" w:themeFill="background2" w:themeFillShade="80"/>
          </w:tcPr>
          <w:p w14:paraId="362EB85F" w14:textId="4015D480" w:rsidR="00D50681" w:rsidRPr="004E3D52" w:rsidRDefault="00D50681" w:rsidP="003B0883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20A19" w:rsidRPr="00EB1F1C" w14:paraId="60499226" w14:textId="79C43B22" w:rsidTr="00704B71">
        <w:tc>
          <w:tcPr>
            <w:tcW w:w="0" w:type="auto"/>
          </w:tcPr>
          <w:p w14:paraId="61E177F7" w14:textId="2F1D7C85" w:rsidR="00D50681" w:rsidRPr="00EB1F1C" w:rsidRDefault="00D50681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Travel restrictions – border closures</w:t>
            </w:r>
          </w:p>
        </w:tc>
        <w:tc>
          <w:tcPr>
            <w:tcW w:w="0" w:type="auto"/>
          </w:tcPr>
          <w:p w14:paraId="0405EFDA" w14:textId="77777777" w:rsidR="002755EB" w:rsidRPr="00EB1F1C" w:rsidRDefault="002755EB" w:rsidP="002755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Risk assessment for lifting of interstate border restrictions, e.g. </w:t>
            </w:r>
            <w:r w:rsidR="00D50681" w:rsidRPr="00EB1F1C">
              <w:rPr>
                <w:rFonts w:asciiTheme="minorHAnsi" w:hAnsiTheme="minorHAnsi" w:cstheme="minorHAnsi"/>
                <w:sz w:val="22"/>
                <w:szCs w:val="22"/>
              </w:rPr>
              <w:t>children returning to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D50681" w:rsidRPr="00EB1F1C">
              <w:rPr>
                <w:rFonts w:asciiTheme="minorHAnsi" w:hAnsiTheme="minorHAnsi" w:cstheme="minorHAnsi"/>
                <w:sz w:val="22"/>
                <w:szCs w:val="22"/>
              </w:rPr>
              <w:t>from boarding school</w:t>
            </w:r>
            <w:r w:rsidR="00E52F92" w:rsidRPr="00EB1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D50681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98EA480" w14:textId="39F402BE" w:rsidR="00D50681" w:rsidRPr="00EB1F1C" w:rsidRDefault="002755EB" w:rsidP="002755E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Consider</w:t>
            </w:r>
            <w:r w:rsidR="00E31B50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0681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additional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community </w:t>
            </w:r>
            <w:r w:rsidR="00E31B50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restrictions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D50681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quarantine and isolation as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entry or service engagement conditions. </w:t>
            </w:r>
          </w:p>
        </w:tc>
        <w:tc>
          <w:tcPr>
            <w:tcW w:w="0" w:type="auto"/>
          </w:tcPr>
          <w:p w14:paraId="64A4B891" w14:textId="77777777" w:rsidR="000504C7" w:rsidRPr="00EB1F1C" w:rsidRDefault="000504C7" w:rsidP="00050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Communities</w:t>
            </w:r>
          </w:p>
          <w:p w14:paraId="7F17AD78" w14:textId="0280F237" w:rsidR="000504C7" w:rsidRPr="00EB1F1C" w:rsidRDefault="000504C7" w:rsidP="00050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ACCHS/Health Services</w:t>
            </w:r>
          </w:p>
          <w:p w14:paraId="781D8A9F" w14:textId="27D19A69" w:rsidR="00D50681" w:rsidRPr="00EB1F1C" w:rsidRDefault="000504C7" w:rsidP="001A6A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Jurisdictions</w:t>
            </w:r>
          </w:p>
        </w:tc>
      </w:tr>
      <w:tr w:rsidR="00E20A19" w:rsidRPr="00EB1F1C" w14:paraId="2C192917" w14:textId="29ED898F" w:rsidTr="00704B71">
        <w:tc>
          <w:tcPr>
            <w:tcW w:w="0" w:type="auto"/>
          </w:tcPr>
          <w:p w14:paraId="453E95BF" w14:textId="1DA6ECA8" w:rsidR="00D50681" w:rsidRPr="00EB1F1C" w:rsidRDefault="00D50681" w:rsidP="000945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Travel restrictions – tourism</w:t>
            </w:r>
          </w:p>
        </w:tc>
        <w:tc>
          <w:tcPr>
            <w:tcW w:w="0" w:type="auto"/>
          </w:tcPr>
          <w:p w14:paraId="4D3CAF2D" w14:textId="5C41B435" w:rsidR="00D50681" w:rsidRPr="00EB1F1C" w:rsidRDefault="00D50681" w:rsidP="007D73B0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Plan</w:t>
            </w:r>
            <w:r w:rsidR="002A6AF7" w:rsidRPr="00EB1F1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for easing biosecurity measures in tourist hotspots (in parti</w:t>
            </w:r>
            <w:r w:rsidR="002A6AF7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cular Broome, Kimberly, NT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national parks)</w:t>
            </w:r>
            <w:r w:rsidR="005F2981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6AF7" w:rsidRPr="00EB1F1C">
              <w:rPr>
                <w:rFonts w:asciiTheme="minorHAnsi" w:hAnsiTheme="minorHAnsi" w:cstheme="minorHAnsi"/>
                <w:sz w:val="22"/>
                <w:szCs w:val="22"/>
              </w:rPr>
              <w:t>account for</w:t>
            </w:r>
            <w:r w:rsidR="00251B1B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E1152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community leadership </w:t>
            </w:r>
            <w:r w:rsidR="007D73B0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concerns </w:t>
            </w:r>
            <w:r w:rsidR="003E1152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regarding </w:t>
            </w:r>
            <w:r w:rsidR="002A6AF7" w:rsidRPr="00EB1F1C">
              <w:rPr>
                <w:rFonts w:asciiTheme="minorHAnsi" w:hAnsiTheme="minorHAnsi" w:cstheme="minorHAnsi"/>
                <w:sz w:val="22"/>
                <w:szCs w:val="22"/>
              </w:rPr>
              <w:t>increased</w:t>
            </w:r>
            <w:r w:rsidR="003E1152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risk of transmission </w:t>
            </w:r>
            <w:r w:rsidR="007D73B0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from tourists </w:t>
            </w:r>
            <w:r w:rsidR="003E1152" w:rsidRPr="00EB1F1C">
              <w:rPr>
                <w:rFonts w:asciiTheme="minorHAnsi" w:hAnsiTheme="minorHAnsi" w:cstheme="minorHAnsi"/>
                <w:sz w:val="22"/>
                <w:szCs w:val="22"/>
              </w:rPr>
              <w:t>to remote communities</w:t>
            </w:r>
            <w:r w:rsidR="00373262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3147D2" w:rsidRPr="00EB1F1C">
              <w:rPr>
                <w:rFonts w:asciiTheme="minorHAnsi" w:hAnsiTheme="minorHAnsi" w:cstheme="minorHAnsi"/>
                <w:sz w:val="22"/>
                <w:szCs w:val="22"/>
              </w:rPr>
              <w:t>increased burden on loca</w:t>
            </w:r>
            <w:r w:rsidR="00963F49" w:rsidRPr="00EB1F1C">
              <w:rPr>
                <w:rFonts w:asciiTheme="minorHAnsi" w:hAnsiTheme="minorHAnsi" w:cstheme="minorHAnsi"/>
                <w:sz w:val="22"/>
                <w:szCs w:val="22"/>
              </w:rPr>
              <w:t>l services</w:t>
            </w:r>
            <w:r w:rsidR="003147D2" w:rsidRPr="00EB1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66F8AB6C" w14:textId="7E047B22" w:rsidR="00A57F06" w:rsidRPr="00EB1F1C" w:rsidRDefault="00A57F06" w:rsidP="00A57F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Communities</w:t>
            </w:r>
            <w:r w:rsidR="00C518E4" w:rsidRPr="00EB1F1C">
              <w:rPr>
                <w:rFonts w:asciiTheme="minorHAnsi" w:hAnsiTheme="minorHAnsi" w:cstheme="minorHAnsi"/>
                <w:sz w:val="22"/>
                <w:szCs w:val="22"/>
              </w:rPr>
              <w:t>/Regions</w:t>
            </w:r>
          </w:p>
          <w:p w14:paraId="18C303A6" w14:textId="7F2B5C8D" w:rsidR="00D50681" w:rsidRPr="00EB1F1C" w:rsidRDefault="00976E82" w:rsidP="00A57F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Jurisdictions</w:t>
            </w:r>
          </w:p>
        </w:tc>
      </w:tr>
      <w:tr w:rsidR="00E20A19" w:rsidRPr="00EB1F1C" w14:paraId="29A901D6" w14:textId="241A12CF" w:rsidTr="00704B71">
        <w:tc>
          <w:tcPr>
            <w:tcW w:w="0" w:type="auto"/>
          </w:tcPr>
          <w:p w14:paraId="10566E49" w14:textId="4EF05940" w:rsidR="00D50681" w:rsidRPr="00EB1F1C" w:rsidRDefault="00D50681" w:rsidP="000945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Flu vaccination requirements </w:t>
            </w:r>
          </w:p>
        </w:tc>
        <w:tc>
          <w:tcPr>
            <w:tcW w:w="0" w:type="auto"/>
          </w:tcPr>
          <w:p w14:paraId="18340441" w14:textId="075CCA5F" w:rsidR="00D50681" w:rsidRPr="00EB1F1C" w:rsidRDefault="00522F9E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Consider </w:t>
            </w:r>
            <w:r w:rsidR="00A67BF2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mandatory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D50681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or those travelling into community.  </w:t>
            </w:r>
          </w:p>
          <w:p w14:paraId="3C5872BA" w14:textId="2685BFCE" w:rsidR="00D50681" w:rsidRPr="00EB1F1C" w:rsidRDefault="00D50681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Promote </w:t>
            </w:r>
            <w:r w:rsidR="00A67BF2" w:rsidRPr="00EB1F1C">
              <w:rPr>
                <w:rFonts w:asciiTheme="minorHAnsi" w:hAnsiTheme="minorHAnsi" w:cstheme="minorHAnsi"/>
                <w:sz w:val="22"/>
                <w:szCs w:val="22"/>
              </w:rPr>
              <w:t>widespread community vaccination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</w:p>
          <w:p w14:paraId="5ED1975F" w14:textId="741C0113" w:rsidR="00D50681" w:rsidRPr="00EB1F1C" w:rsidRDefault="00D50681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Ensure adequate supply</w:t>
            </w:r>
            <w:r w:rsidR="005F2981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and availability of staff qualified to administer vaccinations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4ECDC232" w14:textId="77777777" w:rsidR="00D50681" w:rsidRPr="00EB1F1C" w:rsidRDefault="000504C7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Jurisdictions</w:t>
            </w:r>
          </w:p>
          <w:p w14:paraId="17506299" w14:textId="0189050B" w:rsidR="00D50681" w:rsidRPr="00EB1F1C" w:rsidRDefault="004E7A0A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Commonwealth - NIP</w:t>
            </w:r>
          </w:p>
        </w:tc>
      </w:tr>
      <w:tr w:rsidR="00E20A19" w:rsidRPr="00EB1F1C" w14:paraId="62982C65" w14:textId="0C6A275D" w:rsidTr="00704B71">
        <w:tc>
          <w:tcPr>
            <w:tcW w:w="0" w:type="auto"/>
          </w:tcPr>
          <w:p w14:paraId="1BB1439A" w14:textId="06E89499" w:rsidR="00D50681" w:rsidRPr="00EB1F1C" w:rsidRDefault="00D50681" w:rsidP="000945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Communication mechanisms</w:t>
            </w:r>
          </w:p>
        </w:tc>
        <w:tc>
          <w:tcPr>
            <w:tcW w:w="0" w:type="auto"/>
          </w:tcPr>
          <w:p w14:paraId="39983534" w14:textId="39E85B49" w:rsidR="00D50681" w:rsidRPr="00EB1F1C" w:rsidRDefault="00D50681" w:rsidP="00EA50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Communication about national and local </w:t>
            </w:r>
            <w:r w:rsidR="006C484F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restriction </w:t>
            </w:r>
            <w:r w:rsidR="00E6202B" w:rsidRPr="00EB1F1C">
              <w:rPr>
                <w:rFonts w:asciiTheme="minorHAnsi" w:hAnsiTheme="minorHAnsi" w:cstheme="minorHAnsi"/>
                <w:sz w:val="22"/>
                <w:szCs w:val="22"/>
              </w:rPr>
              <w:t>conditions</w:t>
            </w:r>
            <w:r w:rsidR="00EA50FD" w:rsidRPr="00EB1F1C">
              <w:rPr>
                <w:rFonts w:asciiTheme="minorHAnsi" w:hAnsiTheme="minorHAnsi" w:cstheme="minorHAnsi"/>
                <w:sz w:val="22"/>
                <w:szCs w:val="22"/>
              </w:rPr>
              <w:t>, including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73B0" w:rsidRPr="00EB1F1C">
              <w:rPr>
                <w:rFonts w:asciiTheme="minorHAnsi" w:hAnsiTheme="minorHAnsi" w:cstheme="minorHAnsi"/>
                <w:sz w:val="22"/>
                <w:szCs w:val="22"/>
              </w:rPr>
              <w:t>rationale</w:t>
            </w:r>
            <w:r w:rsidR="00EA50FD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for</w:t>
            </w:r>
            <w:r w:rsidR="007D73B0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50FD" w:rsidRPr="00EB1F1C">
              <w:rPr>
                <w:rFonts w:asciiTheme="minorHAnsi" w:hAnsiTheme="minorHAnsi" w:cstheme="minorHAnsi"/>
                <w:sz w:val="22"/>
                <w:szCs w:val="22"/>
              </w:rPr>
              <w:t>geographical variation and adjustment or continuation.</w:t>
            </w:r>
          </w:p>
          <w:p w14:paraId="3F1F68C0" w14:textId="34934A49" w:rsidR="00D50681" w:rsidRPr="00EB1F1C" w:rsidRDefault="00D50681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127DC2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ocal communication to tourists and 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workers about </w:t>
            </w:r>
            <w:r w:rsidR="00127DC2" w:rsidRPr="00EB1F1C">
              <w:rPr>
                <w:rFonts w:asciiTheme="minorHAnsi" w:hAnsiTheme="minorHAnsi" w:cstheme="minorHAnsi"/>
                <w:sz w:val="22"/>
                <w:szCs w:val="22"/>
              </w:rPr>
              <w:t>travel restrictions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to certain areas or communities.</w:t>
            </w:r>
          </w:p>
          <w:p w14:paraId="7A7B2DC7" w14:textId="6F261CAB" w:rsidR="00927B8A" w:rsidRPr="00EB1F1C" w:rsidRDefault="00127DC2" w:rsidP="00127D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Communication with community aligns </w:t>
            </w:r>
            <w:r w:rsidR="00927B8A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="00FB4279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national and local </w:t>
            </w:r>
            <w:r w:rsidR="00077D59" w:rsidRPr="00EB1F1C">
              <w:rPr>
                <w:rFonts w:asciiTheme="minorHAnsi" w:hAnsiTheme="minorHAnsi" w:cstheme="minorHAnsi"/>
                <w:sz w:val="22"/>
                <w:szCs w:val="22"/>
              </w:rPr>
              <w:t>announcements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3B9975FC" w14:textId="77777777" w:rsidR="00E650C1" w:rsidRPr="00EB1F1C" w:rsidRDefault="00E650C1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Commonwealth</w:t>
            </w:r>
          </w:p>
          <w:p w14:paraId="32EF673D" w14:textId="116CD986" w:rsidR="00E650C1" w:rsidRPr="00EB1F1C" w:rsidRDefault="00E650C1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Jurisdictions</w:t>
            </w:r>
          </w:p>
          <w:p w14:paraId="7683DE77" w14:textId="77777777" w:rsidR="00E650C1" w:rsidRPr="00EB1F1C" w:rsidRDefault="00E650C1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Affiliates</w:t>
            </w:r>
          </w:p>
          <w:p w14:paraId="5F74D31F" w14:textId="01391BB5" w:rsidR="00D50681" w:rsidRPr="00EB1F1C" w:rsidRDefault="00E650C1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Local Leaders</w:t>
            </w:r>
          </w:p>
        </w:tc>
      </w:tr>
      <w:tr w:rsidR="00E20A19" w:rsidRPr="00EB1F1C" w14:paraId="52BC74BF" w14:textId="77777777" w:rsidTr="00704B71">
        <w:trPr>
          <w:trHeight w:val="85"/>
        </w:trPr>
        <w:tc>
          <w:tcPr>
            <w:tcW w:w="0" w:type="auto"/>
          </w:tcPr>
          <w:p w14:paraId="0150F80E" w14:textId="007E1D5D" w:rsidR="00424C9F" w:rsidRPr="00EB1F1C" w:rsidRDefault="00424C9F" w:rsidP="000945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Public institutions</w:t>
            </w:r>
          </w:p>
        </w:tc>
        <w:tc>
          <w:tcPr>
            <w:tcW w:w="0" w:type="auto"/>
          </w:tcPr>
          <w:p w14:paraId="1A48DA13" w14:textId="24A536DB" w:rsidR="00424C9F" w:rsidRPr="00EB1F1C" w:rsidRDefault="00424C9F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Risk management plans in public institu</w:t>
            </w:r>
            <w:r w:rsidR="009A252B" w:rsidRPr="00EB1F1C">
              <w:rPr>
                <w:rFonts w:asciiTheme="minorHAnsi" w:hAnsiTheme="minorHAnsi" w:cstheme="minorHAnsi"/>
                <w:sz w:val="22"/>
                <w:szCs w:val="22"/>
              </w:rPr>
              <w:t>tions/residential facilities, e.g.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hospitals,</w:t>
            </w:r>
            <w:r w:rsidR="009A252B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prisons, shelters, hostels.</w:t>
            </w:r>
          </w:p>
        </w:tc>
        <w:tc>
          <w:tcPr>
            <w:tcW w:w="0" w:type="auto"/>
          </w:tcPr>
          <w:p w14:paraId="77E2CC17" w14:textId="45EF1825" w:rsidR="00424C9F" w:rsidRPr="00EB1F1C" w:rsidRDefault="00E650C1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Jurisdictions</w:t>
            </w:r>
          </w:p>
        </w:tc>
      </w:tr>
      <w:tr w:rsidR="00B61F7F" w:rsidRPr="00EB1F1C" w14:paraId="4AC77DF6" w14:textId="77777777" w:rsidTr="00704B71">
        <w:tc>
          <w:tcPr>
            <w:tcW w:w="0" w:type="auto"/>
            <w:gridSpan w:val="3"/>
            <w:shd w:val="clear" w:color="auto" w:fill="D0CECE" w:themeFill="background2" w:themeFillShade="E6"/>
          </w:tcPr>
          <w:p w14:paraId="4A8AD2D8" w14:textId="02E27D57" w:rsidR="00B61F7F" w:rsidRPr="00EB1F1C" w:rsidRDefault="00B61F7F" w:rsidP="00B61F7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b/>
                <w:sz w:val="22"/>
                <w:szCs w:val="22"/>
              </w:rPr>
              <w:t>Governance</w:t>
            </w:r>
          </w:p>
        </w:tc>
      </w:tr>
      <w:tr w:rsidR="00E20A19" w:rsidRPr="00EB1F1C" w14:paraId="72C089AC" w14:textId="77777777" w:rsidTr="00704B71">
        <w:tc>
          <w:tcPr>
            <w:tcW w:w="0" w:type="auto"/>
          </w:tcPr>
          <w:p w14:paraId="57866900" w14:textId="3ECDC0FE" w:rsidR="00B61F7F" w:rsidRPr="00EB1F1C" w:rsidRDefault="00B61F7F" w:rsidP="000945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Structures in place </w:t>
            </w:r>
          </w:p>
        </w:tc>
        <w:tc>
          <w:tcPr>
            <w:tcW w:w="0" w:type="auto"/>
          </w:tcPr>
          <w:p w14:paraId="18E22C34" w14:textId="1F99A6B4" w:rsidR="00065ECD" w:rsidRPr="00EB1F1C" w:rsidRDefault="00EF7D49" w:rsidP="00A75E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Where applicable</w:t>
            </w:r>
            <w:r w:rsidR="009310E5" w:rsidRPr="00EB1F1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ACCHS engaged in relevant outbreak control structures including </w:t>
            </w:r>
            <w:r w:rsidR="00510A77" w:rsidRPr="00EB1F1C">
              <w:rPr>
                <w:rFonts w:asciiTheme="minorHAnsi" w:hAnsiTheme="minorHAnsi" w:cstheme="minorHAnsi"/>
                <w:sz w:val="22"/>
                <w:szCs w:val="22"/>
              </w:rPr>
              <w:t>PHN</w:t>
            </w:r>
            <w:r w:rsidR="00A75E41" w:rsidRPr="00EB1F1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310E5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and emergency planning</w:t>
            </w:r>
            <w:r w:rsidR="00ED1FEE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AE03F6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to strengthen relationship</w:t>
            </w:r>
            <w:r w:rsidR="00ED1FEE" w:rsidRPr="00EB1F1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AE03F6"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 between government and local communities</w:t>
            </w:r>
            <w:r w:rsidR="009310E5" w:rsidRPr="00EB1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A771158" w14:textId="6A531B49" w:rsidR="00510A77" w:rsidRPr="00EB1F1C" w:rsidRDefault="00065ECD" w:rsidP="007734BA">
            <w:pPr>
              <w:rPr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Clearly established role for Affiliates and Land Councils in emergency planning, community engagement and response</w:t>
            </w:r>
            <w:r w:rsidR="00ED3C35" w:rsidRPr="00EB1F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14:paraId="66CC7C7D" w14:textId="7A3D4F98" w:rsidR="004E7A0A" w:rsidRPr="00EB1F1C" w:rsidRDefault="004E7A0A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Jurisdictions</w:t>
            </w:r>
          </w:p>
          <w:p w14:paraId="52EBFF93" w14:textId="3A741EAE" w:rsidR="004E7A0A" w:rsidRPr="00EB1F1C" w:rsidRDefault="004E7A0A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Land Councils</w:t>
            </w:r>
          </w:p>
          <w:p w14:paraId="4D71FFC5" w14:textId="77777777" w:rsidR="004E7A0A" w:rsidRPr="00EB1F1C" w:rsidRDefault="004E7A0A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>Affiliates</w:t>
            </w:r>
          </w:p>
          <w:p w14:paraId="24E14FD6" w14:textId="728730B9" w:rsidR="00B61F7F" w:rsidRPr="00EB1F1C" w:rsidRDefault="004E7A0A" w:rsidP="003B08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1C">
              <w:rPr>
                <w:rFonts w:asciiTheme="minorHAnsi" w:hAnsiTheme="minorHAnsi" w:cstheme="minorHAnsi"/>
                <w:sz w:val="22"/>
                <w:szCs w:val="22"/>
              </w:rPr>
              <w:t xml:space="preserve">Commonwealth </w:t>
            </w:r>
          </w:p>
        </w:tc>
      </w:tr>
      <w:bookmarkEnd w:id="0"/>
    </w:tbl>
    <w:p w14:paraId="588E7BB3" w14:textId="2C33F8D4" w:rsidR="00E3514F" w:rsidRPr="00160ACF" w:rsidRDefault="00E3514F" w:rsidP="003C5783">
      <w:pPr>
        <w:rPr>
          <w:rFonts w:asciiTheme="minorHAnsi" w:hAnsiTheme="minorHAnsi" w:cstheme="minorHAnsi"/>
          <w:b/>
        </w:rPr>
      </w:pPr>
    </w:p>
    <w:sectPr w:rsidR="00E3514F" w:rsidRPr="00160ACF" w:rsidSect="007C30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3811" w:h="16838" w:orient="landscape" w:code="8"/>
      <w:pgMar w:top="1843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EA8C1" w14:textId="77777777" w:rsidR="00603D96" w:rsidRDefault="00603D96" w:rsidP="001A24AC">
      <w:pPr>
        <w:spacing w:after="0" w:line="240" w:lineRule="auto"/>
      </w:pPr>
      <w:r>
        <w:separator/>
      </w:r>
    </w:p>
  </w:endnote>
  <w:endnote w:type="continuationSeparator" w:id="0">
    <w:p w14:paraId="63EEA22F" w14:textId="77777777" w:rsidR="00603D96" w:rsidRDefault="00603D96" w:rsidP="001A24AC">
      <w:pPr>
        <w:spacing w:after="0" w:line="240" w:lineRule="auto"/>
      </w:pPr>
      <w:r>
        <w:continuationSeparator/>
      </w:r>
    </w:p>
  </w:endnote>
  <w:endnote w:type="continuationNotice" w:id="1">
    <w:p w14:paraId="681D6E6F" w14:textId="77777777" w:rsidR="00603D96" w:rsidRDefault="00603D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87C85" w14:textId="77777777" w:rsidR="00A53548" w:rsidRDefault="00A535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25534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noProof/>
      </w:rPr>
    </w:sdtEndPr>
    <w:sdtContent>
      <w:p w14:paraId="266568E4" w14:textId="62A7F90C" w:rsidR="004E3D52" w:rsidRPr="004E3D52" w:rsidRDefault="004E3D52" w:rsidP="004E3D52">
        <w:pPr>
          <w:pStyle w:val="Footer"/>
          <w:jc w:val="right"/>
          <w:rPr>
            <w:rFonts w:asciiTheme="minorHAnsi" w:hAnsiTheme="minorHAnsi" w:cstheme="minorHAnsi"/>
            <w:b/>
          </w:rPr>
        </w:pPr>
        <w:r w:rsidRPr="004E3D52">
          <w:rPr>
            <w:rFonts w:asciiTheme="minorHAnsi" w:hAnsiTheme="minorHAnsi" w:cstheme="minorHAnsi"/>
            <w:b/>
          </w:rPr>
          <w:fldChar w:fldCharType="begin"/>
        </w:r>
        <w:r w:rsidRPr="004E3D52">
          <w:rPr>
            <w:rFonts w:asciiTheme="minorHAnsi" w:hAnsiTheme="minorHAnsi" w:cstheme="minorHAnsi"/>
            <w:b/>
          </w:rPr>
          <w:instrText xml:space="preserve"> PAGE   \* MERGEFORMAT </w:instrText>
        </w:r>
        <w:r w:rsidRPr="004E3D52">
          <w:rPr>
            <w:rFonts w:asciiTheme="minorHAnsi" w:hAnsiTheme="minorHAnsi" w:cstheme="minorHAnsi"/>
            <w:b/>
          </w:rPr>
          <w:fldChar w:fldCharType="separate"/>
        </w:r>
        <w:r w:rsidR="000F1972">
          <w:rPr>
            <w:rFonts w:asciiTheme="minorHAnsi" w:hAnsiTheme="minorHAnsi" w:cstheme="minorHAnsi"/>
            <w:b/>
            <w:noProof/>
          </w:rPr>
          <w:t>3</w:t>
        </w:r>
        <w:r w:rsidRPr="004E3D52">
          <w:rPr>
            <w:rFonts w:asciiTheme="minorHAnsi" w:hAnsiTheme="minorHAnsi" w:cstheme="minorHAnsi"/>
            <w:b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457B6" w14:textId="77777777" w:rsidR="00A53548" w:rsidRDefault="00A53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D3BB1" w14:textId="77777777" w:rsidR="00603D96" w:rsidRDefault="00603D96" w:rsidP="001A24AC">
      <w:pPr>
        <w:spacing w:after="0" w:line="240" w:lineRule="auto"/>
      </w:pPr>
      <w:r>
        <w:separator/>
      </w:r>
    </w:p>
  </w:footnote>
  <w:footnote w:type="continuationSeparator" w:id="0">
    <w:p w14:paraId="378ACD4D" w14:textId="77777777" w:rsidR="00603D96" w:rsidRDefault="00603D96" w:rsidP="001A24AC">
      <w:pPr>
        <w:spacing w:after="0" w:line="240" w:lineRule="auto"/>
      </w:pPr>
      <w:r>
        <w:continuationSeparator/>
      </w:r>
    </w:p>
  </w:footnote>
  <w:footnote w:type="continuationNotice" w:id="1">
    <w:p w14:paraId="165953EA" w14:textId="77777777" w:rsidR="00603D96" w:rsidRDefault="00603D96">
      <w:pPr>
        <w:spacing w:after="0" w:line="240" w:lineRule="auto"/>
      </w:pPr>
    </w:p>
  </w:footnote>
  <w:footnote w:id="2">
    <w:p w14:paraId="2C6F1CED" w14:textId="3514A35B" w:rsidR="00603D96" w:rsidRDefault="00603D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3596">
        <w:rPr>
          <w:rFonts w:asciiTheme="minorHAnsi" w:hAnsiTheme="minorHAnsi" w:cstheme="minorHAnsi"/>
        </w:rPr>
        <w:t>ACCHS is a commonly used acronym for Aboriginal and Torres Strait Islander Health Services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2947B" w14:textId="77777777" w:rsidR="00A53548" w:rsidRDefault="00A535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52CD6" w14:textId="70656219" w:rsidR="00603D96" w:rsidRPr="004E3D52" w:rsidRDefault="006C1470" w:rsidP="001A24AC">
    <w:pPr>
      <w:pStyle w:val="Header"/>
      <w:tabs>
        <w:tab w:val="clear" w:pos="4513"/>
        <w:tab w:val="clear" w:pos="9026"/>
        <w:tab w:val="left" w:pos="1250"/>
      </w:tabs>
      <w:rPr>
        <w:rFonts w:asciiTheme="minorHAnsi" w:hAnsiTheme="minorHAnsi" w:cstheme="minorHAnsi"/>
        <w:b/>
      </w:rPr>
    </w:pPr>
    <w:r w:rsidRPr="004E3D52">
      <w:rPr>
        <w:rFonts w:asciiTheme="minorHAnsi" w:hAnsiTheme="minorHAnsi" w:cstheme="minorHAnsi"/>
        <w:b/>
        <w:noProof/>
        <w:lang w:eastAsia="en-AU"/>
      </w:rPr>
      <w:drawing>
        <wp:anchor distT="0" distB="0" distL="114300" distR="114300" simplePos="0" relativeHeight="251656704" behindDoc="1" locked="0" layoutInCell="1" allowOverlap="1" wp14:anchorId="325D49AD" wp14:editId="50954C3C">
          <wp:simplePos x="0" y="0"/>
          <wp:positionH relativeFrom="page">
            <wp:posOffset>180340</wp:posOffset>
          </wp:positionH>
          <wp:positionV relativeFrom="page">
            <wp:posOffset>180753</wp:posOffset>
          </wp:positionV>
          <wp:extent cx="14760000" cy="727200"/>
          <wp:effectExtent l="0" t="0" r="0" b="635"/>
          <wp:wrapNone/>
          <wp:docPr id="114" name="Picture 114" descr="COVIDsafe logo" title="COVIDsaf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000118_HEADER_PAG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00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39BFC" w14:textId="29291709" w:rsidR="008F66E3" w:rsidRDefault="006C147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776" behindDoc="1" locked="1" layoutInCell="0" allowOverlap="1" wp14:anchorId="2F614A31" wp14:editId="041A2004">
          <wp:simplePos x="0" y="0"/>
          <wp:positionH relativeFrom="page">
            <wp:posOffset>181610</wp:posOffset>
          </wp:positionH>
          <wp:positionV relativeFrom="page">
            <wp:posOffset>180975</wp:posOffset>
          </wp:positionV>
          <wp:extent cx="14758670" cy="2519680"/>
          <wp:effectExtent l="0" t="0" r="5080" b="0"/>
          <wp:wrapNone/>
          <wp:docPr id="115" name="Picture 115" descr="Document title&#10;Remote framework - conditions for easing remote area travel restrictions&#10;&#10;Australian Government crest and COVIDSafe logo&#10;&#10;Indigenous painting used in background" title="Remote framework - conditions for easing remote area travel restric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00118_HEADER_P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8670" cy="2519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0570"/>
    <w:multiLevelType w:val="hybridMultilevel"/>
    <w:tmpl w:val="1730D71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73F35"/>
    <w:multiLevelType w:val="hybridMultilevel"/>
    <w:tmpl w:val="4B0EC2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691BCE"/>
    <w:multiLevelType w:val="hybridMultilevel"/>
    <w:tmpl w:val="1730D71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85AB9"/>
    <w:multiLevelType w:val="hybridMultilevel"/>
    <w:tmpl w:val="4EE4E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D2E7E"/>
    <w:multiLevelType w:val="hybridMultilevel"/>
    <w:tmpl w:val="515A542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B429A7"/>
    <w:multiLevelType w:val="hybridMultilevel"/>
    <w:tmpl w:val="76A2C61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0F3AFF"/>
    <w:multiLevelType w:val="hybridMultilevel"/>
    <w:tmpl w:val="15245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64ACA"/>
    <w:multiLevelType w:val="hybridMultilevel"/>
    <w:tmpl w:val="D07E22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B401E"/>
    <w:multiLevelType w:val="hybridMultilevel"/>
    <w:tmpl w:val="479A52CA"/>
    <w:lvl w:ilvl="0" w:tplc="997233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32E43"/>
    <w:multiLevelType w:val="hybridMultilevel"/>
    <w:tmpl w:val="53B6E49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E25F16"/>
    <w:multiLevelType w:val="hybridMultilevel"/>
    <w:tmpl w:val="419C71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D0D22"/>
    <w:multiLevelType w:val="hybridMultilevel"/>
    <w:tmpl w:val="AE28D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47001"/>
    <w:multiLevelType w:val="hybridMultilevel"/>
    <w:tmpl w:val="53B6E49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2E18C9"/>
    <w:multiLevelType w:val="hybridMultilevel"/>
    <w:tmpl w:val="2CC86A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B25F82"/>
    <w:multiLevelType w:val="hybridMultilevel"/>
    <w:tmpl w:val="53B6E49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F14EDB"/>
    <w:multiLevelType w:val="hybridMultilevel"/>
    <w:tmpl w:val="DE26D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C3CCA"/>
    <w:multiLevelType w:val="hybridMultilevel"/>
    <w:tmpl w:val="A25666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74C43"/>
    <w:multiLevelType w:val="hybridMultilevel"/>
    <w:tmpl w:val="429A6D6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7"/>
  </w:num>
  <w:num w:numId="5">
    <w:abstractNumId w:val="3"/>
  </w:num>
  <w:num w:numId="6">
    <w:abstractNumId w:val="1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  <w:num w:numId="13">
    <w:abstractNumId w:val="2"/>
  </w:num>
  <w:num w:numId="14">
    <w:abstractNumId w:val="17"/>
  </w:num>
  <w:num w:numId="15">
    <w:abstractNumId w:val="9"/>
  </w:num>
  <w:num w:numId="16">
    <w:abstractNumId w:val="14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47"/>
    <w:rsid w:val="00001C6F"/>
    <w:rsid w:val="000028F5"/>
    <w:rsid w:val="00005956"/>
    <w:rsid w:val="00011AD7"/>
    <w:rsid w:val="00012108"/>
    <w:rsid w:val="00012967"/>
    <w:rsid w:val="00015CD9"/>
    <w:rsid w:val="0001629D"/>
    <w:rsid w:val="00017299"/>
    <w:rsid w:val="00017509"/>
    <w:rsid w:val="00020E26"/>
    <w:rsid w:val="00024AEB"/>
    <w:rsid w:val="000274F6"/>
    <w:rsid w:val="00030331"/>
    <w:rsid w:val="00031C2A"/>
    <w:rsid w:val="00031CC0"/>
    <w:rsid w:val="0003208A"/>
    <w:rsid w:val="000326C3"/>
    <w:rsid w:val="000338F4"/>
    <w:rsid w:val="000360E1"/>
    <w:rsid w:val="00036280"/>
    <w:rsid w:val="0004251B"/>
    <w:rsid w:val="00045232"/>
    <w:rsid w:val="00046674"/>
    <w:rsid w:val="00046D30"/>
    <w:rsid w:val="000504C7"/>
    <w:rsid w:val="00054DA4"/>
    <w:rsid w:val="00055F58"/>
    <w:rsid w:val="00057D10"/>
    <w:rsid w:val="00061FCA"/>
    <w:rsid w:val="0006339C"/>
    <w:rsid w:val="00065ECD"/>
    <w:rsid w:val="000709A7"/>
    <w:rsid w:val="00073196"/>
    <w:rsid w:val="00073F80"/>
    <w:rsid w:val="0007401D"/>
    <w:rsid w:val="00074175"/>
    <w:rsid w:val="00075167"/>
    <w:rsid w:val="00075E01"/>
    <w:rsid w:val="00076834"/>
    <w:rsid w:val="000774C2"/>
    <w:rsid w:val="000774FD"/>
    <w:rsid w:val="000777F9"/>
    <w:rsid w:val="0007783A"/>
    <w:rsid w:val="00077D59"/>
    <w:rsid w:val="00077D68"/>
    <w:rsid w:val="00081EE0"/>
    <w:rsid w:val="00083A24"/>
    <w:rsid w:val="00085139"/>
    <w:rsid w:val="00087F5B"/>
    <w:rsid w:val="00091432"/>
    <w:rsid w:val="000928DA"/>
    <w:rsid w:val="00092A28"/>
    <w:rsid w:val="00093E33"/>
    <w:rsid w:val="000945EC"/>
    <w:rsid w:val="000A273D"/>
    <w:rsid w:val="000A3954"/>
    <w:rsid w:val="000A7FB9"/>
    <w:rsid w:val="000B0A74"/>
    <w:rsid w:val="000B30F0"/>
    <w:rsid w:val="000B4475"/>
    <w:rsid w:val="000B68D2"/>
    <w:rsid w:val="000B7F49"/>
    <w:rsid w:val="000C034E"/>
    <w:rsid w:val="000C174D"/>
    <w:rsid w:val="000C1818"/>
    <w:rsid w:val="000C18E2"/>
    <w:rsid w:val="000C29A7"/>
    <w:rsid w:val="000C39FB"/>
    <w:rsid w:val="000C3F64"/>
    <w:rsid w:val="000C4653"/>
    <w:rsid w:val="000C76D3"/>
    <w:rsid w:val="000D0537"/>
    <w:rsid w:val="000D086A"/>
    <w:rsid w:val="000D2A49"/>
    <w:rsid w:val="000D34BF"/>
    <w:rsid w:val="000D3EB6"/>
    <w:rsid w:val="000D3F7C"/>
    <w:rsid w:val="000D59C6"/>
    <w:rsid w:val="000D7A1D"/>
    <w:rsid w:val="000D7D3E"/>
    <w:rsid w:val="000E0AED"/>
    <w:rsid w:val="000E153D"/>
    <w:rsid w:val="000E16EB"/>
    <w:rsid w:val="000E2027"/>
    <w:rsid w:val="000E2594"/>
    <w:rsid w:val="000E26F6"/>
    <w:rsid w:val="000E2C34"/>
    <w:rsid w:val="000E30D3"/>
    <w:rsid w:val="000E333E"/>
    <w:rsid w:val="000E374A"/>
    <w:rsid w:val="000E4F50"/>
    <w:rsid w:val="000E564D"/>
    <w:rsid w:val="000E5729"/>
    <w:rsid w:val="000E649D"/>
    <w:rsid w:val="000E729A"/>
    <w:rsid w:val="000E7414"/>
    <w:rsid w:val="000F10B3"/>
    <w:rsid w:val="000F1972"/>
    <w:rsid w:val="000F2602"/>
    <w:rsid w:val="000F2C1C"/>
    <w:rsid w:val="000F6C63"/>
    <w:rsid w:val="0010587B"/>
    <w:rsid w:val="00106935"/>
    <w:rsid w:val="00107910"/>
    <w:rsid w:val="00107D31"/>
    <w:rsid w:val="001168DA"/>
    <w:rsid w:val="00120078"/>
    <w:rsid w:val="00121914"/>
    <w:rsid w:val="0012358E"/>
    <w:rsid w:val="00125269"/>
    <w:rsid w:val="0012590E"/>
    <w:rsid w:val="001259EA"/>
    <w:rsid w:val="001273D6"/>
    <w:rsid w:val="00127DC2"/>
    <w:rsid w:val="00132A07"/>
    <w:rsid w:val="0013341A"/>
    <w:rsid w:val="00134451"/>
    <w:rsid w:val="00136EA2"/>
    <w:rsid w:val="00137060"/>
    <w:rsid w:val="00141FC9"/>
    <w:rsid w:val="001446E1"/>
    <w:rsid w:val="0014613C"/>
    <w:rsid w:val="00147727"/>
    <w:rsid w:val="00147F10"/>
    <w:rsid w:val="001516ED"/>
    <w:rsid w:val="00151B3E"/>
    <w:rsid w:val="00152907"/>
    <w:rsid w:val="00153637"/>
    <w:rsid w:val="00153A49"/>
    <w:rsid w:val="001549FB"/>
    <w:rsid w:val="001553FA"/>
    <w:rsid w:val="00156051"/>
    <w:rsid w:val="00157C1A"/>
    <w:rsid w:val="00160ACF"/>
    <w:rsid w:val="00161FC9"/>
    <w:rsid w:val="00162776"/>
    <w:rsid w:val="00166373"/>
    <w:rsid w:val="001667BB"/>
    <w:rsid w:val="00170748"/>
    <w:rsid w:val="001733C5"/>
    <w:rsid w:val="00176239"/>
    <w:rsid w:val="00180A81"/>
    <w:rsid w:val="00180D53"/>
    <w:rsid w:val="0018391A"/>
    <w:rsid w:val="00185D22"/>
    <w:rsid w:val="00190DAF"/>
    <w:rsid w:val="00190FFB"/>
    <w:rsid w:val="0019369B"/>
    <w:rsid w:val="0019383C"/>
    <w:rsid w:val="001953C9"/>
    <w:rsid w:val="001953D1"/>
    <w:rsid w:val="00196BB6"/>
    <w:rsid w:val="001A0248"/>
    <w:rsid w:val="001A24AC"/>
    <w:rsid w:val="001A40AB"/>
    <w:rsid w:val="001A6913"/>
    <w:rsid w:val="001A6A6E"/>
    <w:rsid w:val="001A6AD9"/>
    <w:rsid w:val="001B19FB"/>
    <w:rsid w:val="001B48C4"/>
    <w:rsid w:val="001B62A3"/>
    <w:rsid w:val="001C0BF3"/>
    <w:rsid w:val="001C16B2"/>
    <w:rsid w:val="001C2034"/>
    <w:rsid w:val="001C386A"/>
    <w:rsid w:val="001C38C4"/>
    <w:rsid w:val="001C445F"/>
    <w:rsid w:val="001C4BDE"/>
    <w:rsid w:val="001C587D"/>
    <w:rsid w:val="001C6BAB"/>
    <w:rsid w:val="001D147C"/>
    <w:rsid w:val="001D7164"/>
    <w:rsid w:val="001D76BB"/>
    <w:rsid w:val="001E19FF"/>
    <w:rsid w:val="001E2CCA"/>
    <w:rsid w:val="001E353A"/>
    <w:rsid w:val="001E4B7D"/>
    <w:rsid w:val="001F1291"/>
    <w:rsid w:val="001F1712"/>
    <w:rsid w:val="001F3096"/>
    <w:rsid w:val="001F5105"/>
    <w:rsid w:val="001F76A9"/>
    <w:rsid w:val="002004FB"/>
    <w:rsid w:val="002024A7"/>
    <w:rsid w:val="002032EA"/>
    <w:rsid w:val="002049DE"/>
    <w:rsid w:val="00206218"/>
    <w:rsid w:val="00206933"/>
    <w:rsid w:val="002135DE"/>
    <w:rsid w:val="00214395"/>
    <w:rsid w:val="0021468F"/>
    <w:rsid w:val="00215A86"/>
    <w:rsid w:val="0021708A"/>
    <w:rsid w:val="0021752D"/>
    <w:rsid w:val="00217D7C"/>
    <w:rsid w:val="00220E85"/>
    <w:rsid w:val="002212F6"/>
    <w:rsid w:val="002362CD"/>
    <w:rsid w:val="002375E4"/>
    <w:rsid w:val="002378C3"/>
    <w:rsid w:val="00240630"/>
    <w:rsid w:val="00240EFD"/>
    <w:rsid w:val="00241222"/>
    <w:rsid w:val="0024258F"/>
    <w:rsid w:val="00242B97"/>
    <w:rsid w:val="00243122"/>
    <w:rsid w:val="00243CE6"/>
    <w:rsid w:val="00244037"/>
    <w:rsid w:val="00244105"/>
    <w:rsid w:val="00244E96"/>
    <w:rsid w:val="00246EDB"/>
    <w:rsid w:val="00247C9F"/>
    <w:rsid w:val="00251B1B"/>
    <w:rsid w:val="00253E54"/>
    <w:rsid w:val="002552D7"/>
    <w:rsid w:val="00261BC6"/>
    <w:rsid w:val="00264E66"/>
    <w:rsid w:val="0026504D"/>
    <w:rsid w:val="00266B16"/>
    <w:rsid w:val="00266F7A"/>
    <w:rsid w:val="00267209"/>
    <w:rsid w:val="0027137E"/>
    <w:rsid w:val="0027164D"/>
    <w:rsid w:val="0027414F"/>
    <w:rsid w:val="00274C40"/>
    <w:rsid w:val="002755EB"/>
    <w:rsid w:val="00280050"/>
    <w:rsid w:val="00281DB1"/>
    <w:rsid w:val="00284565"/>
    <w:rsid w:val="002861D0"/>
    <w:rsid w:val="00287216"/>
    <w:rsid w:val="002907FB"/>
    <w:rsid w:val="00291FBC"/>
    <w:rsid w:val="00292D78"/>
    <w:rsid w:val="0029442D"/>
    <w:rsid w:val="002969AD"/>
    <w:rsid w:val="002A1955"/>
    <w:rsid w:val="002A2719"/>
    <w:rsid w:val="002A2F6A"/>
    <w:rsid w:val="002A663C"/>
    <w:rsid w:val="002A6AF7"/>
    <w:rsid w:val="002B15D4"/>
    <w:rsid w:val="002B30D7"/>
    <w:rsid w:val="002B3B5C"/>
    <w:rsid w:val="002B409C"/>
    <w:rsid w:val="002B4C2F"/>
    <w:rsid w:val="002B64C1"/>
    <w:rsid w:val="002C0FED"/>
    <w:rsid w:val="002C481B"/>
    <w:rsid w:val="002C5231"/>
    <w:rsid w:val="002C53D1"/>
    <w:rsid w:val="002C6ACC"/>
    <w:rsid w:val="002C7293"/>
    <w:rsid w:val="002D1331"/>
    <w:rsid w:val="002D1C08"/>
    <w:rsid w:val="002D23EE"/>
    <w:rsid w:val="002D4638"/>
    <w:rsid w:val="002D5378"/>
    <w:rsid w:val="002D5489"/>
    <w:rsid w:val="002D5EEF"/>
    <w:rsid w:val="002D6AE4"/>
    <w:rsid w:val="002E08F0"/>
    <w:rsid w:val="002E32C3"/>
    <w:rsid w:val="002E5E3D"/>
    <w:rsid w:val="002E667A"/>
    <w:rsid w:val="002E7672"/>
    <w:rsid w:val="002F1C41"/>
    <w:rsid w:val="002F432D"/>
    <w:rsid w:val="002F5B1A"/>
    <w:rsid w:val="002F5C8B"/>
    <w:rsid w:val="002F7510"/>
    <w:rsid w:val="00301240"/>
    <w:rsid w:val="00302530"/>
    <w:rsid w:val="00302AE9"/>
    <w:rsid w:val="00303F13"/>
    <w:rsid w:val="00304450"/>
    <w:rsid w:val="0030564F"/>
    <w:rsid w:val="00305A2B"/>
    <w:rsid w:val="003074D6"/>
    <w:rsid w:val="00307CD0"/>
    <w:rsid w:val="00307D91"/>
    <w:rsid w:val="003122D0"/>
    <w:rsid w:val="003147D2"/>
    <w:rsid w:val="003155D0"/>
    <w:rsid w:val="003156EB"/>
    <w:rsid w:val="00316925"/>
    <w:rsid w:val="00316A59"/>
    <w:rsid w:val="00320D5E"/>
    <w:rsid w:val="00322B4C"/>
    <w:rsid w:val="00324209"/>
    <w:rsid w:val="0032744B"/>
    <w:rsid w:val="003313B9"/>
    <w:rsid w:val="003322FD"/>
    <w:rsid w:val="003323F4"/>
    <w:rsid w:val="003346FF"/>
    <w:rsid w:val="00334B22"/>
    <w:rsid w:val="0033584D"/>
    <w:rsid w:val="00336984"/>
    <w:rsid w:val="00337E12"/>
    <w:rsid w:val="003417C5"/>
    <w:rsid w:val="003428D6"/>
    <w:rsid w:val="003455C3"/>
    <w:rsid w:val="00345B8B"/>
    <w:rsid w:val="00346CE1"/>
    <w:rsid w:val="00347669"/>
    <w:rsid w:val="0035090F"/>
    <w:rsid w:val="00350FBA"/>
    <w:rsid w:val="00352043"/>
    <w:rsid w:val="00352A33"/>
    <w:rsid w:val="003535EB"/>
    <w:rsid w:val="00354A80"/>
    <w:rsid w:val="00355EC8"/>
    <w:rsid w:val="0036327A"/>
    <w:rsid w:val="00363FF3"/>
    <w:rsid w:val="0036473C"/>
    <w:rsid w:val="00364E05"/>
    <w:rsid w:val="00367C1B"/>
    <w:rsid w:val="00373262"/>
    <w:rsid w:val="00373D5C"/>
    <w:rsid w:val="00374D64"/>
    <w:rsid w:val="00375617"/>
    <w:rsid w:val="00376518"/>
    <w:rsid w:val="00380079"/>
    <w:rsid w:val="00384093"/>
    <w:rsid w:val="00384D77"/>
    <w:rsid w:val="00385A43"/>
    <w:rsid w:val="00386E9B"/>
    <w:rsid w:val="00390FC9"/>
    <w:rsid w:val="0039101F"/>
    <w:rsid w:val="0039106B"/>
    <w:rsid w:val="00391213"/>
    <w:rsid w:val="00391E14"/>
    <w:rsid w:val="00391E63"/>
    <w:rsid w:val="00392AD5"/>
    <w:rsid w:val="00395DC3"/>
    <w:rsid w:val="003A08D6"/>
    <w:rsid w:val="003A2632"/>
    <w:rsid w:val="003A379C"/>
    <w:rsid w:val="003A4F6B"/>
    <w:rsid w:val="003A5CEF"/>
    <w:rsid w:val="003A7144"/>
    <w:rsid w:val="003B041D"/>
    <w:rsid w:val="003B0883"/>
    <w:rsid w:val="003B54F3"/>
    <w:rsid w:val="003B5FAE"/>
    <w:rsid w:val="003C279E"/>
    <w:rsid w:val="003C2BA2"/>
    <w:rsid w:val="003C5783"/>
    <w:rsid w:val="003C5816"/>
    <w:rsid w:val="003C758E"/>
    <w:rsid w:val="003C7C07"/>
    <w:rsid w:val="003D0846"/>
    <w:rsid w:val="003D45CF"/>
    <w:rsid w:val="003D46A8"/>
    <w:rsid w:val="003D4C3E"/>
    <w:rsid w:val="003D4C8C"/>
    <w:rsid w:val="003D589A"/>
    <w:rsid w:val="003D62E3"/>
    <w:rsid w:val="003D6A9D"/>
    <w:rsid w:val="003E1152"/>
    <w:rsid w:val="003E1793"/>
    <w:rsid w:val="003E1C51"/>
    <w:rsid w:val="003E3620"/>
    <w:rsid w:val="003E3EB2"/>
    <w:rsid w:val="003E43D7"/>
    <w:rsid w:val="003E51E3"/>
    <w:rsid w:val="003E538E"/>
    <w:rsid w:val="003F12DE"/>
    <w:rsid w:val="003F2A53"/>
    <w:rsid w:val="003F2A80"/>
    <w:rsid w:val="003F301A"/>
    <w:rsid w:val="003F3D57"/>
    <w:rsid w:val="003F55D3"/>
    <w:rsid w:val="003F55FF"/>
    <w:rsid w:val="003F754E"/>
    <w:rsid w:val="00400570"/>
    <w:rsid w:val="00400852"/>
    <w:rsid w:val="004008E2"/>
    <w:rsid w:val="004015FA"/>
    <w:rsid w:val="0040206A"/>
    <w:rsid w:val="004039E7"/>
    <w:rsid w:val="00404A46"/>
    <w:rsid w:val="00410F27"/>
    <w:rsid w:val="00411333"/>
    <w:rsid w:val="00413BC0"/>
    <w:rsid w:val="00415C36"/>
    <w:rsid w:val="00417D99"/>
    <w:rsid w:val="00420780"/>
    <w:rsid w:val="00424C9F"/>
    <w:rsid w:val="00425775"/>
    <w:rsid w:val="00425F4E"/>
    <w:rsid w:val="004272AF"/>
    <w:rsid w:val="004277BA"/>
    <w:rsid w:val="00427B74"/>
    <w:rsid w:val="00430089"/>
    <w:rsid w:val="004302CD"/>
    <w:rsid w:val="0043109F"/>
    <w:rsid w:val="00432EC7"/>
    <w:rsid w:val="00434E3B"/>
    <w:rsid w:val="004371BD"/>
    <w:rsid w:val="00440F12"/>
    <w:rsid w:val="00442546"/>
    <w:rsid w:val="004438FA"/>
    <w:rsid w:val="004449A3"/>
    <w:rsid w:val="00445767"/>
    <w:rsid w:val="00446B6D"/>
    <w:rsid w:val="00447437"/>
    <w:rsid w:val="00452116"/>
    <w:rsid w:val="00452FBD"/>
    <w:rsid w:val="004618F4"/>
    <w:rsid w:val="00461BE1"/>
    <w:rsid w:val="00461C4E"/>
    <w:rsid w:val="00463B10"/>
    <w:rsid w:val="0046504E"/>
    <w:rsid w:val="00466B79"/>
    <w:rsid w:val="00467858"/>
    <w:rsid w:val="0047069D"/>
    <w:rsid w:val="00473616"/>
    <w:rsid w:val="004749F9"/>
    <w:rsid w:val="004756AD"/>
    <w:rsid w:val="00476810"/>
    <w:rsid w:val="00476BDF"/>
    <w:rsid w:val="00477043"/>
    <w:rsid w:val="00477276"/>
    <w:rsid w:val="0047739B"/>
    <w:rsid w:val="00480D15"/>
    <w:rsid w:val="0048214D"/>
    <w:rsid w:val="004828DD"/>
    <w:rsid w:val="00482A50"/>
    <w:rsid w:val="0048332B"/>
    <w:rsid w:val="00483962"/>
    <w:rsid w:val="0048752A"/>
    <w:rsid w:val="004949CF"/>
    <w:rsid w:val="00496A6C"/>
    <w:rsid w:val="0049750A"/>
    <w:rsid w:val="00497DFE"/>
    <w:rsid w:val="004A0547"/>
    <w:rsid w:val="004A1107"/>
    <w:rsid w:val="004A26EC"/>
    <w:rsid w:val="004A3A01"/>
    <w:rsid w:val="004A64EB"/>
    <w:rsid w:val="004A64F6"/>
    <w:rsid w:val="004A6A94"/>
    <w:rsid w:val="004B3BDA"/>
    <w:rsid w:val="004B3E60"/>
    <w:rsid w:val="004B4831"/>
    <w:rsid w:val="004B49FB"/>
    <w:rsid w:val="004B5197"/>
    <w:rsid w:val="004C21CE"/>
    <w:rsid w:val="004C2224"/>
    <w:rsid w:val="004C32FF"/>
    <w:rsid w:val="004C5A9A"/>
    <w:rsid w:val="004D1B3A"/>
    <w:rsid w:val="004D393A"/>
    <w:rsid w:val="004D6F86"/>
    <w:rsid w:val="004E12FE"/>
    <w:rsid w:val="004E160B"/>
    <w:rsid w:val="004E17C3"/>
    <w:rsid w:val="004E3AD0"/>
    <w:rsid w:val="004E3D52"/>
    <w:rsid w:val="004E4D89"/>
    <w:rsid w:val="004E6D82"/>
    <w:rsid w:val="004E7A0A"/>
    <w:rsid w:val="004F0A17"/>
    <w:rsid w:val="004F133F"/>
    <w:rsid w:val="004F35FE"/>
    <w:rsid w:val="004F6100"/>
    <w:rsid w:val="004F7132"/>
    <w:rsid w:val="004F7BB5"/>
    <w:rsid w:val="00500AE4"/>
    <w:rsid w:val="00510A77"/>
    <w:rsid w:val="0051114B"/>
    <w:rsid w:val="005141AC"/>
    <w:rsid w:val="00517286"/>
    <w:rsid w:val="00520510"/>
    <w:rsid w:val="00521B18"/>
    <w:rsid w:val="00522F9E"/>
    <w:rsid w:val="005232EB"/>
    <w:rsid w:val="00523B97"/>
    <w:rsid w:val="0052533B"/>
    <w:rsid w:val="005262C4"/>
    <w:rsid w:val="00526A0D"/>
    <w:rsid w:val="00527C8A"/>
    <w:rsid w:val="00531812"/>
    <w:rsid w:val="0053496D"/>
    <w:rsid w:val="00536B90"/>
    <w:rsid w:val="00537D9F"/>
    <w:rsid w:val="00540281"/>
    <w:rsid w:val="00541B7F"/>
    <w:rsid w:val="00541CD0"/>
    <w:rsid w:val="005422D9"/>
    <w:rsid w:val="0054590F"/>
    <w:rsid w:val="00546695"/>
    <w:rsid w:val="005479BE"/>
    <w:rsid w:val="005539A8"/>
    <w:rsid w:val="00555008"/>
    <w:rsid w:val="00556725"/>
    <w:rsid w:val="00557DC2"/>
    <w:rsid w:val="005622DF"/>
    <w:rsid w:val="00562FBB"/>
    <w:rsid w:val="005672A8"/>
    <w:rsid w:val="005678F2"/>
    <w:rsid w:val="0057024D"/>
    <w:rsid w:val="00571726"/>
    <w:rsid w:val="0057289A"/>
    <w:rsid w:val="00573D55"/>
    <w:rsid w:val="005749F8"/>
    <w:rsid w:val="00575304"/>
    <w:rsid w:val="00575F9A"/>
    <w:rsid w:val="00580A4A"/>
    <w:rsid w:val="005819CA"/>
    <w:rsid w:val="00581B0C"/>
    <w:rsid w:val="0058374B"/>
    <w:rsid w:val="00585450"/>
    <w:rsid w:val="005859D4"/>
    <w:rsid w:val="00585E32"/>
    <w:rsid w:val="00586D7D"/>
    <w:rsid w:val="005937A8"/>
    <w:rsid w:val="005946F6"/>
    <w:rsid w:val="005957B2"/>
    <w:rsid w:val="005979A5"/>
    <w:rsid w:val="005A144A"/>
    <w:rsid w:val="005A1FDE"/>
    <w:rsid w:val="005A254B"/>
    <w:rsid w:val="005A3A69"/>
    <w:rsid w:val="005A6479"/>
    <w:rsid w:val="005A6983"/>
    <w:rsid w:val="005A7C55"/>
    <w:rsid w:val="005B3209"/>
    <w:rsid w:val="005B407F"/>
    <w:rsid w:val="005B4BED"/>
    <w:rsid w:val="005B5F00"/>
    <w:rsid w:val="005B7A04"/>
    <w:rsid w:val="005C0977"/>
    <w:rsid w:val="005C0C3C"/>
    <w:rsid w:val="005C0E01"/>
    <w:rsid w:val="005C12B1"/>
    <w:rsid w:val="005C2C7F"/>
    <w:rsid w:val="005C38D6"/>
    <w:rsid w:val="005C46DB"/>
    <w:rsid w:val="005C5657"/>
    <w:rsid w:val="005D2F6E"/>
    <w:rsid w:val="005D3FE7"/>
    <w:rsid w:val="005D57B1"/>
    <w:rsid w:val="005D58E0"/>
    <w:rsid w:val="005D7519"/>
    <w:rsid w:val="005D781F"/>
    <w:rsid w:val="005E002F"/>
    <w:rsid w:val="005E247A"/>
    <w:rsid w:val="005E2DE1"/>
    <w:rsid w:val="005E49C5"/>
    <w:rsid w:val="005E780C"/>
    <w:rsid w:val="005F0450"/>
    <w:rsid w:val="005F1B31"/>
    <w:rsid w:val="005F2484"/>
    <w:rsid w:val="005F2981"/>
    <w:rsid w:val="005F2BC9"/>
    <w:rsid w:val="005F68C7"/>
    <w:rsid w:val="005F7B38"/>
    <w:rsid w:val="005F7E88"/>
    <w:rsid w:val="00600DD2"/>
    <w:rsid w:val="00601434"/>
    <w:rsid w:val="00603D96"/>
    <w:rsid w:val="00605365"/>
    <w:rsid w:val="00615491"/>
    <w:rsid w:val="00616D10"/>
    <w:rsid w:val="00617377"/>
    <w:rsid w:val="0062101B"/>
    <w:rsid w:val="00621197"/>
    <w:rsid w:val="006238DF"/>
    <w:rsid w:val="0062604B"/>
    <w:rsid w:val="00626611"/>
    <w:rsid w:val="00626C8B"/>
    <w:rsid w:val="00627D66"/>
    <w:rsid w:val="00631A33"/>
    <w:rsid w:val="00632BB0"/>
    <w:rsid w:val="00632D6C"/>
    <w:rsid w:val="00632F22"/>
    <w:rsid w:val="00634EE7"/>
    <w:rsid w:val="00635D5B"/>
    <w:rsid w:val="006360A4"/>
    <w:rsid w:val="00637F48"/>
    <w:rsid w:val="006400CB"/>
    <w:rsid w:val="00641B6C"/>
    <w:rsid w:val="00642BE5"/>
    <w:rsid w:val="0064459F"/>
    <w:rsid w:val="00645B15"/>
    <w:rsid w:val="006460C1"/>
    <w:rsid w:val="0064632A"/>
    <w:rsid w:val="006466E4"/>
    <w:rsid w:val="00647454"/>
    <w:rsid w:val="00652971"/>
    <w:rsid w:val="00654DA4"/>
    <w:rsid w:val="00655959"/>
    <w:rsid w:val="006602D4"/>
    <w:rsid w:val="006613EC"/>
    <w:rsid w:val="00665AAD"/>
    <w:rsid w:val="00666379"/>
    <w:rsid w:val="00667983"/>
    <w:rsid w:val="006700CE"/>
    <w:rsid w:val="00670CBA"/>
    <w:rsid w:val="00671E93"/>
    <w:rsid w:val="006732AA"/>
    <w:rsid w:val="00673686"/>
    <w:rsid w:val="00674D6B"/>
    <w:rsid w:val="00682811"/>
    <w:rsid w:val="00685AEE"/>
    <w:rsid w:val="00694D2B"/>
    <w:rsid w:val="00695507"/>
    <w:rsid w:val="00695810"/>
    <w:rsid w:val="00695D5F"/>
    <w:rsid w:val="006968C7"/>
    <w:rsid w:val="00696F88"/>
    <w:rsid w:val="006976F3"/>
    <w:rsid w:val="00697BC2"/>
    <w:rsid w:val="006A0749"/>
    <w:rsid w:val="006A2C25"/>
    <w:rsid w:val="006A6F7A"/>
    <w:rsid w:val="006B2C5D"/>
    <w:rsid w:val="006B333E"/>
    <w:rsid w:val="006B36F5"/>
    <w:rsid w:val="006B5AA0"/>
    <w:rsid w:val="006B6B47"/>
    <w:rsid w:val="006C0296"/>
    <w:rsid w:val="006C0DD7"/>
    <w:rsid w:val="006C13AD"/>
    <w:rsid w:val="006C1470"/>
    <w:rsid w:val="006C16D1"/>
    <w:rsid w:val="006C46F5"/>
    <w:rsid w:val="006C484F"/>
    <w:rsid w:val="006C74B8"/>
    <w:rsid w:val="006D0887"/>
    <w:rsid w:val="006D70EC"/>
    <w:rsid w:val="006E146D"/>
    <w:rsid w:val="006E20BC"/>
    <w:rsid w:val="006E3017"/>
    <w:rsid w:val="006E4F6E"/>
    <w:rsid w:val="006E56B8"/>
    <w:rsid w:val="006E60EE"/>
    <w:rsid w:val="006E7A52"/>
    <w:rsid w:val="006F1732"/>
    <w:rsid w:val="006F1F72"/>
    <w:rsid w:val="006F2CA8"/>
    <w:rsid w:val="006F2CC3"/>
    <w:rsid w:val="006F4868"/>
    <w:rsid w:val="006F5081"/>
    <w:rsid w:val="006F5A5D"/>
    <w:rsid w:val="006F69D1"/>
    <w:rsid w:val="006F76E3"/>
    <w:rsid w:val="006F7FE4"/>
    <w:rsid w:val="00702353"/>
    <w:rsid w:val="00703872"/>
    <w:rsid w:val="00704B71"/>
    <w:rsid w:val="007151E7"/>
    <w:rsid w:val="0071520D"/>
    <w:rsid w:val="0071593B"/>
    <w:rsid w:val="00715C6C"/>
    <w:rsid w:val="00715E41"/>
    <w:rsid w:val="00716C26"/>
    <w:rsid w:val="00721196"/>
    <w:rsid w:val="00722183"/>
    <w:rsid w:val="00723E26"/>
    <w:rsid w:val="0072644E"/>
    <w:rsid w:val="0073082A"/>
    <w:rsid w:val="00731941"/>
    <w:rsid w:val="007368C0"/>
    <w:rsid w:val="0073795D"/>
    <w:rsid w:val="00737F8D"/>
    <w:rsid w:val="0074038B"/>
    <w:rsid w:val="007409A4"/>
    <w:rsid w:val="007414DF"/>
    <w:rsid w:val="00741A2C"/>
    <w:rsid w:val="00743645"/>
    <w:rsid w:val="00744A70"/>
    <w:rsid w:val="00747ED5"/>
    <w:rsid w:val="00751B73"/>
    <w:rsid w:val="007536E4"/>
    <w:rsid w:val="007538C7"/>
    <w:rsid w:val="00755BF7"/>
    <w:rsid w:val="00755FC5"/>
    <w:rsid w:val="007572AB"/>
    <w:rsid w:val="00760205"/>
    <w:rsid w:val="00761537"/>
    <w:rsid w:val="00761CD4"/>
    <w:rsid w:val="00762897"/>
    <w:rsid w:val="00763B93"/>
    <w:rsid w:val="00763C12"/>
    <w:rsid w:val="00767952"/>
    <w:rsid w:val="00767993"/>
    <w:rsid w:val="007728AC"/>
    <w:rsid w:val="00773205"/>
    <w:rsid w:val="007734BA"/>
    <w:rsid w:val="00773511"/>
    <w:rsid w:val="00773F73"/>
    <w:rsid w:val="00774000"/>
    <w:rsid w:val="007754B6"/>
    <w:rsid w:val="00775A72"/>
    <w:rsid w:val="0078032E"/>
    <w:rsid w:val="00781848"/>
    <w:rsid w:val="00781B1B"/>
    <w:rsid w:val="00782DDF"/>
    <w:rsid w:val="007839ED"/>
    <w:rsid w:val="007876F6"/>
    <w:rsid w:val="007909AB"/>
    <w:rsid w:val="00792F71"/>
    <w:rsid w:val="00793B10"/>
    <w:rsid w:val="00794F65"/>
    <w:rsid w:val="007954AD"/>
    <w:rsid w:val="007961C9"/>
    <w:rsid w:val="00796CAA"/>
    <w:rsid w:val="007A033B"/>
    <w:rsid w:val="007A0484"/>
    <w:rsid w:val="007A3082"/>
    <w:rsid w:val="007A7B46"/>
    <w:rsid w:val="007B1A9E"/>
    <w:rsid w:val="007B2BBE"/>
    <w:rsid w:val="007B6040"/>
    <w:rsid w:val="007B6DC8"/>
    <w:rsid w:val="007C1101"/>
    <w:rsid w:val="007C30DD"/>
    <w:rsid w:val="007C3657"/>
    <w:rsid w:val="007C39FB"/>
    <w:rsid w:val="007C5AF6"/>
    <w:rsid w:val="007C648A"/>
    <w:rsid w:val="007C6DE5"/>
    <w:rsid w:val="007D261F"/>
    <w:rsid w:val="007D3BED"/>
    <w:rsid w:val="007D4AC3"/>
    <w:rsid w:val="007D5B4F"/>
    <w:rsid w:val="007D7120"/>
    <w:rsid w:val="007D73B0"/>
    <w:rsid w:val="007D7839"/>
    <w:rsid w:val="007E20B8"/>
    <w:rsid w:val="007E4D36"/>
    <w:rsid w:val="007E4E49"/>
    <w:rsid w:val="007E5572"/>
    <w:rsid w:val="007E5F74"/>
    <w:rsid w:val="007E7E7F"/>
    <w:rsid w:val="007F0041"/>
    <w:rsid w:val="007F2098"/>
    <w:rsid w:val="007F3000"/>
    <w:rsid w:val="007F6F0F"/>
    <w:rsid w:val="007F746E"/>
    <w:rsid w:val="0080065D"/>
    <w:rsid w:val="00801E2D"/>
    <w:rsid w:val="0080707A"/>
    <w:rsid w:val="00807249"/>
    <w:rsid w:val="00807894"/>
    <w:rsid w:val="00807991"/>
    <w:rsid w:val="00813333"/>
    <w:rsid w:val="008139DD"/>
    <w:rsid w:val="00816A9C"/>
    <w:rsid w:val="00817A84"/>
    <w:rsid w:val="00817FD9"/>
    <w:rsid w:val="0082097D"/>
    <w:rsid w:val="0082231C"/>
    <w:rsid w:val="00823857"/>
    <w:rsid w:val="008242F5"/>
    <w:rsid w:val="00833FE9"/>
    <w:rsid w:val="008341E8"/>
    <w:rsid w:val="00840C17"/>
    <w:rsid w:val="00840C6A"/>
    <w:rsid w:val="008460C7"/>
    <w:rsid w:val="00846399"/>
    <w:rsid w:val="008471E7"/>
    <w:rsid w:val="008538F1"/>
    <w:rsid w:val="00855C10"/>
    <w:rsid w:val="00856521"/>
    <w:rsid w:val="00861CC9"/>
    <w:rsid w:val="008627DA"/>
    <w:rsid w:val="00864515"/>
    <w:rsid w:val="00864E42"/>
    <w:rsid w:val="008659D4"/>
    <w:rsid w:val="00870D00"/>
    <w:rsid w:val="00871525"/>
    <w:rsid w:val="00871E95"/>
    <w:rsid w:val="00880595"/>
    <w:rsid w:val="00880E53"/>
    <w:rsid w:val="008811CB"/>
    <w:rsid w:val="008832A3"/>
    <w:rsid w:val="008845C8"/>
    <w:rsid w:val="00885331"/>
    <w:rsid w:val="00886195"/>
    <w:rsid w:val="00886412"/>
    <w:rsid w:val="008867F3"/>
    <w:rsid w:val="008870E0"/>
    <w:rsid w:val="0089294D"/>
    <w:rsid w:val="00892B81"/>
    <w:rsid w:val="00893104"/>
    <w:rsid w:val="008952D4"/>
    <w:rsid w:val="00895B68"/>
    <w:rsid w:val="00896F32"/>
    <w:rsid w:val="008A00E2"/>
    <w:rsid w:val="008A13FB"/>
    <w:rsid w:val="008A1847"/>
    <w:rsid w:val="008A1DBA"/>
    <w:rsid w:val="008A1FFB"/>
    <w:rsid w:val="008A3422"/>
    <w:rsid w:val="008A4A47"/>
    <w:rsid w:val="008A7412"/>
    <w:rsid w:val="008B0248"/>
    <w:rsid w:val="008B0C85"/>
    <w:rsid w:val="008B22C8"/>
    <w:rsid w:val="008B2E80"/>
    <w:rsid w:val="008B483B"/>
    <w:rsid w:val="008B5330"/>
    <w:rsid w:val="008B7A03"/>
    <w:rsid w:val="008C0943"/>
    <w:rsid w:val="008C1431"/>
    <w:rsid w:val="008C1C09"/>
    <w:rsid w:val="008C1FDA"/>
    <w:rsid w:val="008C3FB8"/>
    <w:rsid w:val="008C3FF1"/>
    <w:rsid w:val="008C437B"/>
    <w:rsid w:val="008C4643"/>
    <w:rsid w:val="008C4DC7"/>
    <w:rsid w:val="008C6C17"/>
    <w:rsid w:val="008D28B5"/>
    <w:rsid w:val="008E08C8"/>
    <w:rsid w:val="008E4CE3"/>
    <w:rsid w:val="008E5252"/>
    <w:rsid w:val="008E6802"/>
    <w:rsid w:val="008E7455"/>
    <w:rsid w:val="008F0755"/>
    <w:rsid w:val="008F0E4F"/>
    <w:rsid w:val="008F1F77"/>
    <w:rsid w:val="008F3648"/>
    <w:rsid w:val="008F46CA"/>
    <w:rsid w:val="008F4EFE"/>
    <w:rsid w:val="008F66E3"/>
    <w:rsid w:val="008F67CE"/>
    <w:rsid w:val="008F7881"/>
    <w:rsid w:val="00900A16"/>
    <w:rsid w:val="00904A27"/>
    <w:rsid w:val="00905058"/>
    <w:rsid w:val="00905065"/>
    <w:rsid w:val="00906171"/>
    <w:rsid w:val="009069E2"/>
    <w:rsid w:val="00907ECF"/>
    <w:rsid w:val="00913428"/>
    <w:rsid w:val="00914821"/>
    <w:rsid w:val="009163CD"/>
    <w:rsid w:val="00916F96"/>
    <w:rsid w:val="00917186"/>
    <w:rsid w:val="009212D3"/>
    <w:rsid w:val="009228A8"/>
    <w:rsid w:val="00926CCE"/>
    <w:rsid w:val="00927B8A"/>
    <w:rsid w:val="009300E3"/>
    <w:rsid w:val="00930C50"/>
    <w:rsid w:val="00930CC8"/>
    <w:rsid w:val="009310E5"/>
    <w:rsid w:val="00932F1B"/>
    <w:rsid w:val="00934029"/>
    <w:rsid w:val="00934F9B"/>
    <w:rsid w:val="00936E14"/>
    <w:rsid w:val="009378B9"/>
    <w:rsid w:val="00944563"/>
    <w:rsid w:val="00944A71"/>
    <w:rsid w:val="00945827"/>
    <w:rsid w:val="00946464"/>
    <w:rsid w:val="00946696"/>
    <w:rsid w:val="0095030B"/>
    <w:rsid w:val="00953461"/>
    <w:rsid w:val="0096298E"/>
    <w:rsid w:val="00963F49"/>
    <w:rsid w:val="00964DA9"/>
    <w:rsid w:val="00965A03"/>
    <w:rsid w:val="00965CD8"/>
    <w:rsid w:val="009704BD"/>
    <w:rsid w:val="009714AC"/>
    <w:rsid w:val="00971633"/>
    <w:rsid w:val="0097236C"/>
    <w:rsid w:val="009766FC"/>
    <w:rsid w:val="0097689D"/>
    <w:rsid w:val="00976E82"/>
    <w:rsid w:val="0097719E"/>
    <w:rsid w:val="009774D2"/>
    <w:rsid w:val="0098252B"/>
    <w:rsid w:val="009829B9"/>
    <w:rsid w:val="009836CC"/>
    <w:rsid w:val="009841B4"/>
    <w:rsid w:val="00984BD8"/>
    <w:rsid w:val="009872CA"/>
    <w:rsid w:val="00990651"/>
    <w:rsid w:val="0099350C"/>
    <w:rsid w:val="00994D11"/>
    <w:rsid w:val="00995D2B"/>
    <w:rsid w:val="00997AB7"/>
    <w:rsid w:val="009A252B"/>
    <w:rsid w:val="009A28E1"/>
    <w:rsid w:val="009A2A2F"/>
    <w:rsid w:val="009A306C"/>
    <w:rsid w:val="009A315B"/>
    <w:rsid w:val="009A5A10"/>
    <w:rsid w:val="009A5E28"/>
    <w:rsid w:val="009A5EC5"/>
    <w:rsid w:val="009A612A"/>
    <w:rsid w:val="009B027F"/>
    <w:rsid w:val="009B2099"/>
    <w:rsid w:val="009B4158"/>
    <w:rsid w:val="009B66EA"/>
    <w:rsid w:val="009B70E7"/>
    <w:rsid w:val="009B71B7"/>
    <w:rsid w:val="009B7CAD"/>
    <w:rsid w:val="009C01B9"/>
    <w:rsid w:val="009C03CF"/>
    <w:rsid w:val="009C0DA5"/>
    <w:rsid w:val="009C1311"/>
    <w:rsid w:val="009C15D5"/>
    <w:rsid w:val="009C1EB6"/>
    <w:rsid w:val="009C29FF"/>
    <w:rsid w:val="009C45A4"/>
    <w:rsid w:val="009C7B59"/>
    <w:rsid w:val="009D117A"/>
    <w:rsid w:val="009D152E"/>
    <w:rsid w:val="009D41E7"/>
    <w:rsid w:val="009D5A41"/>
    <w:rsid w:val="009D7D6F"/>
    <w:rsid w:val="009E0A59"/>
    <w:rsid w:val="009E0B60"/>
    <w:rsid w:val="009E0D7D"/>
    <w:rsid w:val="009E543A"/>
    <w:rsid w:val="009E56E6"/>
    <w:rsid w:val="009E5865"/>
    <w:rsid w:val="009E6073"/>
    <w:rsid w:val="009E640A"/>
    <w:rsid w:val="009E6FFA"/>
    <w:rsid w:val="009E7F83"/>
    <w:rsid w:val="009F0115"/>
    <w:rsid w:val="009F6706"/>
    <w:rsid w:val="00A01B30"/>
    <w:rsid w:val="00A02228"/>
    <w:rsid w:val="00A03749"/>
    <w:rsid w:val="00A040E6"/>
    <w:rsid w:val="00A05799"/>
    <w:rsid w:val="00A05B0B"/>
    <w:rsid w:val="00A076BD"/>
    <w:rsid w:val="00A10130"/>
    <w:rsid w:val="00A10615"/>
    <w:rsid w:val="00A11093"/>
    <w:rsid w:val="00A127F3"/>
    <w:rsid w:val="00A138F3"/>
    <w:rsid w:val="00A1398F"/>
    <w:rsid w:val="00A13D2F"/>
    <w:rsid w:val="00A1561E"/>
    <w:rsid w:val="00A15A1F"/>
    <w:rsid w:val="00A15C36"/>
    <w:rsid w:val="00A17A97"/>
    <w:rsid w:val="00A20136"/>
    <w:rsid w:val="00A217BB"/>
    <w:rsid w:val="00A227A4"/>
    <w:rsid w:val="00A2587F"/>
    <w:rsid w:val="00A26B92"/>
    <w:rsid w:val="00A337E1"/>
    <w:rsid w:val="00A33DA0"/>
    <w:rsid w:val="00A35CA1"/>
    <w:rsid w:val="00A42B8D"/>
    <w:rsid w:val="00A43235"/>
    <w:rsid w:val="00A44196"/>
    <w:rsid w:val="00A44D6A"/>
    <w:rsid w:val="00A46508"/>
    <w:rsid w:val="00A4720B"/>
    <w:rsid w:val="00A47866"/>
    <w:rsid w:val="00A53548"/>
    <w:rsid w:val="00A53965"/>
    <w:rsid w:val="00A541B9"/>
    <w:rsid w:val="00A54DB6"/>
    <w:rsid w:val="00A56883"/>
    <w:rsid w:val="00A57F06"/>
    <w:rsid w:val="00A610D4"/>
    <w:rsid w:val="00A62379"/>
    <w:rsid w:val="00A62C26"/>
    <w:rsid w:val="00A638C5"/>
    <w:rsid w:val="00A63ABA"/>
    <w:rsid w:val="00A640D2"/>
    <w:rsid w:val="00A64852"/>
    <w:rsid w:val="00A65559"/>
    <w:rsid w:val="00A67BF2"/>
    <w:rsid w:val="00A67CE8"/>
    <w:rsid w:val="00A73330"/>
    <w:rsid w:val="00A74878"/>
    <w:rsid w:val="00A74FF6"/>
    <w:rsid w:val="00A75E41"/>
    <w:rsid w:val="00A773DE"/>
    <w:rsid w:val="00A7754B"/>
    <w:rsid w:val="00A80449"/>
    <w:rsid w:val="00A8302F"/>
    <w:rsid w:val="00A86F93"/>
    <w:rsid w:val="00A878DA"/>
    <w:rsid w:val="00A8794F"/>
    <w:rsid w:val="00A902E2"/>
    <w:rsid w:val="00A90CF6"/>
    <w:rsid w:val="00A92525"/>
    <w:rsid w:val="00AA022A"/>
    <w:rsid w:val="00AA0A84"/>
    <w:rsid w:val="00AA1EE0"/>
    <w:rsid w:val="00AA1F24"/>
    <w:rsid w:val="00AA274A"/>
    <w:rsid w:val="00AA6FAA"/>
    <w:rsid w:val="00AB008A"/>
    <w:rsid w:val="00AB00FA"/>
    <w:rsid w:val="00AB073C"/>
    <w:rsid w:val="00AB1B9F"/>
    <w:rsid w:val="00AB2E33"/>
    <w:rsid w:val="00AB3B3E"/>
    <w:rsid w:val="00AB4440"/>
    <w:rsid w:val="00AB527F"/>
    <w:rsid w:val="00AB5D81"/>
    <w:rsid w:val="00AB77C9"/>
    <w:rsid w:val="00AB7E1B"/>
    <w:rsid w:val="00AC5704"/>
    <w:rsid w:val="00AC639A"/>
    <w:rsid w:val="00AD1312"/>
    <w:rsid w:val="00AD14A0"/>
    <w:rsid w:val="00AD2845"/>
    <w:rsid w:val="00AD3C6E"/>
    <w:rsid w:val="00AD7086"/>
    <w:rsid w:val="00AD7733"/>
    <w:rsid w:val="00AE03F6"/>
    <w:rsid w:val="00AE3560"/>
    <w:rsid w:val="00AE627A"/>
    <w:rsid w:val="00AF0393"/>
    <w:rsid w:val="00AF0682"/>
    <w:rsid w:val="00AF09CD"/>
    <w:rsid w:val="00AF141C"/>
    <w:rsid w:val="00AF27A0"/>
    <w:rsid w:val="00AF400A"/>
    <w:rsid w:val="00AF5A9E"/>
    <w:rsid w:val="00AF64D0"/>
    <w:rsid w:val="00B01FD6"/>
    <w:rsid w:val="00B0244B"/>
    <w:rsid w:val="00B11D2F"/>
    <w:rsid w:val="00B12AF1"/>
    <w:rsid w:val="00B1305D"/>
    <w:rsid w:val="00B13C86"/>
    <w:rsid w:val="00B1512C"/>
    <w:rsid w:val="00B17B1A"/>
    <w:rsid w:val="00B2492D"/>
    <w:rsid w:val="00B25665"/>
    <w:rsid w:val="00B26638"/>
    <w:rsid w:val="00B3054F"/>
    <w:rsid w:val="00B30B06"/>
    <w:rsid w:val="00B31BFF"/>
    <w:rsid w:val="00B31E98"/>
    <w:rsid w:val="00B3343D"/>
    <w:rsid w:val="00B34AD9"/>
    <w:rsid w:val="00B35097"/>
    <w:rsid w:val="00B3541C"/>
    <w:rsid w:val="00B364CF"/>
    <w:rsid w:val="00B36554"/>
    <w:rsid w:val="00B371F3"/>
    <w:rsid w:val="00B40640"/>
    <w:rsid w:val="00B40CB1"/>
    <w:rsid w:val="00B429B5"/>
    <w:rsid w:val="00B43E56"/>
    <w:rsid w:val="00B44B5F"/>
    <w:rsid w:val="00B46EDD"/>
    <w:rsid w:val="00B47F51"/>
    <w:rsid w:val="00B50D2B"/>
    <w:rsid w:val="00B5198F"/>
    <w:rsid w:val="00B529B0"/>
    <w:rsid w:val="00B52DD4"/>
    <w:rsid w:val="00B54270"/>
    <w:rsid w:val="00B54CE9"/>
    <w:rsid w:val="00B61F7F"/>
    <w:rsid w:val="00B64F68"/>
    <w:rsid w:val="00B70495"/>
    <w:rsid w:val="00B714DD"/>
    <w:rsid w:val="00B73660"/>
    <w:rsid w:val="00B74584"/>
    <w:rsid w:val="00B75EDB"/>
    <w:rsid w:val="00B76132"/>
    <w:rsid w:val="00B77B02"/>
    <w:rsid w:val="00B80B3F"/>
    <w:rsid w:val="00B81A1C"/>
    <w:rsid w:val="00B8355F"/>
    <w:rsid w:val="00B844E1"/>
    <w:rsid w:val="00B9020A"/>
    <w:rsid w:val="00B90DDC"/>
    <w:rsid w:val="00B92393"/>
    <w:rsid w:val="00B92428"/>
    <w:rsid w:val="00B92F30"/>
    <w:rsid w:val="00B942CB"/>
    <w:rsid w:val="00B96817"/>
    <w:rsid w:val="00B973ED"/>
    <w:rsid w:val="00B976A2"/>
    <w:rsid w:val="00BA032D"/>
    <w:rsid w:val="00BA0430"/>
    <w:rsid w:val="00BA0C77"/>
    <w:rsid w:val="00BA11C7"/>
    <w:rsid w:val="00BA328B"/>
    <w:rsid w:val="00BA360C"/>
    <w:rsid w:val="00BA3650"/>
    <w:rsid w:val="00BA4A69"/>
    <w:rsid w:val="00BA55BB"/>
    <w:rsid w:val="00BA6493"/>
    <w:rsid w:val="00BA7010"/>
    <w:rsid w:val="00BA7195"/>
    <w:rsid w:val="00BA738C"/>
    <w:rsid w:val="00BB1EA4"/>
    <w:rsid w:val="00BB45D3"/>
    <w:rsid w:val="00BB4AE8"/>
    <w:rsid w:val="00BB4FE5"/>
    <w:rsid w:val="00BB6C58"/>
    <w:rsid w:val="00BB7675"/>
    <w:rsid w:val="00BC03E5"/>
    <w:rsid w:val="00BC2150"/>
    <w:rsid w:val="00BC2F0D"/>
    <w:rsid w:val="00BC3260"/>
    <w:rsid w:val="00BC4387"/>
    <w:rsid w:val="00BC4FCB"/>
    <w:rsid w:val="00BC6D9A"/>
    <w:rsid w:val="00BD0ABF"/>
    <w:rsid w:val="00BD1436"/>
    <w:rsid w:val="00BD29E6"/>
    <w:rsid w:val="00BD320A"/>
    <w:rsid w:val="00BD4456"/>
    <w:rsid w:val="00BD50AE"/>
    <w:rsid w:val="00BD527B"/>
    <w:rsid w:val="00BD5A4C"/>
    <w:rsid w:val="00BD665E"/>
    <w:rsid w:val="00BD7F55"/>
    <w:rsid w:val="00BE02D6"/>
    <w:rsid w:val="00BE2DEA"/>
    <w:rsid w:val="00BE30AC"/>
    <w:rsid w:val="00BE3D63"/>
    <w:rsid w:val="00BE3F28"/>
    <w:rsid w:val="00BE444C"/>
    <w:rsid w:val="00BF4BC4"/>
    <w:rsid w:val="00C00BA2"/>
    <w:rsid w:val="00C02E49"/>
    <w:rsid w:val="00C03521"/>
    <w:rsid w:val="00C03F86"/>
    <w:rsid w:val="00C03FF3"/>
    <w:rsid w:val="00C04D21"/>
    <w:rsid w:val="00C05106"/>
    <w:rsid w:val="00C0564C"/>
    <w:rsid w:val="00C100AF"/>
    <w:rsid w:val="00C10684"/>
    <w:rsid w:val="00C11A18"/>
    <w:rsid w:val="00C12627"/>
    <w:rsid w:val="00C1399A"/>
    <w:rsid w:val="00C144A9"/>
    <w:rsid w:val="00C15A48"/>
    <w:rsid w:val="00C16EDE"/>
    <w:rsid w:val="00C17035"/>
    <w:rsid w:val="00C20C55"/>
    <w:rsid w:val="00C24B1C"/>
    <w:rsid w:val="00C27422"/>
    <w:rsid w:val="00C31569"/>
    <w:rsid w:val="00C338EE"/>
    <w:rsid w:val="00C35250"/>
    <w:rsid w:val="00C35FA8"/>
    <w:rsid w:val="00C3773A"/>
    <w:rsid w:val="00C40E6B"/>
    <w:rsid w:val="00C41C09"/>
    <w:rsid w:val="00C43ECB"/>
    <w:rsid w:val="00C447D5"/>
    <w:rsid w:val="00C454C5"/>
    <w:rsid w:val="00C4659F"/>
    <w:rsid w:val="00C47D03"/>
    <w:rsid w:val="00C50C9D"/>
    <w:rsid w:val="00C518E4"/>
    <w:rsid w:val="00C545A9"/>
    <w:rsid w:val="00C56A98"/>
    <w:rsid w:val="00C57F8F"/>
    <w:rsid w:val="00C62C81"/>
    <w:rsid w:val="00C63030"/>
    <w:rsid w:val="00C63269"/>
    <w:rsid w:val="00C64846"/>
    <w:rsid w:val="00C64B11"/>
    <w:rsid w:val="00C65786"/>
    <w:rsid w:val="00C65D94"/>
    <w:rsid w:val="00C65FC2"/>
    <w:rsid w:val="00C66D0B"/>
    <w:rsid w:val="00C66EB9"/>
    <w:rsid w:val="00C717A8"/>
    <w:rsid w:val="00C72E5F"/>
    <w:rsid w:val="00C7442D"/>
    <w:rsid w:val="00C757B9"/>
    <w:rsid w:val="00C7673D"/>
    <w:rsid w:val="00C76CA8"/>
    <w:rsid w:val="00C77A71"/>
    <w:rsid w:val="00C81362"/>
    <w:rsid w:val="00C8141F"/>
    <w:rsid w:val="00C82B35"/>
    <w:rsid w:val="00C82E95"/>
    <w:rsid w:val="00C83596"/>
    <w:rsid w:val="00C846AF"/>
    <w:rsid w:val="00C851EB"/>
    <w:rsid w:val="00C85947"/>
    <w:rsid w:val="00C868A8"/>
    <w:rsid w:val="00C87ACE"/>
    <w:rsid w:val="00C87CD7"/>
    <w:rsid w:val="00C90329"/>
    <w:rsid w:val="00C91EEF"/>
    <w:rsid w:val="00C92C76"/>
    <w:rsid w:val="00C93CE2"/>
    <w:rsid w:val="00C970AC"/>
    <w:rsid w:val="00CA1936"/>
    <w:rsid w:val="00CA2728"/>
    <w:rsid w:val="00CB0B07"/>
    <w:rsid w:val="00CB59C6"/>
    <w:rsid w:val="00CB5E66"/>
    <w:rsid w:val="00CB658F"/>
    <w:rsid w:val="00CC05B1"/>
    <w:rsid w:val="00CC2354"/>
    <w:rsid w:val="00CC6E01"/>
    <w:rsid w:val="00CC6F4A"/>
    <w:rsid w:val="00CC7FE4"/>
    <w:rsid w:val="00CD1A29"/>
    <w:rsid w:val="00CD4411"/>
    <w:rsid w:val="00CD4D3A"/>
    <w:rsid w:val="00CD5C1E"/>
    <w:rsid w:val="00CD6EA4"/>
    <w:rsid w:val="00CE2B5A"/>
    <w:rsid w:val="00CE391E"/>
    <w:rsid w:val="00CE5970"/>
    <w:rsid w:val="00CE5BDF"/>
    <w:rsid w:val="00CE6D58"/>
    <w:rsid w:val="00CF0A20"/>
    <w:rsid w:val="00CF30FC"/>
    <w:rsid w:val="00D01B46"/>
    <w:rsid w:val="00D01BD2"/>
    <w:rsid w:val="00D01F98"/>
    <w:rsid w:val="00D0227E"/>
    <w:rsid w:val="00D04FB2"/>
    <w:rsid w:val="00D07A7C"/>
    <w:rsid w:val="00D07D9E"/>
    <w:rsid w:val="00D103C2"/>
    <w:rsid w:val="00D11FAD"/>
    <w:rsid w:val="00D12984"/>
    <w:rsid w:val="00D152AC"/>
    <w:rsid w:val="00D1617F"/>
    <w:rsid w:val="00D16301"/>
    <w:rsid w:val="00D16CAD"/>
    <w:rsid w:val="00D1783D"/>
    <w:rsid w:val="00D200EE"/>
    <w:rsid w:val="00D26638"/>
    <w:rsid w:val="00D27AA8"/>
    <w:rsid w:val="00D27D31"/>
    <w:rsid w:val="00D32995"/>
    <w:rsid w:val="00D35EBC"/>
    <w:rsid w:val="00D41720"/>
    <w:rsid w:val="00D41D30"/>
    <w:rsid w:val="00D45B26"/>
    <w:rsid w:val="00D465C8"/>
    <w:rsid w:val="00D467C3"/>
    <w:rsid w:val="00D476AE"/>
    <w:rsid w:val="00D50510"/>
    <w:rsid w:val="00D50681"/>
    <w:rsid w:val="00D55DBD"/>
    <w:rsid w:val="00D56AC9"/>
    <w:rsid w:val="00D57D8A"/>
    <w:rsid w:val="00D61A08"/>
    <w:rsid w:val="00D63D56"/>
    <w:rsid w:val="00D65C46"/>
    <w:rsid w:val="00D66E0D"/>
    <w:rsid w:val="00D66ED5"/>
    <w:rsid w:val="00D678D5"/>
    <w:rsid w:val="00D7266F"/>
    <w:rsid w:val="00D72ACE"/>
    <w:rsid w:val="00D73934"/>
    <w:rsid w:val="00D73D21"/>
    <w:rsid w:val="00D75D6D"/>
    <w:rsid w:val="00D76740"/>
    <w:rsid w:val="00D7676D"/>
    <w:rsid w:val="00D76D14"/>
    <w:rsid w:val="00D81A34"/>
    <w:rsid w:val="00D84F28"/>
    <w:rsid w:val="00D84F6C"/>
    <w:rsid w:val="00D941DB"/>
    <w:rsid w:val="00D94BAD"/>
    <w:rsid w:val="00D966CA"/>
    <w:rsid w:val="00D96C0D"/>
    <w:rsid w:val="00D97BDD"/>
    <w:rsid w:val="00DA02D3"/>
    <w:rsid w:val="00DA1063"/>
    <w:rsid w:val="00DA2E07"/>
    <w:rsid w:val="00DA7C7A"/>
    <w:rsid w:val="00DB009C"/>
    <w:rsid w:val="00DB1161"/>
    <w:rsid w:val="00DB18A7"/>
    <w:rsid w:val="00DB20B8"/>
    <w:rsid w:val="00DB2662"/>
    <w:rsid w:val="00DB4508"/>
    <w:rsid w:val="00DB52C8"/>
    <w:rsid w:val="00DB5C76"/>
    <w:rsid w:val="00DB62E9"/>
    <w:rsid w:val="00DB68C2"/>
    <w:rsid w:val="00DC0856"/>
    <w:rsid w:val="00DC139B"/>
    <w:rsid w:val="00DC2CA1"/>
    <w:rsid w:val="00DC4FC2"/>
    <w:rsid w:val="00DC5C55"/>
    <w:rsid w:val="00DC7506"/>
    <w:rsid w:val="00DD08FD"/>
    <w:rsid w:val="00DD0AD4"/>
    <w:rsid w:val="00DD0BBF"/>
    <w:rsid w:val="00DD16F9"/>
    <w:rsid w:val="00DD22D8"/>
    <w:rsid w:val="00DD2D49"/>
    <w:rsid w:val="00DD321B"/>
    <w:rsid w:val="00DD42A2"/>
    <w:rsid w:val="00DD52B9"/>
    <w:rsid w:val="00DD5579"/>
    <w:rsid w:val="00DE0D16"/>
    <w:rsid w:val="00DE1799"/>
    <w:rsid w:val="00DE3305"/>
    <w:rsid w:val="00DE46A9"/>
    <w:rsid w:val="00DE582D"/>
    <w:rsid w:val="00DE6AD7"/>
    <w:rsid w:val="00DF1082"/>
    <w:rsid w:val="00DF16CE"/>
    <w:rsid w:val="00DF4908"/>
    <w:rsid w:val="00DF4C79"/>
    <w:rsid w:val="00DF4CD4"/>
    <w:rsid w:val="00DF4D63"/>
    <w:rsid w:val="00DF5010"/>
    <w:rsid w:val="00DF5A87"/>
    <w:rsid w:val="00DF5C39"/>
    <w:rsid w:val="00DF6A36"/>
    <w:rsid w:val="00DF711F"/>
    <w:rsid w:val="00DF7D33"/>
    <w:rsid w:val="00E004A6"/>
    <w:rsid w:val="00E00ED5"/>
    <w:rsid w:val="00E0434E"/>
    <w:rsid w:val="00E044B1"/>
    <w:rsid w:val="00E10C6A"/>
    <w:rsid w:val="00E10CF7"/>
    <w:rsid w:val="00E12646"/>
    <w:rsid w:val="00E1485C"/>
    <w:rsid w:val="00E20A19"/>
    <w:rsid w:val="00E20B20"/>
    <w:rsid w:val="00E21696"/>
    <w:rsid w:val="00E227B5"/>
    <w:rsid w:val="00E2452A"/>
    <w:rsid w:val="00E24947"/>
    <w:rsid w:val="00E263A6"/>
    <w:rsid w:val="00E263B1"/>
    <w:rsid w:val="00E26AC2"/>
    <w:rsid w:val="00E277F3"/>
    <w:rsid w:val="00E31B50"/>
    <w:rsid w:val="00E31C35"/>
    <w:rsid w:val="00E33112"/>
    <w:rsid w:val="00E3314D"/>
    <w:rsid w:val="00E34427"/>
    <w:rsid w:val="00E34E06"/>
    <w:rsid w:val="00E3514F"/>
    <w:rsid w:val="00E37740"/>
    <w:rsid w:val="00E37BF5"/>
    <w:rsid w:val="00E41DFE"/>
    <w:rsid w:val="00E445EB"/>
    <w:rsid w:val="00E44F05"/>
    <w:rsid w:val="00E4777B"/>
    <w:rsid w:val="00E52847"/>
    <w:rsid w:val="00E5297D"/>
    <w:rsid w:val="00E52F92"/>
    <w:rsid w:val="00E53260"/>
    <w:rsid w:val="00E53CC6"/>
    <w:rsid w:val="00E54E27"/>
    <w:rsid w:val="00E555EE"/>
    <w:rsid w:val="00E60426"/>
    <w:rsid w:val="00E61FF9"/>
    <w:rsid w:val="00E6202B"/>
    <w:rsid w:val="00E626C3"/>
    <w:rsid w:val="00E62B00"/>
    <w:rsid w:val="00E62D22"/>
    <w:rsid w:val="00E63BF9"/>
    <w:rsid w:val="00E650C1"/>
    <w:rsid w:val="00E653D8"/>
    <w:rsid w:val="00E65E68"/>
    <w:rsid w:val="00E71409"/>
    <w:rsid w:val="00E72C37"/>
    <w:rsid w:val="00E76478"/>
    <w:rsid w:val="00E76681"/>
    <w:rsid w:val="00E7670C"/>
    <w:rsid w:val="00E812DE"/>
    <w:rsid w:val="00E8171C"/>
    <w:rsid w:val="00E8207A"/>
    <w:rsid w:val="00E82697"/>
    <w:rsid w:val="00E85D01"/>
    <w:rsid w:val="00E865CA"/>
    <w:rsid w:val="00E86A58"/>
    <w:rsid w:val="00E877DF"/>
    <w:rsid w:val="00E96521"/>
    <w:rsid w:val="00EA0BE9"/>
    <w:rsid w:val="00EA26E3"/>
    <w:rsid w:val="00EA4407"/>
    <w:rsid w:val="00EA50FD"/>
    <w:rsid w:val="00EA5E67"/>
    <w:rsid w:val="00EA755F"/>
    <w:rsid w:val="00EB0064"/>
    <w:rsid w:val="00EB1272"/>
    <w:rsid w:val="00EB1620"/>
    <w:rsid w:val="00EB1C71"/>
    <w:rsid w:val="00EB1F1C"/>
    <w:rsid w:val="00EB2A5F"/>
    <w:rsid w:val="00EB347F"/>
    <w:rsid w:val="00EB3730"/>
    <w:rsid w:val="00EC04F5"/>
    <w:rsid w:val="00EC144E"/>
    <w:rsid w:val="00EC1BFC"/>
    <w:rsid w:val="00EC26CD"/>
    <w:rsid w:val="00EC4146"/>
    <w:rsid w:val="00EC425E"/>
    <w:rsid w:val="00EC51C2"/>
    <w:rsid w:val="00EC7ED0"/>
    <w:rsid w:val="00ED00D5"/>
    <w:rsid w:val="00ED04F7"/>
    <w:rsid w:val="00ED1653"/>
    <w:rsid w:val="00ED1FEE"/>
    <w:rsid w:val="00ED2ECF"/>
    <w:rsid w:val="00ED3C35"/>
    <w:rsid w:val="00ED4D42"/>
    <w:rsid w:val="00ED5A5F"/>
    <w:rsid w:val="00EE016F"/>
    <w:rsid w:val="00EE09B4"/>
    <w:rsid w:val="00EE0C15"/>
    <w:rsid w:val="00EE3162"/>
    <w:rsid w:val="00EE50ED"/>
    <w:rsid w:val="00EE5688"/>
    <w:rsid w:val="00EE60B3"/>
    <w:rsid w:val="00EE7249"/>
    <w:rsid w:val="00EF0F1F"/>
    <w:rsid w:val="00EF1CF7"/>
    <w:rsid w:val="00EF2EFA"/>
    <w:rsid w:val="00EF34C3"/>
    <w:rsid w:val="00EF3670"/>
    <w:rsid w:val="00EF421F"/>
    <w:rsid w:val="00EF74A4"/>
    <w:rsid w:val="00EF7D49"/>
    <w:rsid w:val="00F0256B"/>
    <w:rsid w:val="00F02B08"/>
    <w:rsid w:val="00F07AEF"/>
    <w:rsid w:val="00F10FE1"/>
    <w:rsid w:val="00F129A3"/>
    <w:rsid w:val="00F12D0A"/>
    <w:rsid w:val="00F13206"/>
    <w:rsid w:val="00F14543"/>
    <w:rsid w:val="00F14D6C"/>
    <w:rsid w:val="00F150C8"/>
    <w:rsid w:val="00F15F85"/>
    <w:rsid w:val="00F164EE"/>
    <w:rsid w:val="00F16770"/>
    <w:rsid w:val="00F17581"/>
    <w:rsid w:val="00F204BA"/>
    <w:rsid w:val="00F22C77"/>
    <w:rsid w:val="00F302AF"/>
    <w:rsid w:val="00F302B1"/>
    <w:rsid w:val="00F35FEC"/>
    <w:rsid w:val="00F369DB"/>
    <w:rsid w:val="00F40698"/>
    <w:rsid w:val="00F4168C"/>
    <w:rsid w:val="00F41CDB"/>
    <w:rsid w:val="00F44637"/>
    <w:rsid w:val="00F51D76"/>
    <w:rsid w:val="00F56A53"/>
    <w:rsid w:val="00F57CF6"/>
    <w:rsid w:val="00F609BA"/>
    <w:rsid w:val="00F61AD4"/>
    <w:rsid w:val="00F61E83"/>
    <w:rsid w:val="00F637FE"/>
    <w:rsid w:val="00F644CA"/>
    <w:rsid w:val="00F66197"/>
    <w:rsid w:val="00F74CAA"/>
    <w:rsid w:val="00F74D8F"/>
    <w:rsid w:val="00F752DB"/>
    <w:rsid w:val="00F820E8"/>
    <w:rsid w:val="00F825B9"/>
    <w:rsid w:val="00F8289D"/>
    <w:rsid w:val="00F83B4D"/>
    <w:rsid w:val="00F85F9F"/>
    <w:rsid w:val="00F8743C"/>
    <w:rsid w:val="00F90A88"/>
    <w:rsid w:val="00F91C23"/>
    <w:rsid w:val="00F92C86"/>
    <w:rsid w:val="00F92F31"/>
    <w:rsid w:val="00F93727"/>
    <w:rsid w:val="00F93817"/>
    <w:rsid w:val="00F9384C"/>
    <w:rsid w:val="00F96DD7"/>
    <w:rsid w:val="00F9756C"/>
    <w:rsid w:val="00FA25D7"/>
    <w:rsid w:val="00FA514B"/>
    <w:rsid w:val="00FA559B"/>
    <w:rsid w:val="00FA583D"/>
    <w:rsid w:val="00FA7E3A"/>
    <w:rsid w:val="00FB02B8"/>
    <w:rsid w:val="00FB4279"/>
    <w:rsid w:val="00FB6E0B"/>
    <w:rsid w:val="00FC4E29"/>
    <w:rsid w:val="00FC512A"/>
    <w:rsid w:val="00FC55EF"/>
    <w:rsid w:val="00FC70DA"/>
    <w:rsid w:val="00FC732D"/>
    <w:rsid w:val="00FD0480"/>
    <w:rsid w:val="00FD0985"/>
    <w:rsid w:val="00FD0FFC"/>
    <w:rsid w:val="00FD2AC4"/>
    <w:rsid w:val="00FD2C17"/>
    <w:rsid w:val="00FD5D75"/>
    <w:rsid w:val="00FE0264"/>
    <w:rsid w:val="00FE0356"/>
    <w:rsid w:val="00FE2B5B"/>
    <w:rsid w:val="00FE5D94"/>
    <w:rsid w:val="00FE7A3E"/>
    <w:rsid w:val="00FF0680"/>
    <w:rsid w:val="00FF090F"/>
    <w:rsid w:val="00FF0C85"/>
    <w:rsid w:val="00FF340B"/>
    <w:rsid w:val="00FF356A"/>
    <w:rsid w:val="00FF3A52"/>
    <w:rsid w:val="00FF3B05"/>
    <w:rsid w:val="00FF4B07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4B9F321"/>
  <w15:docId w15:val="{F7000B29-4CCC-4343-BE40-FE9C3660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4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30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4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A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A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A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A7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73660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styleId="Revision">
    <w:name w:val="Revision"/>
    <w:hidden/>
    <w:uiPriority w:val="99"/>
    <w:semiHidden/>
    <w:rsid w:val="00C00BA2"/>
    <w:pPr>
      <w:spacing w:after="0" w:line="240" w:lineRule="auto"/>
    </w:pPr>
  </w:style>
  <w:style w:type="paragraph" w:customStyle="1" w:styleId="Body">
    <w:name w:val="Body"/>
    <w:rsid w:val="002552D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n-AU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1A2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4AC"/>
  </w:style>
  <w:style w:type="paragraph" w:styleId="Footer">
    <w:name w:val="footer"/>
    <w:basedOn w:val="Normal"/>
    <w:link w:val="FooterChar"/>
    <w:uiPriority w:val="99"/>
    <w:unhideWhenUsed/>
    <w:rsid w:val="001A24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4AC"/>
  </w:style>
  <w:style w:type="paragraph" w:styleId="FootnoteText">
    <w:name w:val="footnote text"/>
    <w:basedOn w:val="Normal"/>
    <w:link w:val="FootnoteTextChar"/>
    <w:uiPriority w:val="99"/>
    <w:semiHidden/>
    <w:unhideWhenUsed/>
    <w:rsid w:val="00C835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5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3596"/>
    <w:rPr>
      <w:vertAlign w:val="superscript"/>
    </w:rPr>
  </w:style>
  <w:style w:type="character" w:customStyle="1" w:styleId="e24kjd">
    <w:name w:val="e24kjd"/>
    <w:basedOn w:val="DefaultParagraphFont"/>
    <w:rsid w:val="004E3AD0"/>
  </w:style>
  <w:style w:type="character" w:customStyle="1" w:styleId="Heading1Char">
    <w:name w:val="Heading 1 Char"/>
    <w:basedOn w:val="DefaultParagraphFont"/>
    <w:link w:val="Heading1"/>
    <w:uiPriority w:val="9"/>
    <w:rsid w:val="009714AC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D8222BB6FBA4198F3BA9B0EAEAF5F" ma:contentTypeVersion="0" ma:contentTypeDescription="Create a new document." ma:contentTypeScope="" ma:versionID="9f4a03c0629b972784aca14cdd06b6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00DA5-CC5D-4D39-AE67-27E1176C19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BDDB6-2A58-4FEB-B1C1-30D43618B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46F624-1CDD-4796-8C42-0007EC0D194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933D10-8F1A-45C8-9328-E9C591E5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Conditions for easing remote area travel restrictions</vt:lpstr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Remote framework – conditions for easing remote area travel restrictions</dc:title>
  <dc:subject>Aboriginal and Torres Strait Islander health; Communicable diseases; Emergency health management</dc:subject>
  <dc:creator>Australian Government Department of Health</dc:creator>
  <cp:keywords>coronavirus; covid-19; travel restrictions; remote areas; remote communities</cp:keywords>
  <dc:description/>
  <cp:lastModifiedBy>McCay, Meryl</cp:lastModifiedBy>
  <cp:revision>7</cp:revision>
  <cp:lastPrinted>2020-05-18T04:38:00Z</cp:lastPrinted>
  <dcterms:created xsi:type="dcterms:W3CDTF">2020-05-18T04:35:00Z</dcterms:created>
  <dcterms:modified xsi:type="dcterms:W3CDTF">2020-05-18T08:17:00Z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0x010100856D8222BB6FBA4198F3BA9B0EAEAF5F</vt:lpwstr>
  </property>
</Properties>
</file>