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3D0F9" w14:textId="5AC66A16" w:rsidR="00D42BC3" w:rsidRPr="00980A0F" w:rsidRDefault="00D42BC3" w:rsidP="00980A0F">
      <w:pPr>
        <w:tabs>
          <w:tab w:val="left" w:pos="0"/>
          <w:tab w:val="left" w:pos="3828"/>
          <w:tab w:val="center" w:pos="4536"/>
          <w:tab w:val="right" w:pos="9015"/>
        </w:tabs>
        <w:spacing w:after="0"/>
        <w:rPr>
          <w:noProof/>
          <w:szCs w:val="24"/>
          <w:lang w:eastAsia="en-AU"/>
        </w:rPr>
      </w:pPr>
      <w:r w:rsidRPr="00913DAD">
        <w:rPr>
          <w:noProof/>
          <w:szCs w:val="24"/>
          <w:lang w:eastAsia="en-AU"/>
        </w:rPr>
        <w:drawing>
          <wp:inline distT="0" distB="0" distL="0" distR="0" wp14:anchorId="63C6D0CE" wp14:editId="4B8DE6A2">
            <wp:extent cx="2076450" cy="495300"/>
            <wp:effectExtent l="0" t="0" r="0" b="0"/>
            <wp:docPr id="1"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6450" cy="495300"/>
                    </a:xfrm>
                    <a:prstGeom prst="rect">
                      <a:avLst/>
                    </a:prstGeom>
                    <a:noFill/>
                    <a:ln>
                      <a:noFill/>
                    </a:ln>
                  </pic:spPr>
                </pic:pic>
              </a:graphicData>
            </a:graphic>
          </wp:inline>
        </w:drawing>
      </w:r>
      <w:r w:rsidR="00980A0F">
        <w:rPr>
          <w:noProof/>
          <w:szCs w:val="24"/>
          <w:lang w:eastAsia="en-AU"/>
        </w:rPr>
        <w:tab/>
      </w:r>
      <w:r w:rsidR="00980A0F">
        <w:rPr>
          <w:noProof/>
          <w:szCs w:val="24"/>
          <w:lang w:eastAsia="en-AU"/>
        </w:rPr>
        <w:tab/>
      </w:r>
      <w:r w:rsidRPr="00913DAD">
        <w:rPr>
          <w:rStyle w:val="SubtleReference"/>
          <w:rFonts w:ascii="Times New Roman" w:hAnsi="Times New Roman" w:cs="Times New Roman"/>
          <w:szCs w:val="24"/>
        </w:rPr>
        <w:t>Australian Health Protection Principal Committee</w:t>
      </w:r>
    </w:p>
    <w:p w14:paraId="386B92D1" w14:textId="77777777" w:rsidR="004205E0" w:rsidRPr="00AC07E1" w:rsidRDefault="009349A0" w:rsidP="00980A0F">
      <w:pPr>
        <w:pStyle w:val="Heading1"/>
      </w:pPr>
      <w:r w:rsidRPr="00980A0F">
        <w:t>C</w:t>
      </w:r>
      <w:r w:rsidR="004205E0" w:rsidRPr="00980A0F">
        <w:t>ORONAVIRUS</w:t>
      </w:r>
      <w:r w:rsidR="004205E0" w:rsidRPr="00AC07E1">
        <w:t xml:space="preserve"> (COVID-19) IN AUSTRALIA – PANDEMIC</w:t>
      </w:r>
      <w:r w:rsidR="00CC2BE1" w:rsidRPr="00AC07E1">
        <w:t xml:space="preserve"> HEALTH</w:t>
      </w:r>
      <w:r w:rsidR="004205E0" w:rsidRPr="00AC07E1">
        <w:t xml:space="preserve"> INTELLIGENCE PLAN</w:t>
      </w:r>
    </w:p>
    <w:p w14:paraId="2959C361" w14:textId="77777777" w:rsidR="004147C7" w:rsidRPr="00E53AB0" w:rsidRDefault="004147C7" w:rsidP="00E53AB0">
      <w:pPr>
        <w:pStyle w:val="Heading1"/>
        <w:jc w:val="left"/>
        <w:rPr>
          <w:szCs w:val="24"/>
          <w:lang w:val="en"/>
        </w:rPr>
      </w:pPr>
      <w:r w:rsidRPr="00E53AB0">
        <w:rPr>
          <w:szCs w:val="24"/>
          <w:lang w:val="en"/>
        </w:rPr>
        <w:t>BACKGROUND</w:t>
      </w:r>
    </w:p>
    <w:p w14:paraId="73A92BB0" w14:textId="748DFEE1" w:rsidR="00415186" w:rsidRPr="00F85667" w:rsidRDefault="009B7766" w:rsidP="009349A0">
      <w:pPr>
        <w:rPr>
          <w:szCs w:val="24"/>
        </w:rPr>
      </w:pPr>
      <w:r w:rsidRPr="00E53AB0">
        <w:rPr>
          <w:rFonts w:cstheme="minorHAnsi"/>
          <w:szCs w:val="24"/>
        </w:rPr>
        <w:t>At National Cabinet on 16 April 20</w:t>
      </w:r>
      <w:r w:rsidRPr="00717D1A">
        <w:rPr>
          <w:rFonts w:cstheme="minorHAnsi"/>
          <w:szCs w:val="24"/>
        </w:rPr>
        <w:t xml:space="preserve">20, it was agreed that the </w:t>
      </w:r>
      <w:r w:rsidR="0051113D">
        <w:rPr>
          <w:rFonts w:cstheme="minorHAnsi"/>
          <w:szCs w:val="24"/>
        </w:rPr>
        <w:t>n</w:t>
      </w:r>
      <w:r w:rsidRPr="00717D1A">
        <w:rPr>
          <w:rFonts w:cstheme="minorHAnsi"/>
          <w:szCs w:val="24"/>
        </w:rPr>
        <w:t xml:space="preserve">ational strategy would continue to be one of </w:t>
      </w:r>
      <w:r w:rsidR="007C2C0F" w:rsidRPr="00717D1A">
        <w:rPr>
          <w:rFonts w:cstheme="minorHAnsi"/>
          <w:szCs w:val="24"/>
        </w:rPr>
        <w:t>suppression</w:t>
      </w:r>
      <w:r w:rsidRPr="008F5CFA">
        <w:rPr>
          <w:rFonts w:cstheme="minorHAnsi"/>
          <w:szCs w:val="24"/>
        </w:rPr>
        <w:t xml:space="preserve">, </w:t>
      </w:r>
      <w:r w:rsidR="00B1645A">
        <w:rPr>
          <w:rFonts w:cstheme="minorHAnsi"/>
          <w:szCs w:val="24"/>
        </w:rPr>
        <w:t xml:space="preserve">with potential </w:t>
      </w:r>
      <w:r w:rsidR="0051113D">
        <w:rPr>
          <w:rFonts w:cstheme="minorHAnsi"/>
          <w:szCs w:val="24"/>
        </w:rPr>
        <w:t>to eliminate the virus</w:t>
      </w:r>
      <w:r w:rsidR="007C2C0F">
        <w:rPr>
          <w:rFonts w:cstheme="minorHAnsi"/>
          <w:szCs w:val="24"/>
        </w:rPr>
        <w:t xml:space="preserve"> </w:t>
      </w:r>
      <w:r w:rsidR="00B1645A">
        <w:rPr>
          <w:rFonts w:cstheme="minorHAnsi"/>
          <w:szCs w:val="24"/>
        </w:rPr>
        <w:t>in some areas of the country</w:t>
      </w:r>
      <w:r w:rsidRPr="008F5CFA">
        <w:rPr>
          <w:rFonts w:cstheme="minorHAnsi"/>
          <w:szCs w:val="24"/>
        </w:rPr>
        <w:t>.</w:t>
      </w:r>
      <w:r w:rsidRPr="00717D1A">
        <w:rPr>
          <w:rFonts w:cstheme="minorHAnsi"/>
          <w:szCs w:val="24"/>
        </w:rPr>
        <w:t xml:space="preserve"> </w:t>
      </w:r>
      <w:r w:rsidR="009349A0">
        <w:rPr>
          <w:rFonts w:cstheme="minorHAnsi"/>
          <w:szCs w:val="24"/>
        </w:rPr>
        <w:t>A</w:t>
      </w:r>
      <w:r w:rsidR="00415186" w:rsidRPr="00F85667">
        <w:rPr>
          <w:szCs w:val="24"/>
        </w:rPr>
        <w:t>chieving success in reducing the health impacts of COVID-19 on the population has come at wider health, social and economic costs</w:t>
      </w:r>
      <w:r w:rsidR="009349A0">
        <w:rPr>
          <w:szCs w:val="24"/>
        </w:rPr>
        <w:t>.</w:t>
      </w:r>
      <w:r w:rsidR="00F85667" w:rsidRPr="00F85667">
        <w:rPr>
          <w:szCs w:val="24"/>
        </w:rPr>
        <w:t xml:space="preserve"> </w:t>
      </w:r>
      <w:r w:rsidR="009349A0">
        <w:rPr>
          <w:szCs w:val="24"/>
        </w:rPr>
        <w:t>T</w:t>
      </w:r>
      <w:r w:rsidR="00415186" w:rsidRPr="00F85667">
        <w:rPr>
          <w:szCs w:val="24"/>
        </w:rPr>
        <w:t xml:space="preserve">hese need to </w:t>
      </w:r>
      <w:r w:rsidR="001420E1">
        <w:rPr>
          <w:szCs w:val="24"/>
        </w:rPr>
        <w:t xml:space="preserve">continue to </w:t>
      </w:r>
      <w:r w:rsidR="00415186" w:rsidRPr="00F85667">
        <w:rPr>
          <w:szCs w:val="24"/>
        </w:rPr>
        <w:t>be balanced in planning for the next phases of the response.</w:t>
      </w:r>
      <w:r w:rsidR="00980A0F">
        <w:rPr>
          <w:rFonts w:cstheme="minorHAnsi"/>
          <w:szCs w:val="24"/>
        </w:rPr>
        <w:t xml:space="preserve"> </w:t>
      </w:r>
    </w:p>
    <w:p w14:paraId="3BFDFBC5" w14:textId="110A0B67" w:rsidR="004C4427" w:rsidRPr="00B1645A" w:rsidRDefault="009349A0" w:rsidP="00B1645A">
      <w:pPr>
        <w:rPr>
          <w:rFonts w:ascii="Calibri" w:hAnsi="Calibri" w:cs="Calibri"/>
          <w:szCs w:val="24"/>
          <w:lang w:val="en"/>
        </w:rPr>
      </w:pPr>
      <w:r>
        <w:rPr>
          <w:rFonts w:cstheme="minorHAnsi"/>
          <w:szCs w:val="24"/>
        </w:rPr>
        <w:t>The Australian Health Protection Principal Committee (AHPPC) has established</w:t>
      </w:r>
      <w:r w:rsidR="004147C7" w:rsidRPr="00E53AB0">
        <w:rPr>
          <w:rFonts w:cstheme="minorHAnsi"/>
          <w:szCs w:val="24"/>
        </w:rPr>
        <w:t xml:space="preserve"> a set of precedent conditions necessary before </w:t>
      </w:r>
      <w:r w:rsidR="0051113D">
        <w:rPr>
          <w:rFonts w:cstheme="minorHAnsi"/>
          <w:szCs w:val="24"/>
        </w:rPr>
        <w:t>it considers adjusting</w:t>
      </w:r>
      <w:r w:rsidR="004147C7" w:rsidRPr="00E53AB0">
        <w:rPr>
          <w:rFonts w:cstheme="minorHAnsi"/>
          <w:szCs w:val="24"/>
        </w:rPr>
        <w:t xml:space="preserve"> any of the public health measures currently implemented. </w:t>
      </w:r>
      <w:r w:rsidDel="00817A2A">
        <w:rPr>
          <w:rFonts w:cstheme="minorHAnsi"/>
          <w:szCs w:val="24"/>
        </w:rPr>
        <w:t>F</w:t>
      </w:r>
      <w:r w:rsidR="005A53E3" w:rsidRPr="00E53AB0" w:rsidDel="00817A2A">
        <w:rPr>
          <w:rFonts w:cstheme="minorHAnsi"/>
          <w:szCs w:val="24"/>
        </w:rPr>
        <w:t xml:space="preserve">uture </w:t>
      </w:r>
      <w:r w:rsidR="005A53E3" w:rsidRPr="00E53AB0" w:rsidDel="00817A2A">
        <w:rPr>
          <w:rFonts w:ascii="Calibri" w:hAnsi="Calibri" w:cs="Calibri"/>
          <w:szCs w:val="24"/>
          <w:lang w:val="en"/>
        </w:rPr>
        <w:t xml:space="preserve">actions should be guided by objective measures and </w:t>
      </w:r>
      <w:r w:rsidR="009B7766" w:rsidRPr="00E53AB0" w:rsidDel="00817A2A">
        <w:rPr>
          <w:rFonts w:ascii="Calibri" w:hAnsi="Calibri" w:cs="Calibri"/>
          <w:szCs w:val="24"/>
          <w:lang w:val="en"/>
        </w:rPr>
        <w:t xml:space="preserve">indicators, and </w:t>
      </w:r>
      <w:r w:rsidR="005A53E3" w:rsidRPr="00E53AB0" w:rsidDel="00817A2A">
        <w:rPr>
          <w:rFonts w:ascii="Calibri" w:hAnsi="Calibri" w:cs="Calibri"/>
          <w:szCs w:val="24"/>
          <w:lang w:val="en"/>
        </w:rPr>
        <w:t>evaluated with pre-determin</w:t>
      </w:r>
      <w:r w:rsidR="00CB0A86" w:rsidDel="00817A2A">
        <w:rPr>
          <w:rFonts w:ascii="Calibri" w:hAnsi="Calibri" w:cs="Calibri"/>
          <w:szCs w:val="24"/>
          <w:lang w:val="en"/>
        </w:rPr>
        <w:t xml:space="preserve">ed metrics. </w:t>
      </w:r>
      <w:r w:rsidRPr="00CD69F4">
        <w:rPr>
          <w:rFonts w:cstheme="minorHAnsi"/>
          <w:szCs w:val="24"/>
        </w:rPr>
        <w:t>Appendix 1</w:t>
      </w:r>
      <w:r>
        <w:rPr>
          <w:rFonts w:cstheme="minorHAnsi"/>
          <w:szCs w:val="24"/>
        </w:rPr>
        <w:t xml:space="preserve"> provides a summary of the current status of each of these precedent conditions. </w:t>
      </w:r>
    </w:p>
    <w:p w14:paraId="19B07FB9" w14:textId="38EAC5CF" w:rsidR="004147C7" w:rsidRPr="00E53AB0" w:rsidRDefault="009349A0" w:rsidP="00E53AB0">
      <w:pPr>
        <w:rPr>
          <w:rFonts w:cstheme="minorHAnsi"/>
          <w:szCs w:val="24"/>
        </w:rPr>
      </w:pPr>
      <w:r>
        <w:rPr>
          <w:rFonts w:cstheme="minorHAnsi"/>
          <w:szCs w:val="24"/>
        </w:rPr>
        <w:t>AHPPC</w:t>
      </w:r>
      <w:r w:rsidR="006E4825">
        <w:rPr>
          <w:rFonts w:cstheme="minorHAnsi"/>
          <w:szCs w:val="24"/>
        </w:rPr>
        <w:t xml:space="preserve"> need</w:t>
      </w:r>
      <w:r>
        <w:rPr>
          <w:rFonts w:cstheme="minorHAnsi"/>
          <w:szCs w:val="24"/>
        </w:rPr>
        <w:t>s</w:t>
      </w:r>
      <w:r w:rsidR="006E4825" w:rsidRPr="00E53AB0">
        <w:rPr>
          <w:rFonts w:cstheme="minorHAnsi"/>
          <w:szCs w:val="24"/>
        </w:rPr>
        <w:t xml:space="preserve"> </w:t>
      </w:r>
      <w:r w:rsidR="0072767A" w:rsidRPr="00E53AB0">
        <w:rPr>
          <w:rFonts w:cstheme="minorHAnsi"/>
          <w:szCs w:val="24"/>
        </w:rPr>
        <w:t xml:space="preserve">a more comprehensive awareness of the current measures and their impact, and further development of a </w:t>
      </w:r>
      <w:r w:rsidR="00FC6613">
        <w:rPr>
          <w:rFonts w:cstheme="minorHAnsi"/>
          <w:szCs w:val="24"/>
        </w:rPr>
        <w:t xml:space="preserve">disease </w:t>
      </w:r>
      <w:r w:rsidR="0072767A" w:rsidRPr="00E53AB0">
        <w:rPr>
          <w:rFonts w:cstheme="minorHAnsi"/>
          <w:szCs w:val="24"/>
        </w:rPr>
        <w:t>surveillance plan to guide future decision</w:t>
      </w:r>
      <w:r w:rsidR="0051113D">
        <w:rPr>
          <w:rFonts w:cstheme="minorHAnsi"/>
          <w:szCs w:val="24"/>
        </w:rPr>
        <w:t>-</w:t>
      </w:r>
      <w:r w:rsidR="0072767A" w:rsidRPr="00E53AB0">
        <w:rPr>
          <w:rFonts w:cstheme="minorHAnsi"/>
          <w:szCs w:val="24"/>
        </w:rPr>
        <w:t>making.</w:t>
      </w:r>
      <w:r w:rsidR="00980A0F">
        <w:rPr>
          <w:rFonts w:cstheme="minorHAnsi"/>
          <w:szCs w:val="24"/>
        </w:rPr>
        <w:t xml:space="preserve"> </w:t>
      </w:r>
      <w:r w:rsidR="0072767A" w:rsidRPr="00E53AB0">
        <w:rPr>
          <w:rFonts w:cstheme="minorHAnsi"/>
          <w:szCs w:val="24"/>
        </w:rPr>
        <w:t xml:space="preserve">This requires </w:t>
      </w:r>
      <w:r w:rsidR="004147C7" w:rsidRPr="00E53AB0">
        <w:rPr>
          <w:rFonts w:cstheme="minorHAnsi"/>
          <w:szCs w:val="24"/>
        </w:rPr>
        <w:t xml:space="preserve">surveillance </w:t>
      </w:r>
      <w:r w:rsidR="00FC6613">
        <w:rPr>
          <w:rFonts w:cstheme="minorHAnsi"/>
          <w:szCs w:val="24"/>
        </w:rPr>
        <w:t>of disease incidence and spread; and monitoring of</w:t>
      </w:r>
      <w:r w:rsidR="004147C7" w:rsidRPr="00E53AB0">
        <w:rPr>
          <w:rFonts w:cstheme="minorHAnsi"/>
          <w:szCs w:val="24"/>
        </w:rPr>
        <w:t xml:space="preserve"> health system status, public health capabilities, stocks of </w:t>
      </w:r>
      <w:r w:rsidR="0054676E">
        <w:rPr>
          <w:rFonts w:cstheme="minorHAnsi"/>
          <w:szCs w:val="24"/>
        </w:rPr>
        <w:t>material</w:t>
      </w:r>
      <w:r w:rsidR="00FC6613">
        <w:rPr>
          <w:rFonts w:cstheme="minorHAnsi"/>
          <w:szCs w:val="24"/>
        </w:rPr>
        <w:t>,</w:t>
      </w:r>
      <w:r w:rsidR="004147C7" w:rsidRPr="00E53AB0">
        <w:rPr>
          <w:rFonts w:cstheme="minorHAnsi"/>
          <w:szCs w:val="24"/>
        </w:rPr>
        <w:t xml:space="preserve"> and community </w:t>
      </w:r>
      <w:r w:rsidR="000F54EF">
        <w:rPr>
          <w:rFonts w:cstheme="minorHAnsi"/>
          <w:szCs w:val="24"/>
        </w:rPr>
        <w:t xml:space="preserve">acceptance and </w:t>
      </w:r>
      <w:r w:rsidR="004147C7" w:rsidRPr="00E53AB0">
        <w:rPr>
          <w:rFonts w:cstheme="minorHAnsi"/>
          <w:szCs w:val="24"/>
        </w:rPr>
        <w:t>adhe</w:t>
      </w:r>
      <w:r w:rsidR="0072767A" w:rsidRPr="00E53AB0">
        <w:rPr>
          <w:rFonts w:cstheme="minorHAnsi"/>
          <w:szCs w:val="24"/>
        </w:rPr>
        <w:t>rence to public health measures.</w:t>
      </w:r>
      <w:r w:rsidR="00980A0F">
        <w:rPr>
          <w:rFonts w:cstheme="minorHAnsi"/>
          <w:szCs w:val="24"/>
        </w:rPr>
        <w:t xml:space="preserve"> </w:t>
      </w:r>
    </w:p>
    <w:p w14:paraId="232096CE" w14:textId="0C70ED55" w:rsidR="00750636" w:rsidRPr="005A67CF" w:rsidRDefault="00243790" w:rsidP="00E02FDC">
      <w:r>
        <w:rPr>
          <w:rFonts w:cstheme="minorHAnsi"/>
          <w:szCs w:val="24"/>
        </w:rPr>
        <w:t xml:space="preserve">The Pandemic Health Intelligence Plan provides a framework </w:t>
      </w:r>
      <w:r w:rsidR="0051113D">
        <w:rPr>
          <w:rFonts w:cstheme="minorHAnsi"/>
          <w:szCs w:val="24"/>
        </w:rPr>
        <w:t>for collecting</w:t>
      </w:r>
      <w:r>
        <w:rPr>
          <w:rFonts w:cstheme="minorHAnsi"/>
          <w:szCs w:val="24"/>
        </w:rPr>
        <w:t xml:space="preserve"> the information</w:t>
      </w:r>
      <w:r w:rsidR="00206709">
        <w:rPr>
          <w:rFonts w:cstheme="minorHAnsi"/>
          <w:szCs w:val="24"/>
        </w:rPr>
        <w:t xml:space="preserve"> required to support decision-making </w:t>
      </w:r>
      <w:r w:rsidR="0051113D">
        <w:rPr>
          <w:rFonts w:cstheme="minorHAnsi"/>
          <w:szCs w:val="24"/>
        </w:rPr>
        <w:t xml:space="preserve">about </w:t>
      </w:r>
      <w:r w:rsidR="00206709">
        <w:rPr>
          <w:rFonts w:cstheme="minorHAnsi"/>
          <w:szCs w:val="24"/>
        </w:rPr>
        <w:t>COVID-19</w:t>
      </w:r>
      <w:r>
        <w:rPr>
          <w:rFonts w:cstheme="minorHAnsi"/>
          <w:szCs w:val="24"/>
        </w:rPr>
        <w:t>.</w:t>
      </w:r>
      <w:r w:rsidR="00980A0F">
        <w:rPr>
          <w:rFonts w:cstheme="minorHAnsi"/>
          <w:szCs w:val="24"/>
        </w:rPr>
        <w:t xml:space="preserve"> </w:t>
      </w:r>
      <w:r w:rsidR="004147C7" w:rsidRPr="00830D27">
        <w:t xml:space="preserve">Elements of this </w:t>
      </w:r>
      <w:r w:rsidR="00073C81" w:rsidRPr="00830D27">
        <w:t xml:space="preserve">plan </w:t>
      </w:r>
      <w:r w:rsidR="004147C7" w:rsidRPr="00830D27">
        <w:t xml:space="preserve">include an epidemiological disease surveillance plan, modelling inputs to planning, measures of public health capacity, </w:t>
      </w:r>
      <w:r w:rsidR="000F54EF" w:rsidRPr="00830D27">
        <w:t xml:space="preserve">measures of </w:t>
      </w:r>
      <w:r w:rsidR="004147C7" w:rsidRPr="00830D27">
        <w:t xml:space="preserve">testing capacity and the impact of any </w:t>
      </w:r>
      <w:r w:rsidR="00E53AB0" w:rsidRPr="00830D27">
        <w:t>alternative testing</w:t>
      </w:r>
      <w:r w:rsidR="004147C7" w:rsidRPr="00830D27">
        <w:t xml:space="preserve"> solutions</w:t>
      </w:r>
      <w:r w:rsidR="000F54EF" w:rsidRPr="00830D27">
        <w:t xml:space="preserve"> and supply of consumables</w:t>
      </w:r>
      <w:r w:rsidR="004147C7" w:rsidRPr="00830D27">
        <w:t xml:space="preserve">, </w:t>
      </w:r>
      <w:r w:rsidR="000F54EF" w:rsidRPr="00830D27">
        <w:t xml:space="preserve">measures of </w:t>
      </w:r>
      <w:r w:rsidR="004147C7" w:rsidRPr="00830D27">
        <w:t>health system capacity including bed and workforce availability</w:t>
      </w:r>
      <w:r w:rsidR="00E53AB0" w:rsidRPr="00830D27">
        <w:t>,</w:t>
      </w:r>
      <w:r w:rsidR="004147C7" w:rsidRPr="00830D27">
        <w:t xml:space="preserve"> </w:t>
      </w:r>
      <w:r w:rsidR="000F54EF" w:rsidRPr="00830D27">
        <w:t xml:space="preserve">measures of </w:t>
      </w:r>
      <w:r w:rsidR="004147C7" w:rsidRPr="00830D27">
        <w:t>readiness to</w:t>
      </w:r>
      <w:r w:rsidR="00206709" w:rsidRPr="00830D27">
        <w:t xml:space="preserve"> mount a</w:t>
      </w:r>
      <w:r w:rsidR="004147C7" w:rsidRPr="00830D27">
        <w:t xml:space="preserve"> surge</w:t>
      </w:r>
      <w:r w:rsidR="00206709" w:rsidRPr="00830D27">
        <w:t xml:space="preserve"> response</w:t>
      </w:r>
      <w:r w:rsidR="004147C7" w:rsidRPr="00830D27">
        <w:t xml:space="preserve"> </w:t>
      </w:r>
      <w:r w:rsidR="00E53AB0" w:rsidRPr="00830D27">
        <w:t>and</w:t>
      </w:r>
      <w:r w:rsidR="000F54EF" w:rsidRPr="00830D27">
        <w:t xml:space="preserve"> indicators of</w:t>
      </w:r>
      <w:r w:rsidR="004147C7" w:rsidRPr="00830D27">
        <w:t xml:space="preserve"> assurance of necessary supply </w:t>
      </w:r>
      <w:r w:rsidR="00FC6613" w:rsidRPr="00830D27">
        <w:t>lines.</w:t>
      </w:r>
      <w:r w:rsidR="00980A0F">
        <w:t xml:space="preserve"> </w:t>
      </w:r>
      <w:r w:rsidR="004147C7" w:rsidRPr="00830D27">
        <w:t xml:space="preserve">Once </w:t>
      </w:r>
      <w:r w:rsidR="00073C81" w:rsidRPr="00830D27">
        <w:t xml:space="preserve">the systems to collect the required information are </w:t>
      </w:r>
      <w:r w:rsidR="004147C7" w:rsidRPr="00830D27">
        <w:t>in place</w:t>
      </w:r>
      <w:r w:rsidR="005A67CF" w:rsidRPr="00830D27">
        <w:t>,</w:t>
      </w:r>
      <w:r w:rsidR="004147C7" w:rsidRPr="00830D27">
        <w:t xml:space="preserve"> these metrics will support decision making to </w:t>
      </w:r>
      <w:r w:rsidR="006B4CDF" w:rsidRPr="00830D27">
        <w:t>adjust</w:t>
      </w:r>
      <w:r w:rsidR="004147C7" w:rsidRPr="00830D27">
        <w:t xml:space="preserve"> </w:t>
      </w:r>
      <w:r w:rsidR="00FC6613" w:rsidRPr="00830D27">
        <w:t>measures</w:t>
      </w:r>
      <w:r w:rsidR="00073C81" w:rsidRPr="00830D27">
        <w:t xml:space="preserve">. </w:t>
      </w:r>
      <w:r w:rsidR="005A67CF" w:rsidRPr="00830D27">
        <w:t>AHPP</w:t>
      </w:r>
      <w:r w:rsidR="00FC6613" w:rsidRPr="00830D27">
        <w:t xml:space="preserve">C strongly recommends that any </w:t>
      </w:r>
      <w:r w:rsidR="005A67CF" w:rsidRPr="00830D27">
        <w:t>adjustments</w:t>
      </w:r>
      <w:r w:rsidR="00D718F5" w:rsidRPr="00830D27">
        <w:t xml:space="preserve"> to measures</w:t>
      </w:r>
      <w:r w:rsidR="004147C7" w:rsidRPr="00830D27">
        <w:t xml:space="preserve"> </w:t>
      </w:r>
      <w:r w:rsidR="00FC6613" w:rsidRPr="00830D27">
        <w:t>are</w:t>
      </w:r>
      <w:r w:rsidR="004147C7" w:rsidRPr="00830D27">
        <w:t xml:space="preserve"> gradual and step</w:t>
      </w:r>
      <w:r w:rsidR="0051113D">
        <w:t xml:space="preserve">ped </w:t>
      </w:r>
      <w:r w:rsidR="004147C7" w:rsidRPr="00830D27">
        <w:t xml:space="preserve">to allow </w:t>
      </w:r>
      <w:r w:rsidR="00073C81" w:rsidRPr="00830D27">
        <w:t xml:space="preserve">the </w:t>
      </w:r>
      <w:r w:rsidR="004147C7" w:rsidRPr="00830D27">
        <w:t xml:space="preserve">impact </w:t>
      </w:r>
      <w:r w:rsidR="0051113D">
        <w:t xml:space="preserve">to be assessed </w:t>
      </w:r>
      <w:r w:rsidR="004147C7" w:rsidRPr="00830D27">
        <w:t xml:space="preserve">before further </w:t>
      </w:r>
      <w:r w:rsidR="006B4CDF" w:rsidRPr="00830D27">
        <w:t>adjustment.</w:t>
      </w:r>
      <w:r w:rsidR="006B4CDF" w:rsidRPr="00E53AB0">
        <w:t xml:space="preserve"> </w:t>
      </w:r>
    </w:p>
    <w:p w14:paraId="344611F6" w14:textId="77777777" w:rsidR="00750636" w:rsidRPr="00E53AB0" w:rsidRDefault="00E53AB0" w:rsidP="00E53AB0">
      <w:pPr>
        <w:pStyle w:val="Heading1"/>
        <w:jc w:val="left"/>
        <w:rPr>
          <w:szCs w:val="24"/>
          <w:lang w:val="en"/>
        </w:rPr>
      </w:pPr>
      <w:r>
        <w:rPr>
          <w:szCs w:val="24"/>
          <w:lang w:val="en"/>
        </w:rPr>
        <w:t>PANDEMIC INTELLIGENCE COL</w:t>
      </w:r>
      <w:r w:rsidRPr="00E53AB0">
        <w:rPr>
          <w:szCs w:val="24"/>
          <w:lang w:val="en"/>
        </w:rPr>
        <w:t>L</w:t>
      </w:r>
      <w:r>
        <w:rPr>
          <w:szCs w:val="24"/>
          <w:lang w:val="en"/>
        </w:rPr>
        <w:t>E</w:t>
      </w:r>
      <w:r w:rsidRPr="00E53AB0">
        <w:rPr>
          <w:szCs w:val="24"/>
          <w:lang w:val="en"/>
        </w:rPr>
        <w:t>CTION</w:t>
      </w:r>
    </w:p>
    <w:p w14:paraId="509F8548" w14:textId="633E2393" w:rsidR="00FA4A19" w:rsidRDefault="0051649E" w:rsidP="00E53AB0">
      <w:pPr>
        <w:rPr>
          <w:rFonts w:cstheme="minorHAnsi"/>
          <w:szCs w:val="24"/>
        </w:rPr>
      </w:pPr>
      <w:r>
        <w:t xml:space="preserve">Once containment of disease, </w:t>
      </w:r>
      <w:r w:rsidR="009349A0">
        <w:t xml:space="preserve">physical </w:t>
      </w:r>
      <w:r>
        <w:t xml:space="preserve">distancing and other public health-related measures have </w:t>
      </w:r>
      <w:r w:rsidR="0051113D">
        <w:t>r</w:t>
      </w:r>
      <w:r w:rsidR="0012688C">
        <w:t>e</w:t>
      </w:r>
      <w:r w:rsidR="0051113D">
        <w:t>duced</w:t>
      </w:r>
      <w:r>
        <w:t xml:space="preserve"> transmission</w:t>
      </w:r>
      <w:r w:rsidR="0051113D">
        <w:t xml:space="preserve">, </w:t>
      </w:r>
      <w:r w:rsidDel="00830D27">
        <w:t>enhanced surveillance systems which are capable of confirming the residual level of transmission in the community are required. The</w:t>
      </w:r>
      <w:r w:rsidR="0012688C">
        <w:t>se</w:t>
      </w:r>
      <w:r w:rsidDel="00830D27">
        <w:t xml:space="preserve"> systems must be able to detect and control early transmission resulting from reintroductions of disease into the community once measures begin to be relaxed</w:t>
      </w:r>
      <w:r w:rsidR="0012688C">
        <w:t xml:space="preserve">. They </w:t>
      </w:r>
      <w:r w:rsidDel="00830D27">
        <w:t xml:space="preserve">must </w:t>
      </w:r>
      <w:r w:rsidR="0012688C">
        <w:t xml:space="preserve">also </w:t>
      </w:r>
      <w:r w:rsidDel="00830D27">
        <w:t>enable a rapid response to achieve strong containment.</w:t>
      </w:r>
      <w:r w:rsidR="00980A0F">
        <w:t xml:space="preserve"> </w:t>
      </w:r>
      <w:r w:rsidDel="00830D27">
        <w:t xml:space="preserve">A resurgence of community transmission cannot be </w:t>
      </w:r>
      <w:r w:rsidR="00D718F5" w:rsidDel="00830D27">
        <w:t>rapidly detected by the current level of</w:t>
      </w:r>
      <w:r w:rsidDel="00830D27">
        <w:t xml:space="preserve"> passive surveillance of symptomatic presentations</w:t>
      </w:r>
      <w:r w:rsidR="0012688C">
        <w:t xml:space="preserve">. This is why </w:t>
      </w:r>
      <w:r w:rsidR="00D718F5" w:rsidDel="00830D27">
        <w:t xml:space="preserve">enhanced testing and surveillance </w:t>
      </w:r>
      <w:r w:rsidR="0012688C">
        <w:t>are</w:t>
      </w:r>
      <w:r w:rsidR="0012688C" w:rsidDel="00830D27">
        <w:t xml:space="preserve"> </w:t>
      </w:r>
      <w:r w:rsidR="00D718F5" w:rsidDel="00830D27">
        <w:t>required</w:t>
      </w:r>
      <w:r w:rsidR="000A1E6C" w:rsidDel="00830D27">
        <w:t>.</w:t>
      </w:r>
      <w:r w:rsidR="0012688C">
        <w:t xml:space="preserve"> T</w:t>
      </w:r>
      <w:r w:rsidR="00E53AB0" w:rsidRPr="00E53AB0">
        <w:rPr>
          <w:rFonts w:cstheme="minorHAnsi"/>
          <w:szCs w:val="24"/>
        </w:rPr>
        <w:t>he decision to adjust measures will require an understanding of a number of interdependent</w:t>
      </w:r>
      <w:r w:rsidR="0012688C">
        <w:rPr>
          <w:rFonts w:cstheme="minorHAnsi"/>
          <w:szCs w:val="24"/>
        </w:rPr>
        <w:t xml:space="preserve"> metrics</w:t>
      </w:r>
      <w:r w:rsidR="00E53AB0" w:rsidRPr="00E53AB0">
        <w:rPr>
          <w:rFonts w:cstheme="minorHAnsi"/>
          <w:szCs w:val="24"/>
        </w:rPr>
        <w:t>.</w:t>
      </w:r>
      <w:r w:rsidR="00980A0F">
        <w:rPr>
          <w:rFonts w:cstheme="minorHAnsi"/>
          <w:szCs w:val="24"/>
        </w:rPr>
        <w:t xml:space="preserve"> </w:t>
      </w:r>
      <w:r w:rsidR="00E53AB0" w:rsidRPr="00E53AB0">
        <w:rPr>
          <w:rFonts w:cstheme="minorHAnsi"/>
          <w:szCs w:val="24"/>
        </w:rPr>
        <w:t>These are</w:t>
      </w:r>
      <w:r w:rsidR="00FA4A19">
        <w:rPr>
          <w:rFonts w:cstheme="minorHAnsi"/>
          <w:szCs w:val="24"/>
        </w:rPr>
        <w:t xml:space="preserve"> grouped into four broad intelligence inputs: </w:t>
      </w:r>
    </w:p>
    <w:p w14:paraId="12C8F1B4" w14:textId="77777777" w:rsidR="00FA4A19" w:rsidRPr="00E53AB0" w:rsidRDefault="00FA4A19" w:rsidP="00140185">
      <w:pPr>
        <w:pStyle w:val="ListParagraph"/>
        <w:numPr>
          <w:ilvl w:val="0"/>
          <w:numId w:val="10"/>
        </w:numPr>
        <w:ind w:left="567" w:hanging="567"/>
        <w:rPr>
          <w:szCs w:val="24"/>
        </w:rPr>
      </w:pPr>
      <w:r w:rsidRPr="00E53AB0">
        <w:rPr>
          <w:szCs w:val="24"/>
        </w:rPr>
        <w:t>Epidemiological situation</w:t>
      </w:r>
    </w:p>
    <w:p w14:paraId="41ED3200" w14:textId="35AC0550" w:rsidR="00FA4A19" w:rsidRPr="00E53AB0" w:rsidRDefault="00FA4A19" w:rsidP="00140185">
      <w:pPr>
        <w:pStyle w:val="ListParagraph"/>
        <w:numPr>
          <w:ilvl w:val="0"/>
          <w:numId w:val="10"/>
        </w:numPr>
        <w:ind w:left="567" w:hanging="567"/>
        <w:rPr>
          <w:szCs w:val="24"/>
        </w:rPr>
      </w:pPr>
      <w:r w:rsidRPr="00E53AB0">
        <w:rPr>
          <w:szCs w:val="24"/>
        </w:rPr>
        <w:t xml:space="preserve">Public </w:t>
      </w:r>
      <w:r w:rsidR="0012688C">
        <w:rPr>
          <w:szCs w:val="24"/>
        </w:rPr>
        <w:t>h</w:t>
      </w:r>
      <w:r w:rsidRPr="00E53AB0">
        <w:rPr>
          <w:szCs w:val="24"/>
        </w:rPr>
        <w:t xml:space="preserve">ealth </w:t>
      </w:r>
      <w:r w:rsidR="0012688C">
        <w:rPr>
          <w:szCs w:val="24"/>
        </w:rPr>
        <w:t>s</w:t>
      </w:r>
      <w:r w:rsidRPr="00E53AB0">
        <w:rPr>
          <w:szCs w:val="24"/>
        </w:rPr>
        <w:t>ystem capacity</w:t>
      </w:r>
    </w:p>
    <w:p w14:paraId="43A3F8E6" w14:textId="7ECEBC36" w:rsidR="00FA4A19" w:rsidRPr="00E53AB0" w:rsidRDefault="00FA4A19" w:rsidP="00140185">
      <w:pPr>
        <w:pStyle w:val="ListParagraph"/>
        <w:numPr>
          <w:ilvl w:val="0"/>
          <w:numId w:val="10"/>
        </w:numPr>
        <w:ind w:left="567" w:hanging="567"/>
        <w:rPr>
          <w:szCs w:val="24"/>
        </w:rPr>
      </w:pPr>
      <w:r w:rsidRPr="00E53AB0">
        <w:rPr>
          <w:szCs w:val="24"/>
        </w:rPr>
        <w:t xml:space="preserve">Health </w:t>
      </w:r>
      <w:r w:rsidR="0012688C">
        <w:rPr>
          <w:szCs w:val="24"/>
        </w:rPr>
        <w:t>c</w:t>
      </w:r>
      <w:r w:rsidRPr="00E53AB0">
        <w:rPr>
          <w:szCs w:val="24"/>
        </w:rPr>
        <w:t xml:space="preserve">are </w:t>
      </w:r>
      <w:r w:rsidR="0012688C">
        <w:rPr>
          <w:szCs w:val="24"/>
        </w:rPr>
        <w:t>s</w:t>
      </w:r>
      <w:r w:rsidRPr="00E53AB0">
        <w:rPr>
          <w:szCs w:val="24"/>
        </w:rPr>
        <w:t>ystem capacity</w:t>
      </w:r>
    </w:p>
    <w:p w14:paraId="049073AA" w14:textId="77777777" w:rsidR="00FA4A19" w:rsidRPr="00E53AB0" w:rsidRDefault="00FA4A19" w:rsidP="00140185">
      <w:pPr>
        <w:pStyle w:val="ListParagraph"/>
        <w:numPr>
          <w:ilvl w:val="0"/>
          <w:numId w:val="10"/>
        </w:numPr>
        <w:ind w:left="567" w:hanging="567"/>
        <w:rPr>
          <w:szCs w:val="24"/>
        </w:rPr>
      </w:pPr>
      <w:r w:rsidRPr="00E53AB0">
        <w:rPr>
          <w:szCs w:val="24"/>
        </w:rPr>
        <w:lastRenderedPageBreak/>
        <w:t>Community acceptance and adherence</w:t>
      </w:r>
    </w:p>
    <w:p w14:paraId="34B1E7A6" w14:textId="0EB3DE15" w:rsidR="00E47E96" w:rsidRPr="00DB0170" w:rsidRDefault="00E47E96" w:rsidP="00DB0170">
      <w:pPr>
        <w:rPr>
          <w:rFonts w:cstheme="minorHAnsi"/>
          <w:szCs w:val="24"/>
        </w:rPr>
      </w:pPr>
      <w:r>
        <w:rPr>
          <w:rFonts w:cstheme="minorHAnsi"/>
          <w:szCs w:val="24"/>
        </w:rPr>
        <w:t xml:space="preserve">These intelligence inputs will be informed by the National Disease Surveillance Plan for COVID-19, </w:t>
      </w:r>
      <w:r w:rsidR="00DB0170">
        <w:rPr>
          <w:rFonts w:cstheme="minorHAnsi"/>
          <w:szCs w:val="24"/>
        </w:rPr>
        <w:t xml:space="preserve">and will be enabled by </w:t>
      </w:r>
      <w:r w:rsidR="00D718F5">
        <w:rPr>
          <w:rFonts w:cstheme="minorHAnsi"/>
          <w:szCs w:val="24"/>
        </w:rPr>
        <w:t>a</w:t>
      </w:r>
      <w:r w:rsidR="00DB0170">
        <w:rPr>
          <w:rFonts w:cstheme="minorHAnsi"/>
          <w:szCs w:val="24"/>
        </w:rPr>
        <w:t xml:space="preserve"> </w:t>
      </w:r>
      <w:r w:rsidRPr="00DB0170">
        <w:rPr>
          <w:szCs w:val="24"/>
        </w:rPr>
        <w:t>COVID-19 testing framework</w:t>
      </w:r>
      <w:r w:rsidR="00DB0170">
        <w:rPr>
          <w:szCs w:val="24"/>
        </w:rPr>
        <w:t>.</w:t>
      </w:r>
      <w:r w:rsidR="00980A0F">
        <w:rPr>
          <w:szCs w:val="24"/>
        </w:rPr>
        <w:t xml:space="preserve"> </w:t>
      </w:r>
    </w:p>
    <w:p w14:paraId="28108932" w14:textId="77777777" w:rsidR="00E53AB0" w:rsidRPr="00E53AB0" w:rsidRDefault="00E53AB0" w:rsidP="00BD1614">
      <w:pPr>
        <w:pStyle w:val="Heading2"/>
      </w:pPr>
      <w:r w:rsidRPr="00E53AB0">
        <w:t>Epidemiological</w:t>
      </w:r>
      <w:r w:rsidR="00D15492">
        <w:t xml:space="preserve"> Disease </w:t>
      </w:r>
      <w:r w:rsidR="00166737">
        <w:t>Surveillance</w:t>
      </w:r>
      <w:r w:rsidR="00D15492">
        <w:t xml:space="preserve"> M</w:t>
      </w:r>
      <w:r w:rsidRPr="00E53AB0">
        <w:t>easures</w:t>
      </w:r>
    </w:p>
    <w:p w14:paraId="57D53EB5" w14:textId="0A634E59" w:rsidR="00E53AB0" w:rsidRPr="007C2C0F" w:rsidRDefault="00E53AB0" w:rsidP="00683284">
      <w:r w:rsidRPr="00E53AB0">
        <w:rPr>
          <w:rFonts w:cstheme="minorHAnsi"/>
          <w:szCs w:val="24"/>
        </w:rPr>
        <w:t>Disease surveillance measures</w:t>
      </w:r>
      <w:r w:rsidR="00A0736D">
        <w:rPr>
          <w:rFonts w:cstheme="minorHAnsi"/>
          <w:szCs w:val="24"/>
        </w:rPr>
        <w:t xml:space="preserve"> </w:t>
      </w:r>
      <w:r w:rsidR="00683284">
        <w:rPr>
          <w:rFonts w:cstheme="minorHAnsi"/>
          <w:szCs w:val="24"/>
        </w:rPr>
        <w:t>create a picture of</w:t>
      </w:r>
      <w:r w:rsidRPr="00E53AB0">
        <w:rPr>
          <w:rFonts w:cstheme="minorHAnsi"/>
          <w:szCs w:val="24"/>
        </w:rPr>
        <w:t xml:space="preserve"> numbers of cases, </w:t>
      </w:r>
      <w:r w:rsidR="002C10DC">
        <w:rPr>
          <w:rFonts w:cstheme="minorHAnsi"/>
          <w:szCs w:val="24"/>
        </w:rPr>
        <w:t xml:space="preserve">their </w:t>
      </w:r>
      <w:r w:rsidRPr="00E53AB0">
        <w:rPr>
          <w:rFonts w:cstheme="minorHAnsi"/>
          <w:szCs w:val="24"/>
        </w:rPr>
        <w:t>ages, their source of acquisition, where they are in the country and changes over time.</w:t>
      </w:r>
      <w:r w:rsidR="00980A0F">
        <w:rPr>
          <w:rFonts w:cstheme="minorHAnsi"/>
          <w:szCs w:val="24"/>
        </w:rPr>
        <w:t xml:space="preserve"> </w:t>
      </w:r>
      <w:r w:rsidRPr="00E53AB0">
        <w:rPr>
          <w:rFonts w:cstheme="minorHAnsi"/>
          <w:szCs w:val="24"/>
        </w:rPr>
        <w:t>Case detection is dependent on testing policy</w:t>
      </w:r>
      <w:r w:rsidR="002C10DC">
        <w:rPr>
          <w:rFonts w:cstheme="minorHAnsi"/>
          <w:szCs w:val="24"/>
        </w:rPr>
        <w:t xml:space="preserve"> and practice</w:t>
      </w:r>
      <w:r w:rsidRPr="00E53AB0">
        <w:rPr>
          <w:rFonts w:cstheme="minorHAnsi"/>
          <w:szCs w:val="24"/>
        </w:rPr>
        <w:t>.</w:t>
      </w:r>
      <w:r w:rsidR="00980A0F">
        <w:rPr>
          <w:rFonts w:cstheme="minorHAnsi"/>
          <w:szCs w:val="24"/>
        </w:rPr>
        <w:t xml:space="preserve"> </w:t>
      </w:r>
      <w:r w:rsidR="002C10DC">
        <w:t>In the early phase of the pandemic</w:t>
      </w:r>
      <w:r w:rsidR="000F5006">
        <w:t>,</w:t>
      </w:r>
      <w:r w:rsidR="002C10DC">
        <w:t xml:space="preserve"> </w:t>
      </w:r>
      <w:r w:rsidR="00DA1A61">
        <w:t>the focus</w:t>
      </w:r>
      <w:r w:rsidR="002C10DC">
        <w:t xml:space="preserve"> </w:t>
      </w:r>
      <w:r w:rsidR="00DA1A61">
        <w:t xml:space="preserve">was </w:t>
      </w:r>
      <w:r w:rsidR="002C10DC">
        <w:t xml:space="preserve">on encouraging </w:t>
      </w:r>
      <w:r w:rsidRPr="00E53AB0">
        <w:rPr>
          <w:rFonts w:cstheme="minorHAnsi"/>
          <w:szCs w:val="24"/>
        </w:rPr>
        <w:t xml:space="preserve">people with </w:t>
      </w:r>
      <w:r w:rsidR="00FD7B9C">
        <w:rPr>
          <w:rFonts w:cstheme="minorHAnsi"/>
          <w:szCs w:val="24"/>
        </w:rPr>
        <w:t xml:space="preserve">relevant </w:t>
      </w:r>
      <w:r w:rsidRPr="00E53AB0">
        <w:rPr>
          <w:rFonts w:cstheme="minorHAnsi"/>
          <w:szCs w:val="24"/>
        </w:rPr>
        <w:t>symptoms</w:t>
      </w:r>
      <w:r w:rsidR="000F5006">
        <w:rPr>
          <w:rFonts w:cstheme="minorHAnsi"/>
          <w:szCs w:val="24"/>
        </w:rPr>
        <w:t>. It</w:t>
      </w:r>
      <w:r w:rsidR="00C31FAD">
        <w:rPr>
          <w:rFonts w:cstheme="minorHAnsi"/>
          <w:szCs w:val="24"/>
        </w:rPr>
        <w:t xml:space="preserve"> recognised exposure risk</w:t>
      </w:r>
      <w:r w:rsidRPr="00E53AB0">
        <w:rPr>
          <w:rFonts w:cstheme="minorHAnsi"/>
          <w:szCs w:val="24"/>
        </w:rPr>
        <w:t xml:space="preserve"> seeking healthcare, </w:t>
      </w:r>
      <w:r>
        <w:rPr>
          <w:rFonts w:cstheme="minorHAnsi"/>
          <w:szCs w:val="24"/>
        </w:rPr>
        <w:t xml:space="preserve">and </w:t>
      </w:r>
      <w:r w:rsidRPr="00E53AB0">
        <w:rPr>
          <w:rFonts w:cstheme="minorHAnsi"/>
          <w:szCs w:val="24"/>
        </w:rPr>
        <w:t xml:space="preserve">a healthcare provider </w:t>
      </w:r>
      <w:r w:rsidR="00C31FAD">
        <w:rPr>
          <w:rFonts w:cstheme="minorHAnsi"/>
          <w:szCs w:val="24"/>
        </w:rPr>
        <w:t>identifying</w:t>
      </w:r>
      <w:r w:rsidR="00C31FAD" w:rsidRPr="00E53AB0">
        <w:rPr>
          <w:rFonts w:cstheme="minorHAnsi"/>
          <w:szCs w:val="24"/>
        </w:rPr>
        <w:t xml:space="preserve"> </w:t>
      </w:r>
      <w:r w:rsidRPr="00E53AB0">
        <w:rPr>
          <w:rFonts w:cstheme="minorHAnsi"/>
          <w:szCs w:val="24"/>
        </w:rPr>
        <w:t xml:space="preserve">that </w:t>
      </w:r>
      <w:r w:rsidR="000F5006">
        <w:rPr>
          <w:rFonts w:cstheme="minorHAnsi"/>
          <w:szCs w:val="24"/>
        </w:rPr>
        <w:t>people</w:t>
      </w:r>
      <w:r w:rsidR="000F5006" w:rsidRPr="00E53AB0">
        <w:rPr>
          <w:rFonts w:cstheme="minorHAnsi"/>
          <w:szCs w:val="24"/>
        </w:rPr>
        <w:t xml:space="preserve"> </w:t>
      </w:r>
      <w:r w:rsidRPr="00E53AB0">
        <w:rPr>
          <w:rFonts w:cstheme="minorHAnsi"/>
          <w:szCs w:val="24"/>
        </w:rPr>
        <w:t>may have the disease</w:t>
      </w:r>
      <w:r w:rsidR="000F5006">
        <w:rPr>
          <w:rFonts w:cstheme="minorHAnsi"/>
          <w:szCs w:val="24"/>
        </w:rPr>
        <w:t>,</w:t>
      </w:r>
      <w:r w:rsidRPr="00E53AB0">
        <w:rPr>
          <w:rFonts w:cstheme="minorHAnsi"/>
          <w:szCs w:val="24"/>
        </w:rPr>
        <w:t xml:space="preserve"> and</w:t>
      </w:r>
      <w:r w:rsidR="00683284">
        <w:rPr>
          <w:rFonts w:cstheme="minorHAnsi"/>
          <w:szCs w:val="24"/>
        </w:rPr>
        <w:t xml:space="preserve"> ordering the appropriate test.</w:t>
      </w:r>
      <w:r w:rsidR="00980A0F">
        <w:rPr>
          <w:rFonts w:cstheme="minorHAnsi"/>
          <w:szCs w:val="24"/>
        </w:rPr>
        <w:t xml:space="preserve"> </w:t>
      </w:r>
      <w:r w:rsidR="002C10DC">
        <w:rPr>
          <w:rFonts w:cstheme="minorHAnsi"/>
          <w:szCs w:val="24"/>
        </w:rPr>
        <w:t xml:space="preserve">Testing has now been </w:t>
      </w:r>
      <w:r w:rsidR="0035320A">
        <w:rPr>
          <w:rFonts w:cstheme="minorHAnsi"/>
          <w:szCs w:val="24"/>
        </w:rPr>
        <w:t>expanded to</w:t>
      </w:r>
      <w:r w:rsidR="00C31FAD">
        <w:rPr>
          <w:rFonts w:cstheme="minorHAnsi"/>
          <w:szCs w:val="24"/>
        </w:rPr>
        <w:t xml:space="preserve"> encourage </w:t>
      </w:r>
      <w:r w:rsidR="00C31FAD">
        <w:rPr>
          <w:rFonts w:cstheme="minorHAnsi"/>
          <w:szCs w:val="24"/>
          <w:u w:val="single"/>
        </w:rPr>
        <w:t>all</w:t>
      </w:r>
      <w:r w:rsidR="00C31FAD">
        <w:rPr>
          <w:rFonts w:cstheme="minorHAnsi"/>
          <w:szCs w:val="24"/>
        </w:rPr>
        <w:t xml:space="preserve"> people with respiratory symptoms, irrespective of exposure risk, to </w:t>
      </w:r>
      <w:r w:rsidR="002C10DC">
        <w:t>present for testing at one of the many clinics that offer this service.</w:t>
      </w:r>
    </w:p>
    <w:p w14:paraId="2AD381B1" w14:textId="7994103E" w:rsidR="00E53AB0" w:rsidRPr="00E53AB0" w:rsidRDefault="00FD7B9C" w:rsidP="00E53AB0">
      <w:pPr>
        <w:rPr>
          <w:rFonts w:cstheme="minorHAnsi"/>
          <w:szCs w:val="24"/>
        </w:rPr>
      </w:pPr>
      <w:r>
        <w:rPr>
          <w:rFonts w:cstheme="minorHAnsi"/>
          <w:szCs w:val="24"/>
        </w:rPr>
        <w:t xml:space="preserve">With the </w:t>
      </w:r>
      <w:r w:rsidR="000F5006">
        <w:rPr>
          <w:rFonts w:cstheme="minorHAnsi"/>
          <w:szCs w:val="24"/>
        </w:rPr>
        <w:t xml:space="preserve">current </w:t>
      </w:r>
      <w:r>
        <w:rPr>
          <w:rFonts w:cstheme="minorHAnsi"/>
          <w:szCs w:val="24"/>
        </w:rPr>
        <w:t xml:space="preserve">low case numbers in </w:t>
      </w:r>
      <w:r w:rsidR="00E53AB0">
        <w:rPr>
          <w:rFonts w:cstheme="minorHAnsi"/>
          <w:szCs w:val="24"/>
        </w:rPr>
        <w:t>Australia</w:t>
      </w:r>
      <w:r>
        <w:rPr>
          <w:rFonts w:cstheme="minorHAnsi"/>
          <w:szCs w:val="24"/>
        </w:rPr>
        <w:t xml:space="preserve">, and the need to identify any </w:t>
      </w:r>
      <w:r w:rsidR="002C10DC">
        <w:rPr>
          <w:rFonts w:cstheme="minorHAnsi"/>
          <w:szCs w:val="24"/>
        </w:rPr>
        <w:t xml:space="preserve">new infection </w:t>
      </w:r>
      <w:r>
        <w:rPr>
          <w:rFonts w:cstheme="minorHAnsi"/>
          <w:szCs w:val="24"/>
        </w:rPr>
        <w:t xml:space="preserve">in the community, </w:t>
      </w:r>
      <w:r w:rsidR="002C10DC">
        <w:t xml:space="preserve">we will continue to further expand testing, using increasingly </w:t>
      </w:r>
      <w:r w:rsidR="0091302F">
        <w:t xml:space="preserve">more </w:t>
      </w:r>
      <w:r w:rsidR="00E53AB0" w:rsidRPr="00E53AB0">
        <w:rPr>
          <w:rFonts w:cstheme="minorHAnsi"/>
          <w:szCs w:val="24"/>
        </w:rPr>
        <w:t>active form</w:t>
      </w:r>
      <w:r w:rsidR="002C10DC">
        <w:rPr>
          <w:rFonts w:cstheme="minorHAnsi"/>
          <w:szCs w:val="24"/>
        </w:rPr>
        <w:t>s</w:t>
      </w:r>
      <w:r w:rsidR="00E53AB0" w:rsidRPr="00E53AB0">
        <w:rPr>
          <w:rFonts w:cstheme="minorHAnsi"/>
          <w:szCs w:val="24"/>
        </w:rPr>
        <w:t xml:space="preserve"> of case finding</w:t>
      </w:r>
      <w:r w:rsidR="002C10DC">
        <w:rPr>
          <w:rFonts w:cstheme="minorHAnsi"/>
          <w:szCs w:val="24"/>
        </w:rPr>
        <w:t>.</w:t>
      </w:r>
      <w:r w:rsidR="00980A0F">
        <w:rPr>
          <w:rFonts w:cstheme="minorHAnsi"/>
          <w:szCs w:val="24"/>
        </w:rPr>
        <w:t xml:space="preserve"> </w:t>
      </w:r>
      <w:r w:rsidR="00D13EAA">
        <w:rPr>
          <w:rFonts w:cstheme="minorHAnsi"/>
          <w:szCs w:val="24"/>
        </w:rPr>
        <w:t>A</w:t>
      </w:r>
      <w:r w:rsidR="00E53AB0">
        <w:rPr>
          <w:rFonts w:cstheme="minorHAnsi"/>
          <w:szCs w:val="24"/>
        </w:rPr>
        <w:t xml:space="preserve">ctive surveillance </w:t>
      </w:r>
      <w:r w:rsidR="007E17B5">
        <w:rPr>
          <w:rFonts w:cstheme="minorHAnsi"/>
          <w:szCs w:val="24"/>
        </w:rPr>
        <w:t>requires that</w:t>
      </w:r>
      <w:r w:rsidR="00E53AB0" w:rsidRPr="00E53AB0">
        <w:rPr>
          <w:rFonts w:cstheme="minorHAnsi"/>
          <w:szCs w:val="24"/>
        </w:rPr>
        <w:t xml:space="preserve"> health services no longer wait for people</w:t>
      </w:r>
      <w:r w:rsidR="007E17B5">
        <w:rPr>
          <w:rFonts w:cstheme="minorHAnsi"/>
          <w:szCs w:val="24"/>
        </w:rPr>
        <w:t xml:space="preserve"> with symptoms</w:t>
      </w:r>
      <w:r w:rsidR="00E53AB0" w:rsidRPr="00E53AB0">
        <w:rPr>
          <w:rFonts w:cstheme="minorHAnsi"/>
          <w:szCs w:val="24"/>
        </w:rPr>
        <w:t xml:space="preserve"> to present for diagnosis</w:t>
      </w:r>
      <w:r w:rsidR="000F5006">
        <w:rPr>
          <w:rFonts w:cstheme="minorHAnsi"/>
          <w:szCs w:val="24"/>
        </w:rPr>
        <w:t>. R</w:t>
      </w:r>
      <w:r w:rsidR="00E53AB0" w:rsidRPr="00E53AB0">
        <w:rPr>
          <w:rFonts w:cstheme="minorHAnsi"/>
          <w:szCs w:val="24"/>
        </w:rPr>
        <w:t>ather</w:t>
      </w:r>
      <w:r w:rsidR="000F5006">
        <w:rPr>
          <w:rFonts w:cstheme="minorHAnsi"/>
          <w:szCs w:val="24"/>
        </w:rPr>
        <w:t>,</w:t>
      </w:r>
      <w:r w:rsidR="00E53AB0" w:rsidRPr="00E53AB0">
        <w:rPr>
          <w:rFonts w:cstheme="minorHAnsi"/>
          <w:szCs w:val="24"/>
        </w:rPr>
        <w:t xml:space="preserve"> the </w:t>
      </w:r>
      <w:r w:rsidR="002C10DC">
        <w:rPr>
          <w:rFonts w:cstheme="minorHAnsi"/>
          <w:szCs w:val="24"/>
        </w:rPr>
        <w:t>detection</w:t>
      </w:r>
      <w:r w:rsidR="002C10DC" w:rsidRPr="00E53AB0">
        <w:rPr>
          <w:rFonts w:cstheme="minorHAnsi"/>
          <w:szCs w:val="24"/>
        </w:rPr>
        <w:t xml:space="preserve"> </w:t>
      </w:r>
      <w:r w:rsidR="00E53AB0" w:rsidRPr="00E53AB0">
        <w:rPr>
          <w:rFonts w:cstheme="minorHAnsi"/>
          <w:szCs w:val="24"/>
        </w:rPr>
        <w:t xml:space="preserve">is brought </w:t>
      </w:r>
      <w:r w:rsidR="002C10DC">
        <w:rPr>
          <w:rFonts w:cstheme="minorHAnsi"/>
          <w:szCs w:val="24"/>
        </w:rPr>
        <w:t>in</w:t>
      </w:r>
      <w:r w:rsidR="00E53AB0" w:rsidRPr="00E53AB0">
        <w:rPr>
          <w:rFonts w:cstheme="minorHAnsi"/>
          <w:szCs w:val="24"/>
        </w:rPr>
        <w:t xml:space="preserve">to </w:t>
      </w:r>
      <w:r w:rsidR="002C10DC">
        <w:rPr>
          <w:rFonts w:cstheme="minorHAnsi"/>
          <w:szCs w:val="24"/>
        </w:rPr>
        <w:t xml:space="preserve">the </w:t>
      </w:r>
      <w:r w:rsidR="00E53AB0" w:rsidRPr="00E53AB0">
        <w:rPr>
          <w:rFonts w:cstheme="minorHAnsi"/>
          <w:szCs w:val="24"/>
        </w:rPr>
        <w:t xml:space="preserve">community </w:t>
      </w:r>
      <w:r w:rsidR="007E17B5">
        <w:rPr>
          <w:rFonts w:cstheme="minorHAnsi"/>
          <w:szCs w:val="24"/>
        </w:rPr>
        <w:t>by looking for the disease where it might not be recognised</w:t>
      </w:r>
      <w:r w:rsidR="00E70C7E">
        <w:rPr>
          <w:rFonts w:cstheme="minorHAnsi"/>
          <w:szCs w:val="24"/>
        </w:rPr>
        <w:t xml:space="preserve"> through </w:t>
      </w:r>
      <w:r>
        <w:rPr>
          <w:rFonts w:cstheme="minorHAnsi"/>
          <w:szCs w:val="24"/>
        </w:rPr>
        <w:t xml:space="preserve">current testing, by </w:t>
      </w:r>
      <w:r w:rsidR="00D13EAA">
        <w:rPr>
          <w:rFonts w:cstheme="minorHAnsi"/>
          <w:szCs w:val="24"/>
        </w:rPr>
        <w:t>target</w:t>
      </w:r>
      <w:r>
        <w:rPr>
          <w:rFonts w:cstheme="minorHAnsi"/>
          <w:szCs w:val="24"/>
        </w:rPr>
        <w:t xml:space="preserve">ing </w:t>
      </w:r>
      <w:r w:rsidR="00E70C7E">
        <w:rPr>
          <w:rFonts w:cstheme="minorHAnsi"/>
          <w:szCs w:val="24"/>
        </w:rPr>
        <w:t>testing</w:t>
      </w:r>
      <w:r w:rsidR="00D13EAA">
        <w:rPr>
          <w:rFonts w:cstheme="minorHAnsi"/>
          <w:szCs w:val="24"/>
        </w:rPr>
        <w:t xml:space="preserve"> </w:t>
      </w:r>
      <w:r>
        <w:rPr>
          <w:rFonts w:cstheme="minorHAnsi"/>
          <w:szCs w:val="24"/>
        </w:rPr>
        <w:t>to</w:t>
      </w:r>
      <w:r w:rsidR="00D13EAA">
        <w:rPr>
          <w:rFonts w:cstheme="minorHAnsi"/>
          <w:szCs w:val="24"/>
        </w:rPr>
        <w:t xml:space="preserve"> specific groups</w:t>
      </w:r>
      <w:r w:rsidR="00E53AB0" w:rsidRPr="00E53AB0">
        <w:rPr>
          <w:rFonts w:cstheme="minorHAnsi"/>
          <w:szCs w:val="24"/>
        </w:rPr>
        <w:t xml:space="preserve">. </w:t>
      </w:r>
    </w:p>
    <w:p w14:paraId="0F233846" w14:textId="7651D5EB" w:rsidR="00E53AB0" w:rsidRPr="00E53AB0" w:rsidRDefault="00E53AB0" w:rsidP="00E53AB0">
      <w:pPr>
        <w:rPr>
          <w:rFonts w:cstheme="minorHAnsi"/>
          <w:szCs w:val="24"/>
        </w:rPr>
      </w:pPr>
      <w:r w:rsidRPr="00E53AB0">
        <w:rPr>
          <w:rFonts w:cstheme="minorHAnsi"/>
          <w:szCs w:val="24"/>
        </w:rPr>
        <w:t xml:space="preserve">This approach has </w:t>
      </w:r>
      <w:r w:rsidR="00E203CF">
        <w:rPr>
          <w:rFonts w:cstheme="minorHAnsi"/>
          <w:szCs w:val="24"/>
        </w:rPr>
        <w:t>dual</w:t>
      </w:r>
      <w:r w:rsidRPr="00E53AB0">
        <w:rPr>
          <w:rFonts w:cstheme="minorHAnsi"/>
          <w:szCs w:val="24"/>
        </w:rPr>
        <w:t xml:space="preserve"> benefits:</w:t>
      </w:r>
    </w:p>
    <w:p w14:paraId="55328828" w14:textId="77777777" w:rsidR="00E53AB0" w:rsidRPr="00E53AB0" w:rsidRDefault="002854A4" w:rsidP="00140185">
      <w:pPr>
        <w:pStyle w:val="ListParagraph"/>
        <w:numPr>
          <w:ilvl w:val="0"/>
          <w:numId w:val="6"/>
        </w:numPr>
        <w:spacing w:after="160" w:line="259" w:lineRule="auto"/>
        <w:ind w:left="567" w:hanging="567"/>
        <w:rPr>
          <w:rFonts w:cstheme="minorHAnsi"/>
          <w:szCs w:val="24"/>
        </w:rPr>
      </w:pPr>
      <w:r>
        <w:rPr>
          <w:rFonts w:cstheme="minorHAnsi"/>
          <w:szCs w:val="24"/>
        </w:rPr>
        <w:t>People with COVID-19 who</w:t>
      </w:r>
      <w:r w:rsidR="00E53AB0" w:rsidRPr="00E53AB0">
        <w:rPr>
          <w:rFonts w:cstheme="minorHAnsi"/>
          <w:szCs w:val="24"/>
        </w:rPr>
        <w:t xml:space="preserve"> </w:t>
      </w:r>
      <w:r>
        <w:rPr>
          <w:rFonts w:cstheme="minorHAnsi"/>
          <w:szCs w:val="24"/>
        </w:rPr>
        <w:t xml:space="preserve">do not have symptoms, or who may have symptoms but </w:t>
      </w:r>
      <w:r w:rsidR="00A6455C">
        <w:rPr>
          <w:rFonts w:cstheme="minorHAnsi"/>
          <w:szCs w:val="24"/>
        </w:rPr>
        <w:t xml:space="preserve">have </w:t>
      </w:r>
      <w:r>
        <w:rPr>
          <w:rFonts w:cstheme="minorHAnsi"/>
          <w:szCs w:val="24"/>
        </w:rPr>
        <w:t>not</w:t>
      </w:r>
      <w:r w:rsidR="00E53AB0" w:rsidRPr="00E53AB0">
        <w:rPr>
          <w:rFonts w:cstheme="minorHAnsi"/>
          <w:szCs w:val="24"/>
        </w:rPr>
        <w:t xml:space="preserve"> </w:t>
      </w:r>
      <w:r>
        <w:rPr>
          <w:rFonts w:cstheme="minorHAnsi"/>
          <w:szCs w:val="24"/>
        </w:rPr>
        <w:t>sought testing,</w:t>
      </w:r>
      <w:r w:rsidRPr="00E53AB0">
        <w:rPr>
          <w:rFonts w:cstheme="minorHAnsi"/>
          <w:szCs w:val="24"/>
        </w:rPr>
        <w:t xml:space="preserve"> </w:t>
      </w:r>
      <w:r w:rsidR="00E53AB0" w:rsidRPr="00E53AB0">
        <w:rPr>
          <w:rFonts w:cstheme="minorHAnsi"/>
          <w:szCs w:val="24"/>
        </w:rPr>
        <w:t>can be detected</w:t>
      </w:r>
      <w:r w:rsidR="007E17B5">
        <w:rPr>
          <w:rFonts w:cstheme="minorHAnsi"/>
          <w:szCs w:val="24"/>
        </w:rPr>
        <w:t xml:space="preserve"> early</w:t>
      </w:r>
      <w:r w:rsidR="00E53AB0" w:rsidRPr="00E53AB0">
        <w:rPr>
          <w:rFonts w:cstheme="minorHAnsi"/>
          <w:szCs w:val="24"/>
        </w:rPr>
        <w:t xml:space="preserve"> to allow intervention to limit community transmission; and</w:t>
      </w:r>
    </w:p>
    <w:p w14:paraId="0E9E3F40" w14:textId="77777777" w:rsidR="00E53AB0" w:rsidRDefault="00E53AB0" w:rsidP="00140185">
      <w:pPr>
        <w:pStyle w:val="ListParagraph"/>
        <w:numPr>
          <w:ilvl w:val="0"/>
          <w:numId w:val="6"/>
        </w:numPr>
        <w:spacing w:after="160" w:line="259" w:lineRule="auto"/>
        <w:ind w:left="567" w:hanging="567"/>
        <w:rPr>
          <w:rFonts w:cstheme="minorHAnsi"/>
          <w:szCs w:val="24"/>
        </w:rPr>
      </w:pPr>
      <w:r w:rsidRPr="00E53AB0">
        <w:rPr>
          <w:rFonts w:cstheme="minorHAnsi"/>
          <w:szCs w:val="24"/>
        </w:rPr>
        <w:t xml:space="preserve">If no cases are </w:t>
      </w:r>
      <w:r w:rsidR="00027CF4">
        <w:rPr>
          <w:rFonts w:cstheme="minorHAnsi"/>
          <w:szCs w:val="24"/>
        </w:rPr>
        <w:t>identified</w:t>
      </w:r>
      <w:r w:rsidR="002C10DC">
        <w:rPr>
          <w:rFonts w:cstheme="minorHAnsi"/>
          <w:szCs w:val="24"/>
        </w:rPr>
        <w:t xml:space="preserve"> by these comprehensive strategies</w:t>
      </w:r>
      <w:r w:rsidR="007E17B5">
        <w:rPr>
          <w:rFonts w:cstheme="minorHAnsi"/>
          <w:szCs w:val="24"/>
        </w:rPr>
        <w:t>, this</w:t>
      </w:r>
      <w:r w:rsidRPr="00E53AB0">
        <w:rPr>
          <w:rFonts w:cstheme="minorHAnsi"/>
          <w:szCs w:val="24"/>
        </w:rPr>
        <w:t xml:space="preserve"> provide</w:t>
      </w:r>
      <w:r w:rsidR="007E17B5">
        <w:rPr>
          <w:rFonts w:cstheme="minorHAnsi"/>
          <w:szCs w:val="24"/>
        </w:rPr>
        <w:t>s</w:t>
      </w:r>
      <w:r w:rsidRPr="00E53AB0">
        <w:rPr>
          <w:rFonts w:cstheme="minorHAnsi"/>
          <w:szCs w:val="24"/>
        </w:rPr>
        <w:t xml:space="preserve"> assurance</w:t>
      </w:r>
      <w:r w:rsidR="007E17B5">
        <w:rPr>
          <w:rFonts w:cstheme="minorHAnsi"/>
          <w:szCs w:val="24"/>
        </w:rPr>
        <w:t xml:space="preserve"> </w:t>
      </w:r>
      <w:r w:rsidRPr="00E53AB0">
        <w:rPr>
          <w:rFonts w:cstheme="minorHAnsi"/>
          <w:szCs w:val="24"/>
        </w:rPr>
        <w:t xml:space="preserve">that effective control is being achieved. </w:t>
      </w:r>
    </w:p>
    <w:p w14:paraId="67ED301F" w14:textId="3DD2E279" w:rsidR="00D13EAA" w:rsidRDefault="00E53AB0" w:rsidP="00E53AB0">
      <w:pPr>
        <w:rPr>
          <w:rFonts w:cstheme="minorHAnsi"/>
          <w:szCs w:val="24"/>
        </w:rPr>
      </w:pPr>
      <w:r w:rsidRPr="004C0EE6">
        <w:rPr>
          <w:rFonts w:cstheme="minorHAnsi"/>
          <w:szCs w:val="24"/>
        </w:rPr>
        <w:t xml:space="preserve">The </w:t>
      </w:r>
      <w:r w:rsidR="002C10DC">
        <w:rPr>
          <w:rFonts w:cstheme="minorHAnsi"/>
          <w:szCs w:val="24"/>
        </w:rPr>
        <w:t xml:space="preserve">expansion </w:t>
      </w:r>
      <w:r w:rsidRPr="004C0EE6">
        <w:rPr>
          <w:rFonts w:cstheme="minorHAnsi"/>
          <w:szCs w:val="24"/>
        </w:rPr>
        <w:t xml:space="preserve">approach relies on </w:t>
      </w:r>
      <w:r w:rsidR="00D13EAA">
        <w:rPr>
          <w:rFonts w:cstheme="minorHAnsi"/>
          <w:szCs w:val="24"/>
        </w:rPr>
        <w:t>targeted</w:t>
      </w:r>
      <w:r w:rsidR="004C0EE6" w:rsidRPr="004C0EE6">
        <w:rPr>
          <w:rFonts w:cstheme="minorHAnsi"/>
          <w:szCs w:val="24"/>
        </w:rPr>
        <w:t xml:space="preserve"> </w:t>
      </w:r>
      <w:r w:rsidR="002C10DC">
        <w:rPr>
          <w:rFonts w:cstheme="minorHAnsi"/>
          <w:szCs w:val="24"/>
        </w:rPr>
        <w:t xml:space="preserve">testing </w:t>
      </w:r>
      <w:r w:rsidR="004C0EE6">
        <w:rPr>
          <w:rFonts w:cstheme="minorHAnsi"/>
          <w:szCs w:val="24"/>
        </w:rPr>
        <w:t xml:space="preserve">across </w:t>
      </w:r>
      <w:r w:rsidR="0065124E">
        <w:rPr>
          <w:rFonts w:cstheme="minorHAnsi"/>
          <w:szCs w:val="24"/>
        </w:rPr>
        <w:t xml:space="preserve">specific </w:t>
      </w:r>
      <w:r w:rsidR="004C0EE6">
        <w:rPr>
          <w:rFonts w:cstheme="minorHAnsi"/>
          <w:szCs w:val="24"/>
        </w:rPr>
        <w:t xml:space="preserve">settings </w:t>
      </w:r>
      <w:r w:rsidR="00566084" w:rsidRPr="004A1D3F">
        <w:rPr>
          <w:rFonts w:cstheme="minorHAnsi"/>
          <w:szCs w:val="24"/>
        </w:rPr>
        <w:t>to identify whether all cases are being detected</w:t>
      </w:r>
      <w:r w:rsidR="002C10DC">
        <w:rPr>
          <w:rFonts w:cstheme="minorHAnsi"/>
          <w:szCs w:val="24"/>
        </w:rPr>
        <w:t>.</w:t>
      </w:r>
      <w:r w:rsidR="00980A0F">
        <w:rPr>
          <w:rFonts w:cstheme="minorHAnsi"/>
          <w:szCs w:val="24"/>
        </w:rPr>
        <w:t xml:space="preserve"> </w:t>
      </w:r>
      <w:r w:rsidR="002C10DC">
        <w:rPr>
          <w:rFonts w:cstheme="minorHAnsi"/>
          <w:szCs w:val="24"/>
        </w:rPr>
        <w:t xml:space="preserve">This </w:t>
      </w:r>
      <w:r w:rsidR="000374B7">
        <w:rPr>
          <w:rFonts w:cstheme="minorHAnsi"/>
          <w:szCs w:val="24"/>
        </w:rPr>
        <w:t>t</w:t>
      </w:r>
      <w:r w:rsidR="000B7D51">
        <w:rPr>
          <w:rFonts w:cstheme="minorHAnsi"/>
          <w:szCs w:val="24"/>
        </w:rPr>
        <w:t xml:space="preserve">esting needs to </w:t>
      </w:r>
      <w:r w:rsidR="002C10DC">
        <w:rPr>
          <w:rFonts w:cstheme="minorHAnsi"/>
          <w:szCs w:val="24"/>
        </w:rPr>
        <w:t>cover settings</w:t>
      </w:r>
      <w:r w:rsidR="000B7D51">
        <w:rPr>
          <w:rFonts w:cstheme="minorHAnsi"/>
          <w:szCs w:val="24"/>
        </w:rPr>
        <w:t xml:space="preserve"> in such a way as to be representative of the community (i.e. </w:t>
      </w:r>
      <w:r w:rsidR="000F5006">
        <w:rPr>
          <w:rFonts w:cstheme="minorHAnsi"/>
          <w:szCs w:val="24"/>
        </w:rPr>
        <w:t xml:space="preserve">it </w:t>
      </w:r>
      <w:r w:rsidR="000B7D51" w:rsidRPr="00E53AB0">
        <w:rPr>
          <w:rFonts w:cstheme="minorHAnsi"/>
          <w:szCs w:val="24"/>
        </w:rPr>
        <w:t xml:space="preserve">covers a wide geographic </w:t>
      </w:r>
      <w:r w:rsidR="000B7D51" w:rsidRPr="009B04AD">
        <w:rPr>
          <w:rFonts w:cstheme="minorHAnsi"/>
          <w:szCs w:val="24"/>
        </w:rPr>
        <w:t>area, all age groups and</w:t>
      </w:r>
      <w:r w:rsidR="000B7D51">
        <w:rPr>
          <w:rFonts w:cstheme="minorHAnsi"/>
          <w:szCs w:val="24"/>
        </w:rPr>
        <w:t xml:space="preserve"> populations</w:t>
      </w:r>
      <w:r w:rsidR="00BE036B">
        <w:rPr>
          <w:rFonts w:cstheme="minorHAnsi"/>
          <w:szCs w:val="24"/>
        </w:rPr>
        <w:t>, and captures people who are not presenting with illness</w:t>
      </w:r>
      <w:r w:rsidR="000B7D51">
        <w:rPr>
          <w:rFonts w:cstheme="minorHAnsi"/>
          <w:szCs w:val="24"/>
        </w:rPr>
        <w:t>)</w:t>
      </w:r>
      <w:r w:rsidR="000F5006">
        <w:rPr>
          <w:rFonts w:cstheme="minorHAnsi"/>
          <w:szCs w:val="24"/>
        </w:rPr>
        <w:t xml:space="preserve">. This </w:t>
      </w:r>
      <w:r w:rsidR="000B7D51" w:rsidRPr="00E53AB0">
        <w:rPr>
          <w:rFonts w:cstheme="minorHAnsi"/>
          <w:szCs w:val="24"/>
        </w:rPr>
        <w:t>ensure</w:t>
      </w:r>
      <w:r w:rsidR="000F5006">
        <w:rPr>
          <w:rFonts w:cstheme="minorHAnsi"/>
          <w:szCs w:val="24"/>
        </w:rPr>
        <w:t>s</w:t>
      </w:r>
      <w:r w:rsidR="000B7D51" w:rsidRPr="00E53AB0">
        <w:rPr>
          <w:rFonts w:cstheme="minorHAnsi"/>
          <w:szCs w:val="24"/>
        </w:rPr>
        <w:t xml:space="preserve"> that </w:t>
      </w:r>
      <w:r w:rsidR="000B7D51">
        <w:rPr>
          <w:rFonts w:cstheme="minorHAnsi"/>
          <w:szCs w:val="24"/>
        </w:rPr>
        <w:t>the strategy is</w:t>
      </w:r>
      <w:r w:rsidR="000B7D51" w:rsidRPr="00E53AB0">
        <w:rPr>
          <w:rFonts w:cstheme="minorHAnsi"/>
          <w:szCs w:val="24"/>
        </w:rPr>
        <w:t xml:space="preserve"> broad enough to demonstrate all cases are detected.</w:t>
      </w:r>
      <w:r w:rsidR="00980A0F">
        <w:rPr>
          <w:rFonts w:cstheme="minorHAnsi"/>
          <w:szCs w:val="24"/>
        </w:rPr>
        <w:t xml:space="preserve"> </w:t>
      </w:r>
      <w:r w:rsidR="002C10DC">
        <w:rPr>
          <w:rFonts w:cstheme="minorHAnsi"/>
          <w:szCs w:val="24"/>
        </w:rPr>
        <w:t xml:space="preserve">This </w:t>
      </w:r>
      <w:r w:rsidR="004C0EE6" w:rsidRPr="004C0EE6">
        <w:rPr>
          <w:rFonts w:cstheme="minorHAnsi"/>
          <w:szCs w:val="24"/>
        </w:rPr>
        <w:t>will place an</w:t>
      </w:r>
      <w:r w:rsidRPr="004C0EE6">
        <w:rPr>
          <w:rFonts w:cstheme="minorHAnsi"/>
          <w:szCs w:val="24"/>
        </w:rPr>
        <w:t xml:space="preserve"> increased </w:t>
      </w:r>
      <w:r w:rsidR="004C0EE6" w:rsidRPr="004C0EE6">
        <w:rPr>
          <w:rFonts w:cstheme="minorHAnsi"/>
          <w:szCs w:val="24"/>
        </w:rPr>
        <w:t>demand on testing capacity (collection and laboratory)</w:t>
      </w:r>
      <w:r w:rsidRPr="004C0EE6">
        <w:rPr>
          <w:rFonts w:cstheme="minorHAnsi"/>
          <w:szCs w:val="24"/>
        </w:rPr>
        <w:t xml:space="preserve"> and consumables</w:t>
      </w:r>
      <w:r w:rsidR="00F3022D">
        <w:rPr>
          <w:rFonts w:cstheme="minorHAnsi"/>
          <w:szCs w:val="24"/>
        </w:rPr>
        <w:t xml:space="preserve">, </w:t>
      </w:r>
      <w:r w:rsidR="00D43E56">
        <w:rPr>
          <w:rFonts w:cstheme="minorHAnsi"/>
          <w:szCs w:val="24"/>
        </w:rPr>
        <w:t>including</w:t>
      </w:r>
      <w:r w:rsidR="00F3022D">
        <w:rPr>
          <w:rFonts w:cstheme="minorHAnsi"/>
          <w:szCs w:val="24"/>
        </w:rPr>
        <w:t xml:space="preserve"> Personal Protective Equipment</w:t>
      </w:r>
      <w:r w:rsidR="00D43E56">
        <w:rPr>
          <w:rFonts w:cstheme="minorHAnsi"/>
          <w:szCs w:val="24"/>
        </w:rPr>
        <w:t xml:space="preserve"> </w:t>
      </w:r>
      <w:r w:rsidR="00F3022D">
        <w:rPr>
          <w:rFonts w:cstheme="minorHAnsi"/>
          <w:szCs w:val="24"/>
        </w:rPr>
        <w:t>(</w:t>
      </w:r>
      <w:r w:rsidR="00D43E56">
        <w:rPr>
          <w:rFonts w:cstheme="minorHAnsi"/>
          <w:szCs w:val="24"/>
        </w:rPr>
        <w:t>PPE)</w:t>
      </w:r>
      <w:r w:rsidR="004C0EE6" w:rsidRPr="004C0EE6">
        <w:rPr>
          <w:rFonts w:cstheme="minorHAnsi"/>
          <w:szCs w:val="24"/>
        </w:rPr>
        <w:t xml:space="preserve">, </w:t>
      </w:r>
      <w:r w:rsidR="000F5006" w:rsidRPr="004C0EE6">
        <w:rPr>
          <w:rFonts w:cstheme="minorHAnsi"/>
          <w:szCs w:val="24"/>
        </w:rPr>
        <w:t>whil</w:t>
      </w:r>
      <w:r w:rsidR="000F5006">
        <w:rPr>
          <w:rFonts w:cstheme="minorHAnsi"/>
          <w:szCs w:val="24"/>
        </w:rPr>
        <w:t>e</w:t>
      </w:r>
      <w:r w:rsidR="000F5006" w:rsidRPr="004C0EE6">
        <w:rPr>
          <w:rFonts w:cstheme="minorHAnsi"/>
          <w:szCs w:val="24"/>
        </w:rPr>
        <w:t xml:space="preserve"> </w:t>
      </w:r>
      <w:r w:rsidR="004C0EE6" w:rsidRPr="004C0EE6">
        <w:rPr>
          <w:rFonts w:cstheme="minorHAnsi"/>
          <w:szCs w:val="24"/>
        </w:rPr>
        <w:t>a</w:t>
      </w:r>
      <w:r w:rsidRPr="004C0EE6">
        <w:rPr>
          <w:rFonts w:cstheme="minorHAnsi"/>
          <w:szCs w:val="24"/>
        </w:rPr>
        <w:t xml:space="preserve"> </w:t>
      </w:r>
      <w:r w:rsidR="00FD7B9C">
        <w:rPr>
          <w:rFonts w:cstheme="minorHAnsi"/>
          <w:szCs w:val="24"/>
        </w:rPr>
        <w:t xml:space="preserve">substantially </w:t>
      </w:r>
      <w:r w:rsidR="004C0EE6" w:rsidRPr="004C0EE6">
        <w:rPr>
          <w:rFonts w:cstheme="minorHAnsi"/>
          <w:szCs w:val="24"/>
        </w:rPr>
        <w:t>lower</w:t>
      </w:r>
      <w:r w:rsidRPr="004C0EE6">
        <w:rPr>
          <w:rFonts w:cstheme="minorHAnsi"/>
          <w:szCs w:val="24"/>
        </w:rPr>
        <w:t xml:space="preserve"> number of </w:t>
      </w:r>
      <w:r w:rsidR="00CD1704">
        <w:rPr>
          <w:rFonts w:cstheme="minorHAnsi"/>
          <w:szCs w:val="24"/>
        </w:rPr>
        <w:t>diagnosed cases of COVID-19</w:t>
      </w:r>
      <w:r w:rsidR="004C0EE6" w:rsidRPr="004C0EE6">
        <w:rPr>
          <w:rFonts w:cstheme="minorHAnsi"/>
          <w:szCs w:val="24"/>
        </w:rPr>
        <w:t xml:space="preserve"> is expected</w:t>
      </w:r>
      <w:r w:rsidRPr="004C0EE6">
        <w:rPr>
          <w:rFonts w:cstheme="minorHAnsi"/>
          <w:szCs w:val="24"/>
        </w:rPr>
        <w:t>.</w:t>
      </w:r>
      <w:r w:rsidR="00980A0F">
        <w:rPr>
          <w:rFonts w:cstheme="minorHAnsi"/>
          <w:szCs w:val="24"/>
        </w:rPr>
        <w:t xml:space="preserve"> </w:t>
      </w:r>
      <w:r w:rsidR="0099775C" w:rsidRPr="00B346EF">
        <w:rPr>
          <w:rFonts w:cstheme="minorHAnsi"/>
          <w:szCs w:val="24"/>
        </w:rPr>
        <w:t>Figure 1 highlights the current yield of cases for the amount of testing that is conducted.</w:t>
      </w:r>
      <w:r w:rsidR="0099775C">
        <w:rPr>
          <w:rFonts w:cstheme="minorHAnsi"/>
          <w:szCs w:val="24"/>
        </w:rPr>
        <w:t xml:space="preserve"> </w:t>
      </w:r>
    </w:p>
    <w:p w14:paraId="0EDF2CE2" w14:textId="06FF724A" w:rsidR="00980A0F" w:rsidRDefault="00980A0F">
      <w:pPr>
        <w:spacing w:before="0" w:after="200" w:line="276" w:lineRule="auto"/>
        <w:rPr>
          <w:rFonts w:cstheme="minorHAnsi"/>
          <w:szCs w:val="24"/>
        </w:rPr>
      </w:pPr>
      <w:r>
        <w:rPr>
          <w:rFonts w:cstheme="minorHAnsi"/>
          <w:szCs w:val="24"/>
        </w:rPr>
        <w:br w:type="page"/>
      </w:r>
    </w:p>
    <w:p w14:paraId="1263026B" w14:textId="77777777" w:rsidR="0099775C" w:rsidRDefault="0099775C" w:rsidP="00E53AB0">
      <w:pPr>
        <w:rPr>
          <w:rFonts w:cstheme="minorHAnsi"/>
          <w:szCs w:val="24"/>
        </w:rPr>
      </w:pPr>
      <w:r w:rsidRPr="0099775C">
        <w:rPr>
          <w:rFonts w:cstheme="minorHAnsi"/>
          <w:b/>
          <w:szCs w:val="24"/>
        </w:rPr>
        <w:lastRenderedPageBreak/>
        <w:t>Figure 1</w:t>
      </w:r>
      <w:r>
        <w:rPr>
          <w:rFonts w:cstheme="minorHAnsi"/>
          <w:szCs w:val="24"/>
        </w:rPr>
        <w:t xml:space="preserve"> - </w:t>
      </w:r>
      <w:r w:rsidRPr="00836BC6">
        <w:rPr>
          <w:b/>
          <w:bCs/>
          <w:sz w:val="22"/>
          <w:szCs w:val="20"/>
        </w:rPr>
        <w:t>Number of daily reported tests conducted and per cent of tests that are repor</w:t>
      </w:r>
      <w:r>
        <w:rPr>
          <w:b/>
          <w:bCs/>
          <w:sz w:val="22"/>
          <w:szCs w:val="20"/>
        </w:rPr>
        <w:t>ted positive, Australia as at 3pm 28</w:t>
      </w:r>
      <w:r w:rsidRPr="00836BC6">
        <w:rPr>
          <w:b/>
          <w:bCs/>
          <w:sz w:val="22"/>
          <w:szCs w:val="20"/>
        </w:rPr>
        <w:t xml:space="preserve"> April 2020</w:t>
      </w:r>
      <w:r>
        <w:rPr>
          <w:b/>
          <w:bCs/>
          <w:szCs w:val="20"/>
        </w:rPr>
        <w:br/>
      </w:r>
      <w:r>
        <w:rPr>
          <w:rFonts w:hAnsi="Calibri" w:cstheme="minorBidi"/>
          <w:i/>
          <w:iCs/>
          <w:color w:val="000000" w:themeColor="dark1"/>
          <w:sz w:val="16"/>
          <w:szCs w:val="16"/>
        </w:rPr>
        <w:t>Data source: State and Territory daily reporting to the Department of Health</w:t>
      </w:r>
    </w:p>
    <w:p w14:paraId="7B6076B8" w14:textId="77777777" w:rsidR="0099775C" w:rsidRDefault="0099775C" w:rsidP="00E53AB0">
      <w:pPr>
        <w:rPr>
          <w:rFonts w:cstheme="minorHAnsi"/>
          <w:szCs w:val="24"/>
        </w:rPr>
      </w:pPr>
      <w:r>
        <w:rPr>
          <w:b/>
          <w:noProof/>
          <w:lang w:eastAsia="en-AU"/>
        </w:rPr>
        <w:drawing>
          <wp:inline distT="0" distB="0" distL="0" distR="0" wp14:anchorId="29D10802" wp14:editId="78504019">
            <wp:extent cx="5731510" cy="3531338"/>
            <wp:effectExtent l="0" t="0" r="2540" b="0"/>
            <wp:docPr id="5" name="Picture 5" descr="The chart shows that the number of tests conducted has varied over March and April 2020, but the number of positive tests peaked on 25 March and declined to below 0.5% in late April." title="- Number of daily reported tests conducted and per cent of tests that are reported positive, Australia as at 3pm 28 April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5416"/>
                    <a:stretch/>
                  </pic:blipFill>
                  <pic:spPr bwMode="auto">
                    <a:xfrm>
                      <a:off x="0" y="0"/>
                      <a:ext cx="5731510" cy="3531338"/>
                    </a:xfrm>
                    <a:prstGeom prst="rect">
                      <a:avLst/>
                    </a:prstGeom>
                    <a:noFill/>
                    <a:ln>
                      <a:noFill/>
                    </a:ln>
                    <a:extLst>
                      <a:ext uri="{53640926-AAD7-44D8-BBD7-CCE9431645EC}">
                        <a14:shadowObscured xmlns:a14="http://schemas.microsoft.com/office/drawing/2010/main"/>
                      </a:ext>
                    </a:extLst>
                  </pic:spPr>
                </pic:pic>
              </a:graphicData>
            </a:graphic>
          </wp:inline>
        </w:drawing>
      </w:r>
    </w:p>
    <w:p w14:paraId="3EB7655C" w14:textId="05E207E4" w:rsidR="009D704E" w:rsidRDefault="000F5006" w:rsidP="53F68396">
      <w:pPr>
        <w:rPr>
          <w:rFonts w:cstheme="minorBidi"/>
        </w:rPr>
      </w:pPr>
      <w:r>
        <w:rPr>
          <w:rFonts w:cstheme="minorBidi"/>
        </w:rPr>
        <w:t>Expanding</w:t>
      </w:r>
      <w:r w:rsidR="00995B45" w:rsidRPr="004B694E">
        <w:rPr>
          <w:rFonts w:cstheme="minorBidi"/>
        </w:rPr>
        <w:t xml:space="preserve"> testing </w:t>
      </w:r>
      <w:r>
        <w:rPr>
          <w:rFonts w:cstheme="minorBidi"/>
        </w:rPr>
        <w:t>to</w:t>
      </w:r>
      <w:r w:rsidRPr="004B694E">
        <w:rPr>
          <w:rFonts w:cstheme="minorBidi"/>
        </w:rPr>
        <w:t xml:space="preserve"> </w:t>
      </w:r>
      <w:r w:rsidR="00D13EAA" w:rsidRPr="004B694E">
        <w:rPr>
          <w:rFonts w:cstheme="minorBidi"/>
        </w:rPr>
        <w:t xml:space="preserve">asymptomatic </w:t>
      </w:r>
      <w:r w:rsidR="0065124E" w:rsidRPr="004B694E">
        <w:rPr>
          <w:rFonts w:cstheme="minorBidi"/>
        </w:rPr>
        <w:t xml:space="preserve">people </w:t>
      </w:r>
      <w:r w:rsidR="00D13EAA" w:rsidRPr="004B694E">
        <w:rPr>
          <w:rFonts w:cstheme="minorBidi"/>
        </w:rPr>
        <w:t xml:space="preserve">in the community </w:t>
      </w:r>
      <w:r w:rsidR="0065124E" w:rsidRPr="004B694E">
        <w:rPr>
          <w:rFonts w:cstheme="minorBidi"/>
        </w:rPr>
        <w:t xml:space="preserve">does not </w:t>
      </w:r>
      <w:r w:rsidR="00D13EAA" w:rsidRPr="004B694E">
        <w:rPr>
          <w:rFonts w:cstheme="minorBidi"/>
        </w:rPr>
        <w:t xml:space="preserve">effectively identify </w:t>
      </w:r>
      <w:r w:rsidR="0065124E" w:rsidRPr="004B694E">
        <w:rPr>
          <w:rFonts w:cstheme="minorBidi"/>
        </w:rPr>
        <w:t xml:space="preserve">disease </w:t>
      </w:r>
      <w:r w:rsidR="00537A69">
        <w:rPr>
          <w:rFonts w:cstheme="minorBidi"/>
        </w:rPr>
        <w:t>transmission at most levels of likely COVID-19 prevalence.</w:t>
      </w:r>
      <w:r w:rsidR="00980A0F">
        <w:rPr>
          <w:rFonts w:cstheme="minorBidi"/>
        </w:rPr>
        <w:t xml:space="preserve"> </w:t>
      </w:r>
      <w:r w:rsidR="00AB58FD">
        <w:rPr>
          <w:rFonts w:cstheme="minorBidi"/>
        </w:rPr>
        <w:t>E</w:t>
      </w:r>
      <w:r w:rsidR="00AB58FD" w:rsidRPr="00AB58FD">
        <w:rPr>
          <w:rFonts w:cstheme="minorBidi"/>
        </w:rPr>
        <w:t xml:space="preserve">ven with very high levels of testing, cases in the population </w:t>
      </w:r>
      <w:r w:rsidR="002C10DC">
        <w:rPr>
          <w:rFonts w:cstheme="minorBidi"/>
        </w:rPr>
        <w:t>would be</w:t>
      </w:r>
      <w:r w:rsidR="002C10DC" w:rsidRPr="00AB58FD">
        <w:rPr>
          <w:rFonts w:cstheme="minorBidi"/>
        </w:rPr>
        <w:t xml:space="preserve"> </w:t>
      </w:r>
      <w:r w:rsidR="00AB58FD" w:rsidRPr="00AB58FD">
        <w:rPr>
          <w:rFonts w:cstheme="minorBidi"/>
        </w:rPr>
        <w:t xml:space="preserve">missed, and the estimates of prevalence </w:t>
      </w:r>
      <w:r w:rsidR="002C10DC">
        <w:rPr>
          <w:rFonts w:cstheme="minorBidi"/>
        </w:rPr>
        <w:t xml:space="preserve">would still </w:t>
      </w:r>
      <w:r w:rsidR="00AB58FD" w:rsidRPr="00AB58FD">
        <w:rPr>
          <w:rFonts w:cstheme="minorBidi"/>
        </w:rPr>
        <w:t>have a comparatively wide range of uncertain</w:t>
      </w:r>
      <w:r w:rsidR="001420E1">
        <w:rPr>
          <w:rFonts w:cstheme="minorBidi"/>
        </w:rPr>
        <w:t>t</w:t>
      </w:r>
      <w:r w:rsidR="00AB58FD" w:rsidRPr="00AB58FD">
        <w:rPr>
          <w:rFonts w:cstheme="minorBidi"/>
        </w:rPr>
        <w:t>y around them</w:t>
      </w:r>
      <w:r w:rsidR="00AB58FD">
        <w:rPr>
          <w:rFonts w:cstheme="minorBidi"/>
        </w:rPr>
        <w:t xml:space="preserve">. </w:t>
      </w:r>
      <w:r w:rsidR="008135B3">
        <w:rPr>
          <w:rFonts w:cstheme="minorBidi"/>
        </w:rPr>
        <w:t>Further, at</w:t>
      </w:r>
      <w:r w:rsidR="003623D9">
        <w:rPr>
          <w:rFonts w:cstheme="minorBidi"/>
        </w:rPr>
        <w:t xml:space="preserve"> low prevalence of disease, </w:t>
      </w:r>
      <w:r w:rsidR="00784890">
        <w:rPr>
          <w:rFonts w:cstheme="minorBidi"/>
        </w:rPr>
        <w:t>the proportion of positive tests that are false-positives increases.</w:t>
      </w:r>
      <w:r w:rsidR="00980A0F">
        <w:rPr>
          <w:rFonts w:cstheme="minorBidi"/>
        </w:rPr>
        <w:t xml:space="preserve"> </w:t>
      </w:r>
      <w:r w:rsidR="00FD7B9C">
        <w:rPr>
          <w:rFonts w:cstheme="minorBidi"/>
        </w:rPr>
        <w:t>Although intuitively attractive, ongoing active surveillance of asymptomatic people across the whole population is not supported.</w:t>
      </w:r>
      <w:r w:rsidR="00980A0F">
        <w:rPr>
          <w:rFonts w:cstheme="minorBidi"/>
        </w:rPr>
        <w:t xml:space="preserve"> </w:t>
      </w:r>
      <w:r w:rsidR="00D13EAA" w:rsidRPr="53F68396">
        <w:rPr>
          <w:rFonts w:cstheme="minorBidi"/>
        </w:rPr>
        <w:t xml:space="preserve">Instead, </w:t>
      </w:r>
      <w:r>
        <w:rPr>
          <w:rFonts w:cstheme="minorBidi"/>
        </w:rPr>
        <w:t>t</w:t>
      </w:r>
      <w:r w:rsidR="00E203CF">
        <w:rPr>
          <w:rFonts w:cstheme="minorBidi"/>
        </w:rPr>
        <w:t>h</w:t>
      </w:r>
      <w:r w:rsidR="00BE4D26">
        <w:rPr>
          <w:rFonts w:cstheme="minorBidi"/>
        </w:rPr>
        <w:t xml:space="preserve">e preferred approach is </w:t>
      </w:r>
      <w:r w:rsidR="00D13EAA" w:rsidRPr="53F68396">
        <w:rPr>
          <w:rFonts w:cstheme="minorBidi"/>
        </w:rPr>
        <w:t xml:space="preserve">targeted testing of </w:t>
      </w:r>
      <w:r w:rsidR="00C31FAD" w:rsidRPr="53F68396">
        <w:rPr>
          <w:rFonts w:cstheme="minorBidi"/>
        </w:rPr>
        <w:t>specific groups or occupations</w:t>
      </w:r>
      <w:r w:rsidR="00BE4D26">
        <w:rPr>
          <w:rFonts w:cstheme="minorBidi"/>
        </w:rPr>
        <w:t xml:space="preserve"> selected on the basis of be</w:t>
      </w:r>
      <w:r w:rsidR="00E203CF">
        <w:rPr>
          <w:rFonts w:cstheme="minorBidi"/>
        </w:rPr>
        <w:t>ing either higher risk</w:t>
      </w:r>
      <w:r>
        <w:rPr>
          <w:rFonts w:cstheme="minorBidi"/>
        </w:rPr>
        <w:t>,</w:t>
      </w:r>
      <w:r w:rsidR="00E203CF">
        <w:rPr>
          <w:rFonts w:cstheme="minorBidi"/>
        </w:rPr>
        <w:t xml:space="preserve"> </w:t>
      </w:r>
      <w:r w:rsidR="00BE4D26">
        <w:rPr>
          <w:rFonts w:cstheme="minorBidi"/>
        </w:rPr>
        <w:t>or</w:t>
      </w:r>
      <w:r w:rsidR="002854A4" w:rsidRPr="53F68396">
        <w:rPr>
          <w:rFonts w:cstheme="minorBidi"/>
        </w:rPr>
        <w:t xml:space="preserve"> </w:t>
      </w:r>
      <w:r w:rsidR="00B2609C" w:rsidRPr="53F68396">
        <w:rPr>
          <w:rFonts w:cstheme="minorBidi"/>
        </w:rPr>
        <w:t>as a representative sample of the community.</w:t>
      </w:r>
      <w:r w:rsidR="00980A0F">
        <w:rPr>
          <w:rFonts w:cstheme="minorBidi"/>
        </w:rPr>
        <w:t xml:space="preserve"> </w:t>
      </w:r>
    </w:p>
    <w:p w14:paraId="1CB83F49" w14:textId="08194D6B" w:rsidR="00B2609C" w:rsidRDefault="00B2609C" w:rsidP="53F68396">
      <w:pPr>
        <w:rPr>
          <w:rFonts w:cstheme="minorBidi"/>
        </w:rPr>
      </w:pPr>
      <w:r w:rsidRPr="00B407D3">
        <w:rPr>
          <w:rFonts w:cstheme="minorBidi"/>
        </w:rPr>
        <w:t>The testing strategy</w:t>
      </w:r>
      <w:r w:rsidRPr="00F74447">
        <w:rPr>
          <w:rFonts w:cstheme="minorBidi"/>
          <w:b/>
        </w:rPr>
        <w:t xml:space="preserve"> </w:t>
      </w:r>
      <w:r w:rsidRPr="007C2C0F">
        <w:rPr>
          <w:rFonts w:cstheme="minorBidi"/>
        </w:rPr>
        <w:t xml:space="preserve">prioritises testing </w:t>
      </w:r>
      <w:r w:rsidR="006C2309" w:rsidRPr="007C2C0F">
        <w:rPr>
          <w:rFonts w:cstheme="minorBidi"/>
        </w:rPr>
        <w:t xml:space="preserve">of symptomatic </w:t>
      </w:r>
      <w:r w:rsidR="004A1D3F" w:rsidRPr="007C2C0F">
        <w:rPr>
          <w:rFonts w:cstheme="minorBidi"/>
        </w:rPr>
        <w:t>people</w:t>
      </w:r>
      <w:r w:rsidR="004A1D3F">
        <w:rPr>
          <w:rFonts w:cstheme="minorBidi"/>
        </w:rPr>
        <w:t xml:space="preserve">, followed by </w:t>
      </w:r>
      <w:r w:rsidRPr="53F68396">
        <w:rPr>
          <w:rFonts w:cstheme="minorBidi"/>
        </w:rPr>
        <w:t>those groups</w:t>
      </w:r>
      <w:r w:rsidR="006C2309" w:rsidRPr="53F68396">
        <w:rPr>
          <w:rFonts w:cstheme="minorBidi"/>
        </w:rPr>
        <w:t xml:space="preserve"> that</w:t>
      </w:r>
      <w:r w:rsidRPr="53F68396">
        <w:rPr>
          <w:rFonts w:cstheme="minorBidi"/>
        </w:rPr>
        <w:t xml:space="preserve"> are </w:t>
      </w:r>
      <w:r w:rsidR="006C2309" w:rsidRPr="53F68396">
        <w:rPr>
          <w:rFonts w:cstheme="minorBidi"/>
        </w:rPr>
        <w:t xml:space="preserve">more likely </w:t>
      </w:r>
      <w:r w:rsidRPr="53F68396">
        <w:rPr>
          <w:rFonts w:cstheme="minorBidi"/>
        </w:rPr>
        <w:t xml:space="preserve">to reveal </w:t>
      </w:r>
      <w:r w:rsidR="006C2309" w:rsidRPr="53F68396">
        <w:rPr>
          <w:rFonts w:cstheme="minorBidi"/>
        </w:rPr>
        <w:t xml:space="preserve">the presence of </w:t>
      </w:r>
      <w:r w:rsidRPr="53F68396">
        <w:rPr>
          <w:rFonts w:cstheme="minorBidi"/>
        </w:rPr>
        <w:t>community transmission</w:t>
      </w:r>
      <w:r w:rsidR="006C2309" w:rsidRPr="53F68396">
        <w:rPr>
          <w:rFonts w:cstheme="minorBidi"/>
        </w:rPr>
        <w:t>,</w:t>
      </w:r>
      <w:r w:rsidRPr="53F68396">
        <w:rPr>
          <w:rFonts w:cstheme="minorBidi"/>
        </w:rPr>
        <w:t xml:space="preserve"> in the following order:</w:t>
      </w:r>
    </w:p>
    <w:p w14:paraId="63608439" w14:textId="2684C935" w:rsidR="00B2609C" w:rsidRDefault="00B2609C" w:rsidP="00140185">
      <w:pPr>
        <w:pStyle w:val="ListParagraph"/>
        <w:numPr>
          <w:ilvl w:val="0"/>
          <w:numId w:val="19"/>
        </w:numPr>
        <w:ind w:left="567" w:hanging="567"/>
        <w:rPr>
          <w:rFonts w:cstheme="minorHAnsi"/>
          <w:szCs w:val="24"/>
        </w:rPr>
      </w:pPr>
      <w:r>
        <w:rPr>
          <w:rFonts w:cstheme="minorHAnsi"/>
          <w:szCs w:val="24"/>
        </w:rPr>
        <w:t xml:space="preserve">All people presenting with </w:t>
      </w:r>
      <w:r w:rsidR="00CD69F4">
        <w:rPr>
          <w:rFonts w:cstheme="minorHAnsi"/>
          <w:szCs w:val="24"/>
        </w:rPr>
        <w:t xml:space="preserve">fever or </w:t>
      </w:r>
      <w:r>
        <w:rPr>
          <w:rFonts w:cstheme="minorHAnsi"/>
          <w:szCs w:val="24"/>
        </w:rPr>
        <w:t>acute respiratory illness</w:t>
      </w:r>
      <w:r w:rsidR="00F41366">
        <w:rPr>
          <w:rFonts w:cstheme="minorHAnsi"/>
          <w:szCs w:val="24"/>
        </w:rPr>
        <w:t>.</w:t>
      </w:r>
      <w:r w:rsidR="00980A0F">
        <w:rPr>
          <w:rFonts w:cstheme="minorHAnsi"/>
          <w:szCs w:val="24"/>
        </w:rPr>
        <w:t xml:space="preserve"> </w:t>
      </w:r>
      <w:r w:rsidR="00F41366">
        <w:rPr>
          <w:rFonts w:cstheme="minorHAnsi"/>
          <w:szCs w:val="24"/>
        </w:rPr>
        <w:t>Just over 30% of these people are currently tested</w:t>
      </w:r>
      <w:r w:rsidR="000F5006">
        <w:rPr>
          <w:rFonts w:cstheme="minorHAnsi"/>
          <w:szCs w:val="24"/>
        </w:rPr>
        <w:t>. T</w:t>
      </w:r>
      <w:r w:rsidR="00F41366">
        <w:rPr>
          <w:rFonts w:cstheme="minorHAnsi"/>
          <w:szCs w:val="24"/>
        </w:rPr>
        <w:t>his represents the most important group in which to increase testing.</w:t>
      </w:r>
    </w:p>
    <w:p w14:paraId="08BD5B19" w14:textId="7A1F4389" w:rsidR="00697655" w:rsidRDefault="00697655" w:rsidP="00140185">
      <w:pPr>
        <w:pStyle w:val="ListParagraph"/>
        <w:numPr>
          <w:ilvl w:val="0"/>
          <w:numId w:val="19"/>
        </w:numPr>
        <w:ind w:left="567" w:hanging="567"/>
        <w:rPr>
          <w:rFonts w:cstheme="minorHAnsi"/>
          <w:szCs w:val="24"/>
        </w:rPr>
      </w:pPr>
      <w:r>
        <w:rPr>
          <w:rFonts w:cstheme="minorHAnsi"/>
          <w:szCs w:val="24"/>
        </w:rPr>
        <w:t>People at high risk of exposure who present with atypical symptoms, such as</w:t>
      </w:r>
    </w:p>
    <w:p w14:paraId="635C8022" w14:textId="649AC622" w:rsidR="00697655" w:rsidRDefault="006C2309" w:rsidP="00140185">
      <w:pPr>
        <w:pStyle w:val="ListParagraph"/>
        <w:numPr>
          <w:ilvl w:val="1"/>
          <w:numId w:val="19"/>
        </w:numPr>
        <w:rPr>
          <w:rFonts w:cstheme="minorHAnsi"/>
          <w:szCs w:val="24"/>
        </w:rPr>
      </w:pPr>
      <w:r>
        <w:rPr>
          <w:rFonts w:cstheme="minorHAnsi"/>
          <w:szCs w:val="24"/>
        </w:rPr>
        <w:t>H</w:t>
      </w:r>
      <w:r w:rsidR="00697655">
        <w:rPr>
          <w:rFonts w:cstheme="minorHAnsi"/>
          <w:szCs w:val="24"/>
        </w:rPr>
        <w:t xml:space="preserve">ealth care workers </w:t>
      </w:r>
    </w:p>
    <w:p w14:paraId="6EAC7F13" w14:textId="20AFF180" w:rsidR="00697655" w:rsidRPr="004A1D3F" w:rsidRDefault="006C2309" w:rsidP="00140185">
      <w:pPr>
        <w:pStyle w:val="ListParagraph"/>
        <w:numPr>
          <w:ilvl w:val="1"/>
          <w:numId w:val="19"/>
        </w:numPr>
        <w:rPr>
          <w:rFonts w:cstheme="minorHAnsi"/>
          <w:szCs w:val="24"/>
        </w:rPr>
      </w:pPr>
      <w:r>
        <w:rPr>
          <w:rFonts w:cstheme="minorHAnsi"/>
          <w:szCs w:val="24"/>
        </w:rPr>
        <w:t>R</w:t>
      </w:r>
      <w:r w:rsidR="00697655">
        <w:rPr>
          <w:rFonts w:cstheme="minorHAnsi"/>
          <w:szCs w:val="24"/>
        </w:rPr>
        <w:t>esidential aged care facility workers</w:t>
      </w:r>
    </w:p>
    <w:p w14:paraId="6A93FD3A" w14:textId="18D08B9A" w:rsidR="00697655" w:rsidRDefault="00697655" w:rsidP="00140185">
      <w:pPr>
        <w:pStyle w:val="ListParagraph"/>
        <w:numPr>
          <w:ilvl w:val="0"/>
          <w:numId w:val="19"/>
        </w:numPr>
        <w:ind w:left="567" w:hanging="567"/>
        <w:rPr>
          <w:rFonts w:cstheme="minorHAnsi"/>
          <w:szCs w:val="24"/>
        </w:rPr>
      </w:pPr>
      <w:r>
        <w:rPr>
          <w:rFonts w:cstheme="minorHAnsi"/>
          <w:szCs w:val="24"/>
        </w:rPr>
        <w:t xml:space="preserve">Contacts of cases, </w:t>
      </w:r>
      <w:r w:rsidR="006C2309">
        <w:rPr>
          <w:rFonts w:cstheme="minorHAnsi"/>
          <w:szCs w:val="24"/>
        </w:rPr>
        <w:t>including</w:t>
      </w:r>
    </w:p>
    <w:p w14:paraId="4A6687B1" w14:textId="2B7715EC" w:rsidR="0099775C" w:rsidRPr="004A1D3F" w:rsidRDefault="006C2309" w:rsidP="00140185">
      <w:pPr>
        <w:pStyle w:val="ListParagraph"/>
        <w:numPr>
          <w:ilvl w:val="1"/>
          <w:numId w:val="19"/>
        </w:numPr>
        <w:rPr>
          <w:rFonts w:cstheme="minorHAnsi"/>
          <w:szCs w:val="24"/>
        </w:rPr>
      </w:pPr>
      <w:r w:rsidRPr="0099775C">
        <w:rPr>
          <w:rFonts w:cstheme="minorHAnsi"/>
          <w:szCs w:val="24"/>
        </w:rPr>
        <w:t xml:space="preserve">Upstream contacts (the index ‘fever </w:t>
      </w:r>
      <w:r w:rsidR="00BE4D26">
        <w:rPr>
          <w:rFonts w:cstheme="minorHAnsi"/>
          <w:szCs w:val="24"/>
        </w:rPr>
        <w:t>or</w:t>
      </w:r>
      <w:r w:rsidR="00BE4D26" w:rsidRPr="0099775C">
        <w:rPr>
          <w:rFonts w:cstheme="minorHAnsi"/>
          <w:szCs w:val="24"/>
        </w:rPr>
        <w:t xml:space="preserve"> </w:t>
      </w:r>
      <w:r w:rsidRPr="0099775C">
        <w:rPr>
          <w:rFonts w:cstheme="minorHAnsi"/>
          <w:szCs w:val="24"/>
        </w:rPr>
        <w:t>cough’ case)</w:t>
      </w:r>
      <w:r w:rsidR="0044525E" w:rsidRPr="0099775C">
        <w:rPr>
          <w:rFonts w:cstheme="minorHAnsi"/>
          <w:szCs w:val="24"/>
        </w:rPr>
        <w:t xml:space="preserve">, </w:t>
      </w:r>
      <w:r w:rsidR="0099775C">
        <w:rPr>
          <w:rFonts w:cstheme="minorHAnsi"/>
          <w:szCs w:val="24"/>
        </w:rPr>
        <w:t xml:space="preserve">including </w:t>
      </w:r>
      <w:r w:rsidR="000F5006">
        <w:rPr>
          <w:rFonts w:cstheme="minorHAnsi"/>
          <w:szCs w:val="24"/>
        </w:rPr>
        <w:t xml:space="preserve">people </w:t>
      </w:r>
      <w:r w:rsidR="00F41366">
        <w:rPr>
          <w:rFonts w:cstheme="minorHAnsi"/>
          <w:szCs w:val="24"/>
        </w:rPr>
        <w:t>who are asymptomatic</w:t>
      </w:r>
    </w:p>
    <w:p w14:paraId="5A70612C" w14:textId="1290C46C" w:rsidR="006C2309" w:rsidRDefault="006C2309" w:rsidP="00140185">
      <w:pPr>
        <w:pStyle w:val="ListParagraph"/>
        <w:numPr>
          <w:ilvl w:val="1"/>
          <w:numId w:val="19"/>
        </w:numPr>
        <w:rPr>
          <w:rFonts w:cstheme="minorHAnsi"/>
          <w:szCs w:val="24"/>
        </w:rPr>
      </w:pPr>
      <w:r w:rsidRPr="0099775C">
        <w:rPr>
          <w:rFonts w:cstheme="minorHAnsi"/>
          <w:szCs w:val="24"/>
        </w:rPr>
        <w:t>Downstream contacts (contacts in the COVID-19 infectious period</w:t>
      </w:r>
      <w:r w:rsidR="00E20966" w:rsidRPr="0099775C">
        <w:rPr>
          <w:rFonts w:cstheme="minorHAnsi"/>
          <w:szCs w:val="24"/>
        </w:rPr>
        <w:t>)</w:t>
      </w:r>
      <w:r w:rsidRPr="0099775C">
        <w:rPr>
          <w:rFonts w:cstheme="minorHAnsi"/>
          <w:szCs w:val="24"/>
        </w:rPr>
        <w:t xml:space="preserve">, including </w:t>
      </w:r>
      <w:r w:rsidR="000F5006">
        <w:rPr>
          <w:rFonts w:cstheme="minorHAnsi"/>
          <w:szCs w:val="24"/>
        </w:rPr>
        <w:t>people</w:t>
      </w:r>
      <w:r w:rsidR="000F5006" w:rsidRPr="0099775C">
        <w:rPr>
          <w:rFonts w:cstheme="minorHAnsi"/>
          <w:szCs w:val="24"/>
        </w:rPr>
        <w:t xml:space="preserve"> </w:t>
      </w:r>
      <w:r w:rsidR="00F41366">
        <w:rPr>
          <w:rFonts w:cstheme="minorHAnsi"/>
          <w:szCs w:val="24"/>
        </w:rPr>
        <w:t>who are asymptomatic</w:t>
      </w:r>
    </w:p>
    <w:p w14:paraId="244CC6F4" w14:textId="444AD6B0" w:rsidR="00697655" w:rsidRDefault="00697655" w:rsidP="00140185">
      <w:pPr>
        <w:pStyle w:val="ListParagraph"/>
        <w:numPr>
          <w:ilvl w:val="0"/>
          <w:numId w:val="19"/>
        </w:numPr>
        <w:ind w:left="567" w:hanging="567"/>
        <w:rPr>
          <w:rFonts w:cstheme="minorHAnsi"/>
          <w:szCs w:val="24"/>
        </w:rPr>
      </w:pPr>
      <w:r>
        <w:rPr>
          <w:rFonts w:cstheme="minorHAnsi"/>
          <w:szCs w:val="24"/>
        </w:rPr>
        <w:t>Vulnerable populations in which a single case is identified, such as</w:t>
      </w:r>
    </w:p>
    <w:p w14:paraId="30793CAF" w14:textId="56CC13DD" w:rsidR="00697655" w:rsidRDefault="00697655" w:rsidP="00140185">
      <w:pPr>
        <w:pStyle w:val="ListParagraph"/>
        <w:numPr>
          <w:ilvl w:val="1"/>
          <w:numId w:val="19"/>
        </w:numPr>
        <w:rPr>
          <w:rFonts w:cstheme="minorHAnsi"/>
          <w:szCs w:val="24"/>
        </w:rPr>
      </w:pPr>
      <w:r>
        <w:rPr>
          <w:rFonts w:cstheme="minorHAnsi"/>
          <w:szCs w:val="24"/>
        </w:rPr>
        <w:lastRenderedPageBreak/>
        <w:t xml:space="preserve">Residential </w:t>
      </w:r>
      <w:r w:rsidR="00BE4D26">
        <w:rPr>
          <w:rFonts w:cstheme="minorHAnsi"/>
          <w:szCs w:val="24"/>
        </w:rPr>
        <w:t xml:space="preserve">care </w:t>
      </w:r>
      <w:r>
        <w:rPr>
          <w:rFonts w:cstheme="minorHAnsi"/>
          <w:szCs w:val="24"/>
        </w:rPr>
        <w:t>settings</w:t>
      </w:r>
      <w:r w:rsidR="00F41366">
        <w:rPr>
          <w:rFonts w:cstheme="minorHAnsi"/>
          <w:szCs w:val="24"/>
        </w:rPr>
        <w:t xml:space="preserve"> (</w:t>
      </w:r>
      <w:r w:rsidR="00BE4D26">
        <w:rPr>
          <w:rFonts w:cstheme="minorHAnsi"/>
          <w:szCs w:val="24"/>
        </w:rPr>
        <w:t xml:space="preserve">test </w:t>
      </w:r>
      <w:r w:rsidR="00F41366">
        <w:rPr>
          <w:rFonts w:cstheme="minorHAnsi"/>
          <w:szCs w:val="24"/>
        </w:rPr>
        <w:t xml:space="preserve">all residents and staff, including </w:t>
      </w:r>
      <w:r w:rsidR="000F5006">
        <w:rPr>
          <w:rFonts w:cstheme="minorHAnsi"/>
          <w:szCs w:val="24"/>
        </w:rPr>
        <w:t xml:space="preserve">people </w:t>
      </w:r>
      <w:r w:rsidR="00F41366">
        <w:rPr>
          <w:rFonts w:cstheme="minorHAnsi"/>
          <w:szCs w:val="24"/>
        </w:rPr>
        <w:t>who are asymptomatic)</w:t>
      </w:r>
    </w:p>
    <w:p w14:paraId="3619C856" w14:textId="6E22DAB3" w:rsidR="00B2609C" w:rsidRDefault="00697655" w:rsidP="00140185">
      <w:pPr>
        <w:pStyle w:val="ListParagraph"/>
        <w:numPr>
          <w:ilvl w:val="1"/>
          <w:numId w:val="19"/>
        </w:numPr>
        <w:rPr>
          <w:rFonts w:cstheme="minorHAnsi"/>
          <w:szCs w:val="24"/>
        </w:rPr>
      </w:pPr>
      <w:r>
        <w:rPr>
          <w:rFonts w:cstheme="minorHAnsi"/>
          <w:szCs w:val="24"/>
        </w:rPr>
        <w:t xml:space="preserve">Health care settings </w:t>
      </w:r>
      <w:r w:rsidR="00F41366">
        <w:rPr>
          <w:rFonts w:cstheme="minorHAnsi"/>
          <w:szCs w:val="24"/>
        </w:rPr>
        <w:t>(</w:t>
      </w:r>
      <w:r w:rsidR="00BE4D26">
        <w:rPr>
          <w:rFonts w:cstheme="minorHAnsi"/>
          <w:szCs w:val="24"/>
        </w:rPr>
        <w:t xml:space="preserve">test all </w:t>
      </w:r>
      <w:r w:rsidR="00F41366">
        <w:rPr>
          <w:rFonts w:cstheme="minorHAnsi"/>
          <w:szCs w:val="24"/>
        </w:rPr>
        <w:t xml:space="preserve">patients and staff, including </w:t>
      </w:r>
      <w:r w:rsidR="000F5006">
        <w:rPr>
          <w:rFonts w:cstheme="minorHAnsi"/>
          <w:szCs w:val="24"/>
        </w:rPr>
        <w:t xml:space="preserve">people </w:t>
      </w:r>
      <w:r w:rsidR="00F41366">
        <w:rPr>
          <w:rFonts w:cstheme="minorHAnsi"/>
          <w:szCs w:val="24"/>
        </w:rPr>
        <w:t>who are asymptomatic)</w:t>
      </w:r>
    </w:p>
    <w:p w14:paraId="16275F04" w14:textId="4A2D07ED" w:rsidR="001E5EED" w:rsidRDefault="006C2309" w:rsidP="00140185">
      <w:pPr>
        <w:pStyle w:val="ListParagraph"/>
        <w:numPr>
          <w:ilvl w:val="1"/>
          <w:numId w:val="19"/>
        </w:numPr>
        <w:rPr>
          <w:rFonts w:cstheme="minorHAnsi"/>
          <w:szCs w:val="24"/>
        </w:rPr>
      </w:pPr>
      <w:r>
        <w:rPr>
          <w:rFonts w:cstheme="minorHAnsi"/>
          <w:szCs w:val="24"/>
        </w:rPr>
        <w:t>Remote Aboriginal and Torres Strait Island</w:t>
      </w:r>
      <w:r w:rsidR="000F5006">
        <w:rPr>
          <w:rFonts w:cstheme="minorHAnsi"/>
          <w:szCs w:val="24"/>
        </w:rPr>
        <w:t>er</w:t>
      </w:r>
      <w:r>
        <w:rPr>
          <w:rFonts w:cstheme="minorHAnsi"/>
          <w:szCs w:val="24"/>
        </w:rPr>
        <w:t xml:space="preserve"> communities</w:t>
      </w:r>
      <w:r w:rsidR="00F41366">
        <w:rPr>
          <w:rFonts w:cstheme="minorHAnsi"/>
          <w:szCs w:val="24"/>
        </w:rPr>
        <w:t xml:space="preserve"> (</w:t>
      </w:r>
      <w:r w:rsidR="00BE4D26">
        <w:rPr>
          <w:rFonts w:cstheme="minorHAnsi"/>
          <w:szCs w:val="24"/>
        </w:rPr>
        <w:t xml:space="preserve">test all contacts </w:t>
      </w:r>
      <w:r w:rsidR="00F41366">
        <w:rPr>
          <w:rFonts w:cstheme="minorHAnsi"/>
          <w:szCs w:val="24"/>
        </w:rPr>
        <w:t xml:space="preserve">including </w:t>
      </w:r>
      <w:r w:rsidR="000F5006">
        <w:rPr>
          <w:rFonts w:cstheme="minorHAnsi"/>
          <w:szCs w:val="24"/>
        </w:rPr>
        <w:t xml:space="preserve">people </w:t>
      </w:r>
      <w:r w:rsidR="00F41366">
        <w:rPr>
          <w:rFonts w:cstheme="minorHAnsi"/>
          <w:szCs w:val="24"/>
        </w:rPr>
        <w:t>who are asymptomatic)</w:t>
      </w:r>
    </w:p>
    <w:p w14:paraId="7F74D2C6" w14:textId="5A031640" w:rsidR="00B24CD5" w:rsidRPr="00CA4CE5" w:rsidRDefault="00B24CD5" w:rsidP="00140185">
      <w:pPr>
        <w:pStyle w:val="ListParagraph"/>
        <w:numPr>
          <w:ilvl w:val="1"/>
          <w:numId w:val="19"/>
        </w:numPr>
        <w:rPr>
          <w:rFonts w:cstheme="minorHAnsi"/>
          <w:szCs w:val="24"/>
        </w:rPr>
      </w:pPr>
      <w:r>
        <w:rPr>
          <w:rFonts w:cstheme="minorHAnsi"/>
          <w:szCs w:val="24"/>
        </w:rPr>
        <w:t>Workers in critical infrastructure</w:t>
      </w:r>
    </w:p>
    <w:p w14:paraId="3FC6EA38" w14:textId="2A9A7BAE" w:rsidR="005909BC" w:rsidRDefault="002469A1" w:rsidP="007F20C1">
      <w:pPr>
        <w:rPr>
          <w:rFonts w:cstheme="minorHAnsi"/>
          <w:szCs w:val="24"/>
        </w:rPr>
      </w:pPr>
      <w:r>
        <w:rPr>
          <w:rFonts w:cstheme="minorHAnsi"/>
          <w:szCs w:val="24"/>
        </w:rPr>
        <w:t>Medically supervised s</w:t>
      </w:r>
      <w:r w:rsidR="001E5EED">
        <w:rPr>
          <w:rFonts w:cstheme="minorHAnsi"/>
          <w:szCs w:val="24"/>
        </w:rPr>
        <w:t>elf-</w:t>
      </w:r>
      <w:r w:rsidR="007F219E">
        <w:rPr>
          <w:rFonts w:cstheme="minorHAnsi"/>
          <w:szCs w:val="24"/>
        </w:rPr>
        <w:t>collection of testing samples</w:t>
      </w:r>
      <w:r w:rsidR="005909BC">
        <w:rPr>
          <w:rFonts w:cstheme="minorHAnsi"/>
          <w:szCs w:val="24"/>
        </w:rPr>
        <w:t xml:space="preserve"> </w:t>
      </w:r>
      <w:r w:rsidR="00B24CD5">
        <w:rPr>
          <w:rFonts w:cstheme="minorHAnsi"/>
          <w:szCs w:val="24"/>
        </w:rPr>
        <w:t>may</w:t>
      </w:r>
      <w:r w:rsidR="001E5EED">
        <w:rPr>
          <w:rFonts w:cstheme="minorHAnsi"/>
          <w:szCs w:val="24"/>
        </w:rPr>
        <w:t xml:space="preserve"> be </w:t>
      </w:r>
      <w:r w:rsidR="00BC76A5">
        <w:rPr>
          <w:rFonts w:cstheme="minorHAnsi"/>
          <w:szCs w:val="24"/>
        </w:rPr>
        <w:t xml:space="preserve">used </w:t>
      </w:r>
      <w:r w:rsidR="001E5EED" w:rsidRPr="007C2C0F">
        <w:rPr>
          <w:rFonts w:cstheme="minorHAnsi"/>
          <w:szCs w:val="24"/>
        </w:rPr>
        <w:t xml:space="preserve">as a method to increase testing in </w:t>
      </w:r>
      <w:r w:rsidR="00BC76A5">
        <w:rPr>
          <w:rFonts w:cstheme="minorHAnsi"/>
          <w:szCs w:val="24"/>
        </w:rPr>
        <w:t>people</w:t>
      </w:r>
      <w:r w:rsidR="00BC76A5" w:rsidRPr="007C2C0F">
        <w:rPr>
          <w:rFonts w:cstheme="minorHAnsi"/>
          <w:szCs w:val="24"/>
        </w:rPr>
        <w:t xml:space="preserve"> </w:t>
      </w:r>
      <w:r w:rsidR="001E5EED" w:rsidRPr="007C2C0F">
        <w:rPr>
          <w:rFonts w:cstheme="minorHAnsi"/>
          <w:szCs w:val="24"/>
        </w:rPr>
        <w:t xml:space="preserve">who have </w:t>
      </w:r>
      <w:r w:rsidR="00B40F4C" w:rsidRPr="007C2C0F">
        <w:rPr>
          <w:rFonts w:cstheme="minorHAnsi"/>
          <w:szCs w:val="24"/>
        </w:rPr>
        <w:t>symptoms</w:t>
      </w:r>
      <w:r w:rsidR="005909BC">
        <w:rPr>
          <w:rFonts w:cstheme="minorHAnsi"/>
          <w:szCs w:val="24"/>
        </w:rPr>
        <w:t xml:space="preserve"> of </w:t>
      </w:r>
      <w:r w:rsidR="005909BC" w:rsidRPr="005909BC">
        <w:rPr>
          <w:rFonts w:cstheme="minorHAnsi"/>
          <w:szCs w:val="24"/>
        </w:rPr>
        <w:t xml:space="preserve">acute respiratory illness (fever </w:t>
      </w:r>
      <w:r w:rsidR="00CD69F4">
        <w:rPr>
          <w:rFonts w:cstheme="minorHAnsi"/>
          <w:szCs w:val="24"/>
        </w:rPr>
        <w:t>or</w:t>
      </w:r>
      <w:r w:rsidR="00CD69F4" w:rsidRPr="005909BC">
        <w:rPr>
          <w:rFonts w:cstheme="minorHAnsi"/>
          <w:szCs w:val="24"/>
        </w:rPr>
        <w:t xml:space="preserve"> </w:t>
      </w:r>
      <w:r w:rsidR="005909BC" w:rsidRPr="005909BC">
        <w:rPr>
          <w:rFonts w:cstheme="minorHAnsi"/>
          <w:szCs w:val="24"/>
        </w:rPr>
        <w:t>cough) or influenza-like illness</w:t>
      </w:r>
      <w:r w:rsidR="00050022">
        <w:rPr>
          <w:rFonts w:cstheme="minorHAnsi"/>
          <w:szCs w:val="24"/>
        </w:rPr>
        <w:t>.</w:t>
      </w:r>
      <w:r w:rsidR="00980A0F">
        <w:rPr>
          <w:rFonts w:cstheme="minorHAnsi"/>
          <w:szCs w:val="24"/>
        </w:rPr>
        <w:t xml:space="preserve"> </w:t>
      </w:r>
      <w:r w:rsidR="00050022">
        <w:rPr>
          <w:rFonts w:cstheme="minorHAnsi"/>
          <w:szCs w:val="24"/>
        </w:rPr>
        <w:t xml:space="preserve">Patients who present to their GP or a respiratory clinic </w:t>
      </w:r>
      <w:r w:rsidR="0035619A">
        <w:rPr>
          <w:rFonts w:cstheme="minorHAnsi"/>
          <w:szCs w:val="24"/>
        </w:rPr>
        <w:t>will be provided with a swab and instructions on how to</w:t>
      </w:r>
      <w:r w:rsidR="00050022">
        <w:rPr>
          <w:rFonts w:cstheme="minorHAnsi"/>
          <w:szCs w:val="24"/>
        </w:rPr>
        <w:t xml:space="preserve"> </w:t>
      </w:r>
      <w:r w:rsidR="00CA4CE5">
        <w:rPr>
          <w:rFonts w:cstheme="minorHAnsi"/>
          <w:szCs w:val="24"/>
        </w:rPr>
        <w:t>collect their own sample</w:t>
      </w:r>
      <w:r w:rsidR="000A20F0">
        <w:rPr>
          <w:rFonts w:cstheme="minorHAnsi"/>
          <w:szCs w:val="24"/>
        </w:rPr>
        <w:t>.</w:t>
      </w:r>
      <w:r w:rsidR="00980A0F">
        <w:rPr>
          <w:rFonts w:cstheme="minorHAnsi"/>
          <w:szCs w:val="24"/>
        </w:rPr>
        <w:t xml:space="preserve"> </w:t>
      </w:r>
      <w:r w:rsidR="00BD22A9">
        <w:rPr>
          <w:rFonts w:cstheme="minorHAnsi"/>
          <w:szCs w:val="24"/>
        </w:rPr>
        <w:t xml:space="preserve">This method of </w:t>
      </w:r>
      <w:r w:rsidR="0035320A">
        <w:rPr>
          <w:rFonts w:cstheme="minorHAnsi"/>
          <w:szCs w:val="24"/>
        </w:rPr>
        <w:t>testing may</w:t>
      </w:r>
      <w:r w:rsidR="00BD22A9">
        <w:rPr>
          <w:rFonts w:cstheme="minorHAnsi"/>
          <w:szCs w:val="24"/>
        </w:rPr>
        <w:t xml:space="preserve"> be more acceptable to </w:t>
      </w:r>
      <w:r w:rsidR="00BC76A5">
        <w:rPr>
          <w:rFonts w:cstheme="minorHAnsi"/>
          <w:szCs w:val="24"/>
        </w:rPr>
        <w:t xml:space="preserve">people </w:t>
      </w:r>
      <w:r w:rsidR="00BD22A9">
        <w:rPr>
          <w:rFonts w:cstheme="minorHAnsi"/>
          <w:szCs w:val="24"/>
        </w:rPr>
        <w:t>and decreases the demand on PPE, as healthcare providers are removed from the process.</w:t>
      </w:r>
      <w:r w:rsidR="00980A0F">
        <w:rPr>
          <w:rFonts w:cstheme="minorHAnsi"/>
          <w:szCs w:val="24"/>
        </w:rPr>
        <w:t xml:space="preserve"> </w:t>
      </w:r>
      <w:r w:rsidR="00717015">
        <w:rPr>
          <w:rFonts w:cstheme="minorHAnsi"/>
          <w:szCs w:val="24"/>
        </w:rPr>
        <w:t xml:space="preserve">It </w:t>
      </w:r>
      <w:r w:rsidR="00BC76A5">
        <w:rPr>
          <w:rFonts w:cstheme="minorHAnsi"/>
          <w:szCs w:val="24"/>
        </w:rPr>
        <w:t>is</w:t>
      </w:r>
      <w:r w:rsidR="00E203CF">
        <w:rPr>
          <w:rFonts w:cstheme="minorHAnsi"/>
          <w:szCs w:val="24"/>
        </w:rPr>
        <w:t xml:space="preserve"> </w:t>
      </w:r>
      <w:r w:rsidR="00717015">
        <w:rPr>
          <w:rFonts w:cstheme="minorHAnsi"/>
          <w:szCs w:val="24"/>
        </w:rPr>
        <w:t xml:space="preserve">a reliable method of testing with adequate sensitivity, and any </w:t>
      </w:r>
      <w:r w:rsidR="00BE4D26">
        <w:rPr>
          <w:rFonts w:cstheme="minorHAnsi"/>
          <w:szCs w:val="24"/>
        </w:rPr>
        <w:t xml:space="preserve">potential </w:t>
      </w:r>
      <w:r w:rsidR="00717015">
        <w:rPr>
          <w:rFonts w:cstheme="minorHAnsi"/>
          <w:szCs w:val="24"/>
        </w:rPr>
        <w:t xml:space="preserve">reduction of performance in terms of </w:t>
      </w:r>
      <w:r w:rsidR="00BE4D26">
        <w:rPr>
          <w:rFonts w:cstheme="minorHAnsi"/>
          <w:szCs w:val="24"/>
        </w:rPr>
        <w:t xml:space="preserve">increased </w:t>
      </w:r>
      <w:r w:rsidR="00717015">
        <w:rPr>
          <w:rFonts w:cstheme="minorHAnsi"/>
          <w:szCs w:val="24"/>
        </w:rPr>
        <w:t>false-negatives (when compared to clinician-collected samples) is outweighed by the increase in testing capacity and reduction of demand on PPE.</w:t>
      </w:r>
      <w:r w:rsidR="00980A0F">
        <w:rPr>
          <w:rFonts w:cstheme="minorHAnsi"/>
          <w:szCs w:val="24"/>
        </w:rPr>
        <w:t xml:space="preserve"> </w:t>
      </w:r>
    </w:p>
    <w:p w14:paraId="4D143C96" w14:textId="00484D6B" w:rsidR="00F41366" w:rsidRDefault="00F41366" w:rsidP="00E53AB0">
      <w:pPr>
        <w:rPr>
          <w:rFonts w:cstheme="minorHAnsi"/>
          <w:szCs w:val="24"/>
        </w:rPr>
      </w:pPr>
      <w:r>
        <w:rPr>
          <w:rFonts w:cstheme="minorHAnsi"/>
          <w:szCs w:val="24"/>
        </w:rPr>
        <w:t xml:space="preserve">In addition, </w:t>
      </w:r>
      <w:r w:rsidR="00BE4D26">
        <w:rPr>
          <w:rFonts w:cstheme="minorHAnsi"/>
          <w:szCs w:val="24"/>
        </w:rPr>
        <w:t xml:space="preserve">questions </w:t>
      </w:r>
      <w:r w:rsidR="00697655">
        <w:rPr>
          <w:rFonts w:cstheme="minorHAnsi"/>
          <w:szCs w:val="24"/>
        </w:rPr>
        <w:t>about</w:t>
      </w:r>
      <w:r w:rsidR="00BE4D26">
        <w:rPr>
          <w:rFonts w:cstheme="minorHAnsi"/>
          <w:szCs w:val="24"/>
        </w:rPr>
        <w:t xml:space="preserve"> the extent of</w:t>
      </w:r>
      <w:r w:rsidR="00697655">
        <w:rPr>
          <w:rFonts w:cstheme="minorHAnsi"/>
          <w:szCs w:val="24"/>
        </w:rPr>
        <w:t xml:space="preserve"> community </w:t>
      </w:r>
      <w:r w:rsidR="006C2309">
        <w:rPr>
          <w:rFonts w:cstheme="minorHAnsi"/>
          <w:szCs w:val="24"/>
        </w:rPr>
        <w:t xml:space="preserve">transmission </w:t>
      </w:r>
      <w:r w:rsidR="00697655">
        <w:rPr>
          <w:rFonts w:cstheme="minorHAnsi"/>
          <w:szCs w:val="24"/>
        </w:rPr>
        <w:t xml:space="preserve">can be addressed through well designed, time-limited </w:t>
      </w:r>
      <w:r w:rsidR="001420E1">
        <w:rPr>
          <w:rFonts w:cstheme="minorHAnsi"/>
          <w:szCs w:val="24"/>
        </w:rPr>
        <w:t>surveys</w:t>
      </w:r>
      <w:r w:rsidR="00697655">
        <w:rPr>
          <w:rFonts w:cstheme="minorHAnsi"/>
          <w:szCs w:val="24"/>
        </w:rPr>
        <w:t xml:space="preserve"> in </w:t>
      </w:r>
      <w:r w:rsidR="006C2309">
        <w:rPr>
          <w:rFonts w:cstheme="minorHAnsi"/>
          <w:szCs w:val="24"/>
        </w:rPr>
        <w:t>specific settings.</w:t>
      </w:r>
      <w:r w:rsidR="00980A0F">
        <w:rPr>
          <w:rFonts w:cstheme="minorHAnsi"/>
          <w:szCs w:val="24"/>
        </w:rPr>
        <w:t xml:space="preserve"> </w:t>
      </w:r>
      <w:r w:rsidR="006C2309">
        <w:rPr>
          <w:rFonts w:cstheme="minorHAnsi"/>
          <w:szCs w:val="24"/>
        </w:rPr>
        <w:t xml:space="preserve">This type of </w:t>
      </w:r>
      <w:r w:rsidR="006C2309" w:rsidRPr="1CC80A72">
        <w:rPr>
          <w:rFonts w:cstheme="minorBidi"/>
        </w:rPr>
        <w:t>targeted testing of population sub-groups can be beneficial in fostering confidence with the response</w:t>
      </w:r>
      <w:r w:rsidR="006C2309">
        <w:rPr>
          <w:rFonts w:cstheme="minorBidi"/>
        </w:rPr>
        <w:t>.</w:t>
      </w:r>
      <w:r w:rsidR="00980A0F">
        <w:rPr>
          <w:rFonts w:cstheme="minorBidi"/>
        </w:rPr>
        <w:t xml:space="preserve"> </w:t>
      </w:r>
      <w:r>
        <w:rPr>
          <w:rFonts w:cstheme="minorBidi"/>
        </w:rPr>
        <w:t xml:space="preserve">For some of these </w:t>
      </w:r>
      <w:r w:rsidR="001420E1">
        <w:rPr>
          <w:rFonts w:cstheme="minorBidi"/>
        </w:rPr>
        <w:t>surveys</w:t>
      </w:r>
      <w:r>
        <w:rPr>
          <w:rFonts w:cstheme="minorBidi"/>
        </w:rPr>
        <w:t xml:space="preserve">, the population may have a higher risk of exposure (such as health and aged care workers). For others, there is not seen to be a higher risk of exposure, but community anxiety can be allayed by conducting representative </w:t>
      </w:r>
      <w:r w:rsidR="001420E1">
        <w:rPr>
          <w:rFonts w:cstheme="minorBidi"/>
        </w:rPr>
        <w:t>survey</w:t>
      </w:r>
      <w:r w:rsidR="00F27DD2">
        <w:rPr>
          <w:rFonts w:cstheme="minorBidi"/>
        </w:rPr>
        <w:t xml:space="preserve">s </w:t>
      </w:r>
      <w:r>
        <w:rPr>
          <w:rFonts w:cstheme="minorBidi"/>
        </w:rPr>
        <w:t>(</w:t>
      </w:r>
      <w:r w:rsidR="0035320A">
        <w:rPr>
          <w:rFonts w:cstheme="minorBidi"/>
        </w:rPr>
        <w:t xml:space="preserve">e.g. </w:t>
      </w:r>
      <w:r>
        <w:rPr>
          <w:rFonts w:cstheme="minorBidi"/>
        </w:rPr>
        <w:t xml:space="preserve">elective surgery patients, </w:t>
      </w:r>
      <w:r w:rsidR="001420E1">
        <w:rPr>
          <w:rFonts w:cstheme="minorBidi"/>
        </w:rPr>
        <w:t>healthcare</w:t>
      </w:r>
      <w:r>
        <w:rPr>
          <w:rFonts w:cstheme="minorBidi"/>
        </w:rPr>
        <w:t xml:space="preserve"> workers).</w:t>
      </w:r>
      <w:r w:rsidR="00980A0F">
        <w:rPr>
          <w:rFonts w:cstheme="minorBidi"/>
        </w:rPr>
        <w:t xml:space="preserve"> </w:t>
      </w:r>
      <w:r w:rsidR="006C2309">
        <w:rPr>
          <w:rFonts w:cstheme="minorHAnsi"/>
          <w:szCs w:val="24"/>
        </w:rPr>
        <w:t xml:space="preserve">When well considered, such </w:t>
      </w:r>
      <w:r w:rsidR="001420E1">
        <w:rPr>
          <w:rFonts w:cstheme="minorHAnsi"/>
          <w:szCs w:val="24"/>
        </w:rPr>
        <w:t>surveys</w:t>
      </w:r>
      <w:r w:rsidR="00F27DD2">
        <w:rPr>
          <w:rFonts w:cstheme="minorHAnsi"/>
          <w:szCs w:val="24"/>
        </w:rPr>
        <w:t xml:space="preserve"> </w:t>
      </w:r>
      <w:r w:rsidR="006C2309">
        <w:rPr>
          <w:rFonts w:cstheme="minorHAnsi"/>
          <w:szCs w:val="24"/>
        </w:rPr>
        <w:t>can also provide information about community transmission.</w:t>
      </w:r>
      <w:r w:rsidR="00980A0F">
        <w:rPr>
          <w:rFonts w:cstheme="minorHAnsi"/>
          <w:szCs w:val="24"/>
        </w:rPr>
        <w:t xml:space="preserve"> </w:t>
      </w:r>
    </w:p>
    <w:p w14:paraId="1C6522F5" w14:textId="590794CE" w:rsidR="00B2609C" w:rsidRPr="00F41366" w:rsidRDefault="00F41366" w:rsidP="00E53AB0">
      <w:pPr>
        <w:rPr>
          <w:rFonts w:cstheme="minorBidi"/>
        </w:rPr>
      </w:pPr>
      <w:r>
        <w:rPr>
          <w:rFonts w:cstheme="minorHAnsi"/>
          <w:szCs w:val="24"/>
        </w:rPr>
        <w:t xml:space="preserve">Currently proposed </w:t>
      </w:r>
      <w:r w:rsidR="001420E1">
        <w:rPr>
          <w:rFonts w:cstheme="minorHAnsi"/>
          <w:szCs w:val="24"/>
        </w:rPr>
        <w:t>surveys</w:t>
      </w:r>
      <w:r>
        <w:rPr>
          <w:rFonts w:cstheme="minorHAnsi"/>
          <w:szCs w:val="24"/>
        </w:rPr>
        <w:t xml:space="preserve"> </w:t>
      </w:r>
      <w:r w:rsidR="00F27DD2">
        <w:rPr>
          <w:rFonts w:cstheme="minorHAnsi"/>
          <w:szCs w:val="24"/>
        </w:rPr>
        <w:t xml:space="preserve">of </w:t>
      </w:r>
      <w:r w:rsidR="00BC76A5">
        <w:rPr>
          <w:rFonts w:cstheme="minorHAnsi"/>
          <w:szCs w:val="24"/>
        </w:rPr>
        <w:t xml:space="preserve">groups </w:t>
      </w:r>
      <w:r w:rsidR="006C2309">
        <w:rPr>
          <w:rFonts w:cstheme="minorHAnsi"/>
          <w:szCs w:val="24"/>
        </w:rPr>
        <w:t>include:</w:t>
      </w:r>
    </w:p>
    <w:p w14:paraId="6EFACA06" w14:textId="52094F2C" w:rsidR="009814F2" w:rsidRDefault="009814F2" w:rsidP="00140185">
      <w:pPr>
        <w:pStyle w:val="ListParagraph"/>
        <w:numPr>
          <w:ilvl w:val="0"/>
          <w:numId w:val="9"/>
        </w:numPr>
        <w:spacing w:after="160" w:line="259" w:lineRule="auto"/>
        <w:rPr>
          <w:rFonts w:cstheme="minorHAnsi"/>
          <w:szCs w:val="24"/>
        </w:rPr>
      </w:pPr>
      <w:r w:rsidRPr="00113B2B">
        <w:rPr>
          <w:rFonts w:cstheme="minorHAnsi"/>
          <w:szCs w:val="24"/>
        </w:rPr>
        <w:t>Elective surgery patients</w:t>
      </w:r>
      <w:r w:rsidR="003750A5">
        <w:rPr>
          <w:rFonts w:cstheme="minorHAnsi"/>
          <w:szCs w:val="24"/>
        </w:rPr>
        <w:t xml:space="preserve"> (</w:t>
      </w:r>
      <w:r w:rsidR="009D11D2">
        <w:rPr>
          <w:rFonts w:cstheme="minorHAnsi"/>
          <w:szCs w:val="24"/>
        </w:rPr>
        <w:t>tranche 1</w:t>
      </w:r>
      <w:r w:rsidR="00980A0F">
        <w:rPr>
          <w:rFonts w:cstheme="minorHAnsi"/>
          <w:szCs w:val="24"/>
        </w:rPr>
        <w:t xml:space="preserve"> </w:t>
      </w:r>
      <w:r w:rsidR="003750A5">
        <w:rPr>
          <w:rFonts w:cstheme="minorHAnsi"/>
          <w:szCs w:val="24"/>
        </w:rPr>
        <w:t xml:space="preserve">a </w:t>
      </w:r>
      <w:r w:rsidR="00F27DD2">
        <w:rPr>
          <w:rFonts w:cstheme="minorHAnsi"/>
          <w:szCs w:val="24"/>
        </w:rPr>
        <w:t xml:space="preserve">survey </w:t>
      </w:r>
      <w:r w:rsidR="003750A5">
        <w:rPr>
          <w:rFonts w:cstheme="minorHAnsi"/>
          <w:szCs w:val="24"/>
        </w:rPr>
        <w:t xml:space="preserve">is </w:t>
      </w:r>
      <w:r w:rsidR="009D11D2">
        <w:rPr>
          <w:rFonts w:cstheme="minorHAnsi"/>
          <w:szCs w:val="24"/>
        </w:rPr>
        <w:t xml:space="preserve">currently </w:t>
      </w:r>
      <w:r w:rsidR="003750A5">
        <w:rPr>
          <w:rFonts w:cstheme="minorHAnsi"/>
          <w:szCs w:val="24"/>
        </w:rPr>
        <w:t>being developed)</w:t>
      </w:r>
    </w:p>
    <w:p w14:paraId="26252ACA" w14:textId="72C54523" w:rsidR="00007394" w:rsidRPr="009F4736" w:rsidRDefault="003750A5" w:rsidP="00140185">
      <w:pPr>
        <w:pStyle w:val="ListParagraph"/>
        <w:numPr>
          <w:ilvl w:val="0"/>
          <w:numId w:val="9"/>
        </w:numPr>
        <w:spacing w:after="160" w:line="259" w:lineRule="auto"/>
        <w:rPr>
          <w:rFonts w:cstheme="minorHAnsi"/>
          <w:szCs w:val="24"/>
        </w:rPr>
      </w:pPr>
      <w:r>
        <w:rPr>
          <w:rFonts w:cstheme="minorHAnsi"/>
          <w:szCs w:val="24"/>
        </w:rPr>
        <w:t>R</w:t>
      </w:r>
      <w:r w:rsidR="00007394">
        <w:rPr>
          <w:rFonts w:cstheme="minorHAnsi"/>
          <w:szCs w:val="24"/>
        </w:rPr>
        <w:t>esidential aged care workers</w:t>
      </w:r>
      <w:r>
        <w:rPr>
          <w:rFonts w:cstheme="minorHAnsi"/>
          <w:szCs w:val="24"/>
        </w:rPr>
        <w:t xml:space="preserve"> (</w:t>
      </w:r>
      <w:r w:rsidR="00B50A4D">
        <w:rPr>
          <w:rFonts w:cstheme="minorHAnsi"/>
          <w:szCs w:val="24"/>
        </w:rPr>
        <w:t>tranche 2</w:t>
      </w:r>
      <w:r>
        <w:rPr>
          <w:rFonts w:cstheme="minorHAnsi"/>
          <w:szCs w:val="24"/>
        </w:rPr>
        <w:t>)</w:t>
      </w:r>
    </w:p>
    <w:p w14:paraId="7AE73C5B" w14:textId="14FA5577" w:rsidR="00281B28" w:rsidRDefault="00281B28" w:rsidP="00140185">
      <w:pPr>
        <w:pStyle w:val="ListParagraph"/>
        <w:numPr>
          <w:ilvl w:val="0"/>
          <w:numId w:val="9"/>
        </w:numPr>
        <w:spacing w:after="160" w:line="259" w:lineRule="auto"/>
        <w:rPr>
          <w:rFonts w:cstheme="minorHAnsi"/>
          <w:szCs w:val="24"/>
        </w:rPr>
      </w:pPr>
      <w:r w:rsidRPr="00281B28">
        <w:rPr>
          <w:rFonts w:cstheme="minorHAnsi"/>
          <w:szCs w:val="24"/>
        </w:rPr>
        <w:t xml:space="preserve">Healthcare workers (tranche </w:t>
      </w:r>
      <w:r>
        <w:rPr>
          <w:rFonts w:cstheme="minorHAnsi"/>
          <w:szCs w:val="24"/>
        </w:rPr>
        <w:t xml:space="preserve">3) </w:t>
      </w:r>
    </w:p>
    <w:p w14:paraId="14035903" w14:textId="454D8691" w:rsidR="00D13EAA" w:rsidRPr="00424CCA" w:rsidRDefault="001461B4" w:rsidP="004A1D3F">
      <w:pPr>
        <w:rPr>
          <w:rFonts w:cstheme="minorHAnsi"/>
          <w:szCs w:val="24"/>
        </w:rPr>
      </w:pPr>
      <w:r w:rsidRPr="00F269D4">
        <w:rPr>
          <w:rFonts w:cstheme="minorHAnsi"/>
          <w:szCs w:val="24"/>
        </w:rPr>
        <w:t xml:space="preserve">Additional surveillance tools such as </w:t>
      </w:r>
      <w:proofErr w:type="spellStart"/>
      <w:r w:rsidRPr="00F269D4">
        <w:rPr>
          <w:rFonts w:cstheme="minorHAnsi"/>
          <w:szCs w:val="24"/>
        </w:rPr>
        <w:t>serosurveillance</w:t>
      </w:r>
      <w:proofErr w:type="spellEnd"/>
      <w:r w:rsidRPr="00424CCA">
        <w:rPr>
          <w:rFonts w:cstheme="minorHAnsi"/>
          <w:szCs w:val="24"/>
        </w:rPr>
        <w:t xml:space="preserve"> surveys and wastewater sampling will be </w:t>
      </w:r>
      <w:r w:rsidR="00932BA1" w:rsidRPr="00424CCA">
        <w:rPr>
          <w:rFonts w:cstheme="minorHAnsi"/>
          <w:szCs w:val="24"/>
        </w:rPr>
        <w:t>established</w:t>
      </w:r>
      <w:r w:rsidRPr="00424CCA">
        <w:rPr>
          <w:rFonts w:cstheme="minorHAnsi"/>
          <w:szCs w:val="24"/>
        </w:rPr>
        <w:t xml:space="preserve"> to further inform management of the COVID-19 pandemic</w:t>
      </w:r>
      <w:r w:rsidR="00932BA1" w:rsidRPr="00424CCA">
        <w:rPr>
          <w:rFonts w:cstheme="minorHAnsi"/>
          <w:szCs w:val="24"/>
        </w:rPr>
        <w:t xml:space="preserve">. </w:t>
      </w:r>
      <w:proofErr w:type="spellStart"/>
      <w:r w:rsidR="005A4DC5">
        <w:rPr>
          <w:rFonts w:cstheme="minorHAnsi"/>
          <w:szCs w:val="24"/>
        </w:rPr>
        <w:t>Serosurveillance</w:t>
      </w:r>
      <w:proofErr w:type="spellEnd"/>
      <w:r w:rsidR="00CC0537">
        <w:rPr>
          <w:rFonts w:cstheme="minorHAnsi"/>
          <w:szCs w:val="24"/>
        </w:rPr>
        <w:t xml:space="preserve"> </w:t>
      </w:r>
      <w:r w:rsidR="004F1835">
        <w:rPr>
          <w:rFonts w:cstheme="minorHAnsi"/>
          <w:szCs w:val="24"/>
        </w:rPr>
        <w:t>measures</w:t>
      </w:r>
      <w:r w:rsidR="00BE4D26">
        <w:rPr>
          <w:rFonts w:cstheme="minorHAnsi"/>
          <w:szCs w:val="24"/>
        </w:rPr>
        <w:t xml:space="preserve"> long lasting</w:t>
      </w:r>
      <w:r w:rsidR="004F1835">
        <w:rPr>
          <w:rFonts w:cstheme="minorHAnsi"/>
          <w:szCs w:val="24"/>
        </w:rPr>
        <w:t xml:space="preserve"> levels of antibodies in individuals,</w:t>
      </w:r>
      <w:r w:rsidR="005A4DC5">
        <w:rPr>
          <w:rFonts w:cstheme="minorHAnsi"/>
          <w:szCs w:val="24"/>
        </w:rPr>
        <w:t xml:space="preserve"> </w:t>
      </w:r>
      <w:r w:rsidR="00BC76A5">
        <w:rPr>
          <w:rFonts w:cstheme="minorHAnsi"/>
          <w:szCs w:val="24"/>
        </w:rPr>
        <w:t xml:space="preserve">which </w:t>
      </w:r>
      <w:r w:rsidR="005A4DC5">
        <w:rPr>
          <w:rFonts w:cstheme="minorHAnsi"/>
          <w:szCs w:val="24"/>
        </w:rPr>
        <w:t>can improve</w:t>
      </w:r>
      <w:r w:rsidR="00AA091A" w:rsidRPr="00AA091A">
        <w:rPr>
          <w:rFonts w:cstheme="minorHAnsi"/>
          <w:szCs w:val="24"/>
        </w:rPr>
        <w:t xml:space="preserve"> our understanding of </w:t>
      </w:r>
      <w:r w:rsidR="00BE4D26">
        <w:rPr>
          <w:rFonts w:cstheme="minorHAnsi"/>
          <w:szCs w:val="24"/>
        </w:rPr>
        <w:t xml:space="preserve">the cumulative extent of </w:t>
      </w:r>
      <w:r w:rsidR="00AA091A" w:rsidRPr="00AA091A">
        <w:rPr>
          <w:rFonts w:cstheme="minorHAnsi"/>
          <w:szCs w:val="24"/>
        </w:rPr>
        <w:t xml:space="preserve">transmission </w:t>
      </w:r>
      <w:r w:rsidR="004F1835">
        <w:rPr>
          <w:rFonts w:cstheme="minorHAnsi"/>
          <w:szCs w:val="24"/>
        </w:rPr>
        <w:t>at a population level</w:t>
      </w:r>
      <w:r w:rsidR="00AA091A" w:rsidRPr="00AA091A">
        <w:rPr>
          <w:rFonts w:cstheme="minorHAnsi"/>
          <w:szCs w:val="24"/>
        </w:rPr>
        <w:t xml:space="preserve">. </w:t>
      </w:r>
      <w:r w:rsidR="00CB2865">
        <w:rPr>
          <w:rFonts w:cstheme="minorHAnsi"/>
          <w:szCs w:val="24"/>
        </w:rPr>
        <w:t xml:space="preserve">Wastewater sampling </w:t>
      </w:r>
      <w:r w:rsidR="0090561D">
        <w:rPr>
          <w:rFonts w:cstheme="minorHAnsi"/>
          <w:szCs w:val="24"/>
        </w:rPr>
        <w:t xml:space="preserve">could also be used to monitor </w:t>
      </w:r>
      <w:r w:rsidR="00CB2865" w:rsidRPr="00CB2865">
        <w:rPr>
          <w:rFonts w:cstheme="minorHAnsi"/>
          <w:szCs w:val="24"/>
        </w:rPr>
        <w:t>high risk facilities</w:t>
      </w:r>
      <w:r w:rsidR="0090561D">
        <w:rPr>
          <w:rFonts w:cstheme="minorHAnsi"/>
          <w:szCs w:val="24"/>
        </w:rPr>
        <w:t>,</w:t>
      </w:r>
      <w:r w:rsidR="00CB2865" w:rsidRPr="00CB2865">
        <w:rPr>
          <w:rFonts w:cstheme="minorHAnsi"/>
          <w:szCs w:val="24"/>
        </w:rPr>
        <w:t xml:space="preserve"> such as hospitals and aged care facilities</w:t>
      </w:r>
      <w:r w:rsidR="0090561D">
        <w:rPr>
          <w:rFonts w:cstheme="minorHAnsi"/>
          <w:szCs w:val="24"/>
        </w:rPr>
        <w:t>,</w:t>
      </w:r>
      <w:r w:rsidR="00CB2865" w:rsidRPr="00CB2865">
        <w:rPr>
          <w:rFonts w:cstheme="minorHAnsi"/>
          <w:szCs w:val="24"/>
        </w:rPr>
        <w:t xml:space="preserve"> in order to identify early transmission in such settings</w:t>
      </w:r>
      <w:r w:rsidR="009814F2">
        <w:rPr>
          <w:rFonts w:cstheme="minorHAnsi"/>
          <w:szCs w:val="24"/>
        </w:rPr>
        <w:t xml:space="preserve"> where </w:t>
      </w:r>
      <w:r w:rsidR="00BC76A5">
        <w:rPr>
          <w:rFonts w:cstheme="minorHAnsi"/>
          <w:szCs w:val="24"/>
        </w:rPr>
        <w:t>case numbers are low.</w:t>
      </w:r>
      <w:r w:rsidR="00CB2865" w:rsidRPr="00CB2865">
        <w:rPr>
          <w:rFonts w:cstheme="minorHAnsi"/>
          <w:szCs w:val="24"/>
        </w:rPr>
        <w:t xml:space="preserve"> </w:t>
      </w:r>
    </w:p>
    <w:p w14:paraId="5F7A7592" w14:textId="0F08F44B" w:rsidR="00E53AB0" w:rsidRPr="00E53AB0" w:rsidRDefault="00E53AB0" w:rsidP="00911DC5">
      <w:pPr>
        <w:rPr>
          <w:rFonts w:cstheme="minorHAnsi"/>
          <w:szCs w:val="24"/>
        </w:rPr>
      </w:pPr>
      <w:r w:rsidRPr="00E53AB0">
        <w:rPr>
          <w:rFonts w:cstheme="minorHAnsi"/>
          <w:szCs w:val="24"/>
        </w:rPr>
        <w:t>Epidemiological disease surveillance also provides data on disease severity an</w:t>
      </w:r>
      <w:r w:rsidR="00911DC5">
        <w:rPr>
          <w:rFonts w:cstheme="minorHAnsi"/>
          <w:szCs w:val="24"/>
        </w:rPr>
        <w:t>d how this may change over time</w:t>
      </w:r>
      <w:r w:rsidR="00166737">
        <w:rPr>
          <w:rFonts w:cstheme="minorHAnsi"/>
          <w:szCs w:val="24"/>
        </w:rPr>
        <w:t>, and</w:t>
      </w:r>
      <w:r w:rsidR="00911DC5">
        <w:rPr>
          <w:rFonts w:cstheme="minorHAnsi"/>
          <w:szCs w:val="24"/>
        </w:rPr>
        <w:t xml:space="preserve"> can monitor </w:t>
      </w:r>
      <w:r w:rsidRPr="00E53AB0">
        <w:rPr>
          <w:rFonts w:cstheme="minorHAnsi"/>
          <w:szCs w:val="24"/>
        </w:rPr>
        <w:t xml:space="preserve">the </w:t>
      </w:r>
      <w:r w:rsidR="00BE4D26">
        <w:rPr>
          <w:rFonts w:cstheme="minorHAnsi"/>
          <w:szCs w:val="24"/>
        </w:rPr>
        <w:t>occurrence of</w:t>
      </w:r>
      <w:r w:rsidRPr="00E53AB0">
        <w:rPr>
          <w:rFonts w:cstheme="minorHAnsi"/>
          <w:szCs w:val="24"/>
        </w:rPr>
        <w:t xml:space="preserve"> respiratory illness</w:t>
      </w:r>
      <w:r w:rsidR="00BE4D26">
        <w:rPr>
          <w:rFonts w:cstheme="minorHAnsi"/>
          <w:szCs w:val="24"/>
        </w:rPr>
        <w:t>es</w:t>
      </w:r>
      <w:r w:rsidRPr="00E53AB0">
        <w:rPr>
          <w:rFonts w:cstheme="minorHAnsi"/>
          <w:szCs w:val="24"/>
        </w:rPr>
        <w:t xml:space="preserve"> such as influenza.</w:t>
      </w:r>
      <w:r w:rsidR="00980A0F">
        <w:rPr>
          <w:rFonts w:cstheme="minorHAnsi"/>
          <w:szCs w:val="24"/>
        </w:rPr>
        <w:t xml:space="preserve"> </w:t>
      </w:r>
      <w:r w:rsidRPr="00E53AB0">
        <w:rPr>
          <w:rFonts w:cstheme="minorHAnsi"/>
          <w:szCs w:val="24"/>
        </w:rPr>
        <w:t>Vulnerable populations</w:t>
      </w:r>
      <w:r w:rsidR="00911DC5">
        <w:rPr>
          <w:rFonts w:cstheme="minorHAnsi"/>
          <w:szCs w:val="24"/>
        </w:rPr>
        <w:t>,</w:t>
      </w:r>
      <w:r w:rsidRPr="00E53AB0">
        <w:rPr>
          <w:rFonts w:cstheme="minorHAnsi"/>
          <w:szCs w:val="24"/>
        </w:rPr>
        <w:t xml:space="preserve"> such as the elderly and </w:t>
      </w:r>
      <w:r w:rsidR="00BE4D26">
        <w:rPr>
          <w:rFonts w:cstheme="minorHAnsi"/>
          <w:szCs w:val="24"/>
        </w:rPr>
        <w:t xml:space="preserve">remote </w:t>
      </w:r>
      <w:r w:rsidRPr="00E53AB0">
        <w:rPr>
          <w:rFonts w:cstheme="minorHAnsi"/>
          <w:szCs w:val="24"/>
        </w:rPr>
        <w:t xml:space="preserve">Aboriginal and Torres Strait Islander </w:t>
      </w:r>
      <w:r w:rsidR="00BE4D26">
        <w:rPr>
          <w:rFonts w:cstheme="minorHAnsi"/>
          <w:szCs w:val="24"/>
        </w:rPr>
        <w:t>communities</w:t>
      </w:r>
      <w:r w:rsidR="00911DC5">
        <w:rPr>
          <w:rFonts w:cstheme="minorHAnsi"/>
          <w:szCs w:val="24"/>
        </w:rPr>
        <w:t>,</w:t>
      </w:r>
      <w:r w:rsidRPr="00E53AB0">
        <w:rPr>
          <w:rFonts w:cstheme="minorHAnsi"/>
          <w:szCs w:val="24"/>
        </w:rPr>
        <w:t xml:space="preserve"> are particularly susceptible to the </w:t>
      </w:r>
      <w:r w:rsidR="003F5D8D">
        <w:rPr>
          <w:rFonts w:cstheme="minorHAnsi"/>
          <w:szCs w:val="24"/>
        </w:rPr>
        <w:t>impact of COVID-</w:t>
      </w:r>
      <w:r w:rsidRPr="00E53AB0">
        <w:rPr>
          <w:rFonts w:cstheme="minorHAnsi"/>
          <w:szCs w:val="24"/>
        </w:rPr>
        <w:t>19</w:t>
      </w:r>
      <w:r w:rsidR="00BC76A5">
        <w:rPr>
          <w:rFonts w:cstheme="minorHAnsi"/>
          <w:szCs w:val="24"/>
        </w:rPr>
        <w:t>. F</w:t>
      </w:r>
      <w:r w:rsidRPr="00E53AB0">
        <w:rPr>
          <w:rFonts w:cstheme="minorHAnsi"/>
          <w:szCs w:val="24"/>
        </w:rPr>
        <w:t xml:space="preserve">ocused surveillance in these populations </w:t>
      </w:r>
      <w:r w:rsidR="00567E54">
        <w:rPr>
          <w:rFonts w:cstheme="minorHAnsi"/>
          <w:szCs w:val="24"/>
        </w:rPr>
        <w:t xml:space="preserve">and their surrounding communities </w:t>
      </w:r>
      <w:r w:rsidRPr="00E53AB0">
        <w:rPr>
          <w:rFonts w:cstheme="minorHAnsi"/>
          <w:szCs w:val="24"/>
        </w:rPr>
        <w:t xml:space="preserve">will inform decisions to adapt any planned </w:t>
      </w:r>
      <w:r w:rsidR="00911DC5">
        <w:rPr>
          <w:rFonts w:cstheme="minorHAnsi"/>
          <w:szCs w:val="24"/>
        </w:rPr>
        <w:t>adjustment of measures</w:t>
      </w:r>
      <w:r w:rsidRPr="00E53AB0">
        <w:rPr>
          <w:rFonts w:cstheme="minorHAnsi"/>
          <w:szCs w:val="24"/>
        </w:rPr>
        <w:t xml:space="preserve"> to protect these groups. </w:t>
      </w:r>
    </w:p>
    <w:p w14:paraId="77FD45B1" w14:textId="78697A05" w:rsidR="00AC07E1" w:rsidRPr="00F403FF" w:rsidRDefault="00911DC5" w:rsidP="0051113D">
      <w:pPr>
        <w:rPr>
          <w:rFonts w:cstheme="minorHAnsi"/>
          <w:szCs w:val="24"/>
        </w:rPr>
      </w:pPr>
      <w:r>
        <w:rPr>
          <w:rFonts w:cstheme="minorHAnsi"/>
          <w:szCs w:val="24"/>
        </w:rPr>
        <w:t>The</w:t>
      </w:r>
      <w:r w:rsidR="00E53AB0" w:rsidRPr="00E53AB0">
        <w:rPr>
          <w:rFonts w:cstheme="minorHAnsi"/>
          <w:szCs w:val="24"/>
        </w:rPr>
        <w:t xml:space="preserve"> epidemiological </w:t>
      </w:r>
      <w:r>
        <w:rPr>
          <w:rFonts w:cstheme="minorHAnsi"/>
          <w:szCs w:val="24"/>
        </w:rPr>
        <w:t>measures</w:t>
      </w:r>
      <w:r w:rsidR="00E53AB0" w:rsidRPr="00E53AB0">
        <w:rPr>
          <w:rFonts w:cstheme="minorHAnsi"/>
          <w:szCs w:val="24"/>
        </w:rPr>
        <w:t xml:space="preserve"> will </w:t>
      </w:r>
      <w:r>
        <w:rPr>
          <w:rFonts w:cstheme="minorHAnsi"/>
          <w:szCs w:val="24"/>
        </w:rPr>
        <w:t>inform the timing and direction of adjust</w:t>
      </w:r>
      <w:r w:rsidR="00BC76A5">
        <w:rPr>
          <w:rFonts w:cstheme="minorHAnsi"/>
          <w:szCs w:val="24"/>
        </w:rPr>
        <w:t xml:space="preserve">ing </w:t>
      </w:r>
      <w:r>
        <w:rPr>
          <w:rFonts w:cstheme="minorHAnsi"/>
          <w:szCs w:val="24"/>
        </w:rPr>
        <w:t>measures.</w:t>
      </w:r>
      <w:r w:rsidR="00980A0F">
        <w:rPr>
          <w:rFonts w:cstheme="minorHAnsi"/>
          <w:szCs w:val="24"/>
        </w:rPr>
        <w:t xml:space="preserve"> </w:t>
      </w:r>
      <w:r w:rsidR="00EB414F" w:rsidRPr="00E53AB0">
        <w:rPr>
          <w:rFonts w:cstheme="minorHAnsi"/>
          <w:szCs w:val="24"/>
        </w:rPr>
        <w:t xml:space="preserve">Testing measures need to demonstrate a stable </w:t>
      </w:r>
      <w:r w:rsidR="00BE4D26">
        <w:rPr>
          <w:rFonts w:cstheme="minorHAnsi"/>
          <w:szCs w:val="24"/>
        </w:rPr>
        <w:t xml:space="preserve">and very </w:t>
      </w:r>
      <w:r w:rsidR="00EB414F" w:rsidRPr="00E53AB0">
        <w:rPr>
          <w:rFonts w:cstheme="minorHAnsi"/>
          <w:szCs w:val="24"/>
        </w:rPr>
        <w:t xml:space="preserve">low test positivity rate </w:t>
      </w:r>
      <w:r w:rsidR="00EB414F">
        <w:rPr>
          <w:rFonts w:cstheme="minorHAnsi"/>
          <w:szCs w:val="24"/>
        </w:rPr>
        <w:t>before measures can be relaxed.</w:t>
      </w:r>
      <w:r w:rsidR="00980A0F">
        <w:rPr>
          <w:rFonts w:cstheme="minorHAnsi"/>
          <w:szCs w:val="24"/>
        </w:rPr>
        <w:t xml:space="preserve"> </w:t>
      </w:r>
      <w:r w:rsidRPr="00B35FA9">
        <w:rPr>
          <w:rFonts w:cstheme="minorHAnsi"/>
          <w:szCs w:val="24"/>
        </w:rPr>
        <w:t>W</w:t>
      </w:r>
      <w:r w:rsidR="00E53AB0" w:rsidRPr="00B35FA9">
        <w:rPr>
          <w:rFonts w:cstheme="minorHAnsi"/>
          <w:szCs w:val="24"/>
        </w:rPr>
        <w:t xml:space="preserve">hen disease levels are low and have been stable over </w:t>
      </w:r>
      <w:r w:rsidRPr="00B35FA9">
        <w:rPr>
          <w:rFonts w:cstheme="minorHAnsi"/>
          <w:szCs w:val="24"/>
        </w:rPr>
        <w:t xml:space="preserve">a </w:t>
      </w:r>
      <w:r w:rsidR="00C557F3" w:rsidRPr="00B35FA9">
        <w:rPr>
          <w:rFonts w:cstheme="minorHAnsi"/>
          <w:szCs w:val="24"/>
        </w:rPr>
        <w:t>four</w:t>
      </w:r>
      <w:r w:rsidR="00E53AB0" w:rsidRPr="00B35FA9">
        <w:rPr>
          <w:rFonts w:cstheme="minorHAnsi"/>
          <w:szCs w:val="24"/>
        </w:rPr>
        <w:t xml:space="preserve"> week period</w:t>
      </w:r>
      <w:r w:rsidR="004F1835" w:rsidRPr="00B35FA9">
        <w:rPr>
          <w:rFonts w:cstheme="minorHAnsi"/>
          <w:szCs w:val="24"/>
        </w:rPr>
        <w:t xml:space="preserve"> (</w:t>
      </w:r>
      <w:r w:rsidR="00BE4D26" w:rsidRPr="00B35FA9">
        <w:rPr>
          <w:rFonts w:cstheme="minorHAnsi"/>
          <w:szCs w:val="24"/>
        </w:rPr>
        <w:t xml:space="preserve">approximately equal to </w:t>
      </w:r>
      <w:r w:rsidR="004F1835" w:rsidRPr="00E32772">
        <w:rPr>
          <w:rFonts w:cstheme="minorHAnsi"/>
          <w:szCs w:val="24"/>
        </w:rPr>
        <w:t>two reproduction cycles</w:t>
      </w:r>
      <w:r w:rsidR="00BE4D26" w:rsidRPr="00E32772">
        <w:rPr>
          <w:rFonts w:cstheme="minorHAnsi"/>
          <w:szCs w:val="24"/>
        </w:rPr>
        <w:t xml:space="preserve"> of viral transmission</w:t>
      </w:r>
      <w:r w:rsidR="004F1835" w:rsidRPr="00070564">
        <w:rPr>
          <w:rFonts w:cstheme="minorHAnsi"/>
          <w:szCs w:val="24"/>
        </w:rPr>
        <w:t>)</w:t>
      </w:r>
      <w:r w:rsidRPr="00F403FF">
        <w:rPr>
          <w:rFonts w:cstheme="minorHAnsi"/>
          <w:szCs w:val="24"/>
        </w:rPr>
        <w:t xml:space="preserve">, </w:t>
      </w:r>
      <w:r w:rsidRPr="00F403FF">
        <w:rPr>
          <w:rFonts w:cstheme="minorHAnsi"/>
          <w:szCs w:val="24"/>
        </w:rPr>
        <w:lastRenderedPageBreak/>
        <w:t>consideration may be given to relax</w:t>
      </w:r>
      <w:r w:rsidR="00BC76A5">
        <w:rPr>
          <w:rFonts w:cstheme="minorHAnsi"/>
          <w:szCs w:val="24"/>
        </w:rPr>
        <w:t xml:space="preserve">ing </w:t>
      </w:r>
      <w:r w:rsidRPr="00F403FF">
        <w:rPr>
          <w:rFonts w:cstheme="minorHAnsi"/>
          <w:szCs w:val="24"/>
        </w:rPr>
        <w:t>certain restrictions</w:t>
      </w:r>
      <w:r w:rsidR="00E53AB0" w:rsidRPr="00F403FF">
        <w:rPr>
          <w:rFonts w:cstheme="minorHAnsi"/>
          <w:szCs w:val="24"/>
        </w:rPr>
        <w:t>.</w:t>
      </w:r>
      <w:r w:rsidR="00980A0F">
        <w:rPr>
          <w:rFonts w:cstheme="minorHAnsi"/>
          <w:szCs w:val="24"/>
        </w:rPr>
        <w:t xml:space="preserve"> </w:t>
      </w:r>
      <w:r w:rsidR="00E53AB0" w:rsidRPr="00B35FA9">
        <w:rPr>
          <w:rFonts w:cstheme="minorHAnsi"/>
          <w:szCs w:val="24"/>
        </w:rPr>
        <w:t xml:space="preserve">Disease surveillance that indicates increasing </w:t>
      </w:r>
      <w:r w:rsidR="00BE4D26" w:rsidRPr="00B35FA9">
        <w:rPr>
          <w:rFonts w:cstheme="minorHAnsi"/>
          <w:szCs w:val="24"/>
        </w:rPr>
        <w:t xml:space="preserve">numbers of cases without a known source of transmission </w:t>
      </w:r>
      <w:r w:rsidR="008E17E4" w:rsidRPr="00B35FA9">
        <w:rPr>
          <w:rFonts w:cstheme="minorHAnsi"/>
          <w:szCs w:val="24"/>
        </w:rPr>
        <w:t xml:space="preserve">or </w:t>
      </w:r>
      <w:r w:rsidR="00BE4D26" w:rsidRPr="00B35FA9">
        <w:rPr>
          <w:rFonts w:cstheme="minorHAnsi"/>
          <w:szCs w:val="24"/>
        </w:rPr>
        <w:t xml:space="preserve">cases </w:t>
      </w:r>
      <w:r w:rsidR="008E17E4" w:rsidRPr="00B35FA9">
        <w:rPr>
          <w:rFonts w:cstheme="minorHAnsi"/>
          <w:szCs w:val="24"/>
        </w:rPr>
        <w:t>without an overseas link,</w:t>
      </w:r>
      <w:r w:rsidR="00E53AB0" w:rsidRPr="00B35FA9">
        <w:rPr>
          <w:rFonts w:cstheme="minorHAnsi"/>
          <w:szCs w:val="24"/>
        </w:rPr>
        <w:t xml:space="preserve"> would indicate the need for </w:t>
      </w:r>
      <w:r w:rsidRPr="00B35FA9">
        <w:rPr>
          <w:rFonts w:cstheme="minorHAnsi"/>
          <w:szCs w:val="24"/>
        </w:rPr>
        <w:t>widespread</w:t>
      </w:r>
      <w:r w:rsidR="00E53AB0" w:rsidRPr="00B35FA9">
        <w:rPr>
          <w:rFonts w:cstheme="minorHAnsi"/>
          <w:szCs w:val="24"/>
        </w:rPr>
        <w:t xml:space="preserve"> tighten</w:t>
      </w:r>
      <w:r w:rsidRPr="008D28EA">
        <w:rPr>
          <w:rFonts w:cstheme="minorHAnsi"/>
          <w:szCs w:val="24"/>
        </w:rPr>
        <w:t>ing of</w:t>
      </w:r>
      <w:r w:rsidR="00E53AB0" w:rsidRPr="008D28EA">
        <w:rPr>
          <w:rFonts w:cstheme="minorHAnsi"/>
          <w:szCs w:val="24"/>
        </w:rPr>
        <w:t xml:space="preserve"> restrictions.</w:t>
      </w:r>
      <w:r w:rsidR="00980A0F">
        <w:rPr>
          <w:rFonts w:cstheme="minorHAnsi"/>
          <w:szCs w:val="24"/>
        </w:rPr>
        <w:t xml:space="preserve"> </w:t>
      </w:r>
      <w:r w:rsidR="00E53AB0" w:rsidRPr="00B35FA9">
        <w:rPr>
          <w:rFonts w:cstheme="minorHAnsi"/>
          <w:szCs w:val="24"/>
        </w:rPr>
        <w:t>Where case numbers increase</w:t>
      </w:r>
      <w:r w:rsidR="009814F2" w:rsidRPr="00B35FA9">
        <w:rPr>
          <w:rFonts w:cstheme="minorHAnsi"/>
          <w:szCs w:val="24"/>
        </w:rPr>
        <w:t xml:space="preserve"> nationally</w:t>
      </w:r>
      <w:r w:rsidR="00E53AB0" w:rsidRPr="00B35FA9">
        <w:rPr>
          <w:rFonts w:cstheme="minorHAnsi"/>
          <w:szCs w:val="24"/>
        </w:rPr>
        <w:t xml:space="preserve"> in a specific population </w:t>
      </w:r>
      <w:r w:rsidR="009814F2" w:rsidRPr="00B35FA9">
        <w:rPr>
          <w:rFonts w:cstheme="minorHAnsi"/>
          <w:szCs w:val="24"/>
        </w:rPr>
        <w:t>over a short period</w:t>
      </w:r>
      <w:r w:rsidRPr="00B35FA9">
        <w:rPr>
          <w:rFonts w:cstheme="minorHAnsi"/>
          <w:szCs w:val="24"/>
        </w:rPr>
        <w:t>,</w:t>
      </w:r>
      <w:r w:rsidR="00E53AB0" w:rsidRPr="00B35FA9">
        <w:rPr>
          <w:rFonts w:cstheme="minorHAnsi"/>
          <w:szCs w:val="24"/>
        </w:rPr>
        <w:t xml:space="preserve"> but not across the wider population</w:t>
      </w:r>
      <w:r w:rsidRPr="00E32772">
        <w:rPr>
          <w:rFonts w:cstheme="minorHAnsi"/>
          <w:szCs w:val="24"/>
        </w:rPr>
        <w:t>,</w:t>
      </w:r>
      <w:r w:rsidR="00E53AB0" w:rsidRPr="00E32772">
        <w:rPr>
          <w:rFonts w:cstheme="minorHAnsi"/>
          <w:szCs w:val="24"/>
        </w:rPr>
        <w:t xml:space="preserve"> this would indicate the need for local tightened restrictions</w:t>
      </w:r>
      <w:r w:rsidRPr="00070564">
        <w:rPr>
          <w:rFonts w:cstheme="minorHAnsi"/>
          <w:szCs w:val="24"/>
        </w:rPr>
        <w:t xml:space="preserve">. </w:t>
      </w:r>
    </w:p>
    <w:p w14:paraId="4A678778" w14:textId="77777777" w:rsidR="00E53AB0" w:rsidRPr="00E53AB0" w:rsidRDefault="00D15492" w:rsidP="00BD1614">
      <w:pPr>
        <w:pStyle w:val="Heading2"/>
      </w:pPr>
      <w:r>
        <w:t>Public Health System C</w:t>
      </w:r>
      <w:r w:rsidR="00E53AB0" w:rsidRPr="00E53AB0">
        <w:t>apacity</w:t>
      </w:r>
      <w:r>
        <w:t xml:space="preserve"> Measures</w:t>
      </w:r>
    </w:p>
    <w:p w14:paraId="00C4DD4A" w14:textId="4787C232" w:rsidR="00E53AB0" w:rsidRPr="00E53AB0" w:rsidRDefault="00E53AB0" w:rsidP="00683284">
      <w:pPr>
        <w:rPr>
          <w:rFonts w:cstheme="minorHAnsi"/>
          <w:szCs w:val="24"/>
        </w:rPr>
      </w:pPr>
      <w:r w:rsidRPr="00683284">
        <w:rPr>
          <w:rFonts w:cstheme="minorHAnsi"/>
          <w:szCs w:val="24"/>
        </w:rPr>
        <w:t>Measures</w:t>
      </w:r>
      <w:r w:rsidRPr="00E53AB0">
        <w:rPr>
          <w:rFonts w:cstheme="minorHAnsi"/>
          <w:szCs w:val="24"/>
        </w:rPr>
        <w:t xml:space="preserve"> of public health system capacity will tell us</w:t>
      </w:r>
      <w:r w:rsidR="003C108C">
        <w:rPr>
          <w:rFonts w:cstheme="minorHAnsi"/>
          <w:szCs w:val="24"/>
        </w:rPr>
        <w:t xml:space="preserve"> how well we are able to detect and isolate cases, and </w:t>
      </w:r>
      <w:r w:rsidRPr="00E53AB0">
        <w:rPr>
          <w:rFonts w:cstheme="minorHAnsi"/>
          <w:szCs w:val="24"/>
        </w:rPr>
        <w:t xml:space="preserve">trace and </w:t>
      </w:r>
      <w:r w:rsidR="003C108C">
        <w:rPr>
          <w:rFonts w:cstheme="minorHAnsi"/>
          <w:szCs w:val="24"/>
        </w:rPr>
        <w:t>quarantine contacts</w:t>
      </w:r>
      <w:r w:rsidRPr="00E53AB0">
        <w:rPr>
          <w:rFonts w:cstheme="minorHAnsi"/>
          <w:szCs w:val="24"/>
        </w:rPr>
        <w:t xml:space="preserve"> to reduce transmission.</w:t>
      </w:r>
      <w:r w:rsidR="00980A0F">
        <w:rPr>
          <w:rFonts w:cstheme="minorHAnsi"/>
          <w:szCs w:val="24"/>
        </w:rPr>
        <w:t xml:space="preserve"> </w:t>
      </w:r>
      <w:r w:rsidRPr="00E53AB0">
        <w:rPr>
          <w:rFonts w:cstheme="minorHAnsi"/>
          <w:szCs w:val="24"/>
        </w:rPr>
        <w:t>The faster all contacts of a case can be traced</w:t>
      </w:r>
      <w:r w:rsidR="00BC76A5">
        <w:rPr>
          <w:rFonts w:cstheme="minorHAnsi"/>
          <w:szCs w:val="24"/>
        </w:rPr>
        <w:t>,</w:t>
      </w:r>
      <w:r w:rsidRPr="00E53AB0">
        <w:rPr>
          <w:rFonts w:cstheme="minorHAnsi"/>
          <w:szCs w:val="24"/>
        </w:rPr>
        <w:t xml:space="preserve"> the </w:t>
      </w:r>
      <w:r w:rsidR="003C108C">
        <w:rPr>
          <w:rFonts w:cstheme="minorHAnsi"/>
          <w:szCs w:val="24"/>
        </w:rPr>
        <w:t>sooner</w:t>
      </w:r>
      <w:r w:rsidRPr="00E53AB0">
        <w:rPr>
          <w:rFonts w:cstheme="minorHAnsi"/>
          <w:szCs w:val="24"/>
        </w:rPr>
        <w:t xml:space="preserve"> disease transmission can be halted.</w:t>
      </w:r>
      <w:r w:rsidR="00980A0F">
        <w:rPr>
          <w:rFonts w:cstheme="minorHAnsi"/>
          <w:szCs w:val="24"/>
        </w:rPr>
        <w:t xml:space="preserve"> </w:t>
      </w:r>
      <w:r w:rsidR="00B537CA">
        <w:rPr>
          <w:rFonts w:cstheme="minorHAnsi"/>
          <w:szCs w:val="24"/>
        </w:rPr>
        <w:t>Th</w:t>
      </w:r>
      <w:r w:rsidR="00CC6BF9">
        <w:rPr>
          <w:rFonts w:cstheme="minorHAnsi"/>
          <w:szCs w:val="24"/>
        </w:rPr>
        <w:t xml:space="preserve">ere will need to be certainty as to the surge capacity across </w:t>
      </w:r>
      <w:r w:rsidR="00BC76A5">
        <w:rPr>
          <w:rFonts w:cstheme="minorHAnsi"/>
          <w:szCs w:val="24"/>
        </w:rPr>
        <w:t xml:space="preserve">states and territories </w:t>
      </w:r>
      <w:r w:rsidR="00CC6BF9">
        <w:rPr>
          <w:rFonts w:cstheme="minorHAnsi"/>
          <w:szCs w:val="24"/>
        </w:rPr>
        <w:t xml:space="preserve">to undertake additional contact tracing and the timeframe of scaling up resources to conduct </w:t>
      </w:r>
      <w:r w:rsidR="00BC76A5">
        <w:rPr>
          <w:rFonts w:cstheme="minorHAnsi"/>
          <w:szCs w:val="24"/>
        </w:rPr>
        <w:t>it.</w:t>
      </w:r>
      <w:r w:rsidR="00CC6BF9">
        <w:rPr>
          <w:rFonts w:cstheme="minorHAnsi"/>
          <w:szCs w:val="24"/>
        </w:rPr>
        <w:t xml:space="preserve"> </w:t>
      </w:r>
    </w:p>
    <w:p w14:paraId="1B6A196E" w14:textId="25239DA9" w:rsidR="00E53AB0" w:rsidRPr="00E53AB0" w:rsidRDefault="00E53AB0" w:rsidP="00683284">
      <w:pPr>
        <w:rPr>
          <w:rFonts w:cstheme="minorHAnsi"/>
          <w:szCs w:val="24"/>
        </w:rPr>
      </w:pPr>
      <w:r w:rsidRPr="00E53AB0">
        <w:rPr>
          <w:rFonts w:cstheme="minorHAnsi"/>
          <w:szCs w:val="24"/>
        </w:rPr>
        <w:t>Time taken to contact trace is a function of case numbers, numbers of contacts, public health contact tracing workforce and technological support.</w:t>
      </w:r>
      <w:r w:rsidR="00980A0F">
        <w:rPr>
          <w:rFonts w:cstheme="minorHAnsi"/>
          <w:szCs w:val="24"/>
        </w:rPr>
        <w:t xml:space="preserve"> </w:t>
      </w:r>
      <w:r w:rsidRPr="00E53AB0">
        <w:rPr>
          <w:rFonts w:cstheme="minorHAnsi"/>
          <w:szCs w:val="24"/>
        </w:rPr>
        <w:t xml:space="preserve">During periods of strict </w:t>
      </w:r>
      <w:r w:rsidR="009349A0">
        <w:rPr>
          <w:rFonts w:cstheme="minorHAnsi"/>
          <w:szCs w:val="24"/>
        </w:rPr>
        <w:t xml:space="preserve">physical </w:t>
      </w:r>
      <w:r w:rsidRPr="00E53AB0">
        <w:rPr>
          <w:rFonts w:cstheme="minorHAnsi"/>
          <w:szCs w:val="24"/>
        </w:rPr>
        <w:t>distancing measures</w:t>
      </w:r>
      <w:r w:rsidR="00BC76A5">
        <w:rPr>
          <w:rFonts w:cstheme="minorHAnsi"/>
          <w:szCs w:val="24"/>
        </w:rPr>
        <w:t>,</w:t>
      </w:r>
      <w:r w:rsidRPr="00E53AB0">
        <w:rPr>
          <w:rFonts w:cstheme="minorHAnsi"/>
          <w:szCs w:val="24"/>
        </w:rPr>
        <w:t xml:space="preserve"> the numbers of contacts per case is reduced but when these measures are relaxed the average number of contacts per case increases.</w:t>
      </w:r>
      <w:r w:rsidR="00980A0F">
        <w:rPr>
          <w:rFonts w:cstheme="minorHAnsi"/>
          <w:szCs w:val="24"/>
        </w:rPr>
        <w:t xml:space="preserve"> </w:t>
      </w:r>
      <w:r w:rsidRPr="00E53AB0">
        <w:rPr>
          <w:rFonts w:cstheme="minorHAnsi"/>
          <w:szCs w:val="24"/>
        </w:rPr>
        <w:t>Technological support</w:t>
      </w:r>
      <w:r w:rsidR="005D7821">
        <w:rPr>
          <w:rFonts w:cstheme="minorHAnsi"/>
          <w:szCs w:val="24"/>
        </w:rPr>
        <w:t>,</w:t>
      </w:r>
      <w:r w:rsidRPr="00E53AB0">
        <w:rPr>
          <w:rFonts w:cstheme="minorHAnsi"/>
          <w:szCs w:val="24"/>
        </w:rPr>
        <w:t xml:space="preserve"> such as </w:t>
      </w:r>
      <w:r w:rsidR="005D7821">
        <w:rPr>
          <w:rFonts w:cstheme="minorHAnsi"/>
          <w:szCs w:val="24"/>
        </w:rPr>
        <w:t>a</w:t>
      </w:r>
      <w:r w:rsidR="005D7821" w:rsidRPr="00E53AB0">
        <w:rPr>
          <w:rFonts w:cstheme="minorHAnsi"/>
          <w:szCs w:val="24"/>
        </w:rPr>
        <w:t xml:space="preserve"> </w:t>
      </w:r>
      <w:r w:rsidRPr="00E53AB0">
        <w:rPr>
          <w:rFonts w:cstheme="minorHAnsi"/>
          <w:szCs w:val="24"/>
        </w:rPr>
        <w:t>contact tracing app</w:t>
      </w:r>
      <w:r w:rsidR="000B6858">
        <w:rPr>
          <w:rFonts w:cstheme="minorHAnsi"/>
          <w:szCs w:val="24"/>
        </w:rPr>
        <w:t>,</w:t>
      </w:r>
      <w:r w:rsidRPr="00E53AB0">
        <w:rPr>
          <w:rFonts w:cstheme="minorHAnsi"/>
          <w:szCs w:val="24"/>
        </w:rPr>
        <w:t xml:space="preserve"> will </w:t>
      </w:r>
      <w:r w:rsidR="005D7821">
        <w:rPr>
          <w:rFonts w:cstheme="minorHAnsi"/>
          <w:szCs w:val="24"/>
        </w:rPr>
        <w:t>augment traditional</w:t>
      </w:r>
      <w:r w:rsidRPr="00E53AB0">
        <w:rPr>
          <w:rFonts w:cstheme="minorHAnsi"/>
          <w:szCs w:val="24"/>
        </w:rPr>
        <w:t xml:space="preserve"> contact tracing</w:t>
      </w:r>
      <w:r w:rsidR="005D7821">
        <w:rPr>
          <w:rFonts w:cstheme="minorHAnsi"/>
          <w:szCs w:val="24"/>
        </w:rPr>
        <w:t xml:space="preserve"> practices</w:t>
      </w:r>
      <w:r w:rsidRPr="00E53AB0">
        <w:rPr>
          <w:rFonts w:cstheme="minorHAnsi"/>
          <w:szCs w:val="24"/>
        </w:rPr>
        <w:t xml:space="preserve"> and support the public health workforce.</w:t>
      </w:r>
    </w:p>
    <w:p w14:paraId="505E579E" w14:textId="347F6726" w:rsidR="00AC07E1" w:rsidRPr="00E53AB0" w:rsidRDefault="00F27DD2" w:rsidP="00AC07E1">
      <w:pPr>
        <w:rPr>
          <w:rFonts w:cstheme="minorHAnsi"/>
          <w:szCs w:val="24"/>
        </w:rPr>
      </w:pPr>
      <w:r>
        <w:rPr>
          <w:rFonts w:cstheme="minorHAnsi"/>
          <w:szCs w:val="24"/>
        </w:rPr>
        <w:t>R</w:t>
      </w:r>
      <w:r w:rsidR="00E53AB0" w:rsidRPr="00E53AB0">
        <w:rPr>
          <w:rFonts w:cstheme="minorHAnsi"/>
          <w:szCs w:val="24"/>
        </w:rPr>
        <w:t xml:space="preserve">apid contact tracing can </w:t>
      </w:r>
      <w:r w:rsidR="003C108C">
        <w:rPr>
          <w:rFonts w:cstheme="minorHAnsi"/>
          <w:szCs w:val="24"/>
        </w:rPr>
        <w:t>provide reassurance</w:t>
      </w:r>
      <w:r w:rsidR="00E53AB0" w:rsidRPr="00E53AB0">
        <w:rPr>
          <w:rFonts w:cstheme="minorHAnsi"/>
          <w:szCs w:val="24"/>
        </w:rPr>
        <w:t xml:space="preserve"> that transmission</w:t>
      </w:r>
      <w:r w:rsidR="003C108C">
        <w:rPr>
          <w:rFonts w:cstheme="minorHAnsi"/>
          <w:szCs w:val="24"/>
        </w:rPr>
        <w:t xml:space="preserve"> is being controlled</w:t>
      </w:r>
      <w:r w:rsidR="00E53AB0" w:rsidRPr="00E53AB0">
        <w:rPr>
          <w:rFonts w:cstheme="minorHAnsi"/>
          <w:szCs w:val="24"/>
        </w:rPr>
        <w:t>.</w:t>
      </w:r>
      <w:r w:rsidR="003C108C">
        <w:rPr>
          <w:rFonts w:cstheme="minorHAnsi"/>
          <w:szCs w:val="24"/>
        </w:rPr>
        <w:t xml:space="preserve"> </w:t>
      </w:r>
      <w:r w:rsidR="0036754E">
        <w:rPr>
          <w:rFonts w:cstheme="minorHAnsi"/>
          <w:szCs w:val="24"/>
        </w:rPr>
        <w:t>A rapid</w:t>
      </w:r>
      <w:r w:rsidR="0036754E" w:rsidRPr="00E53AB0">
        <w:rPr>
          <w:rFonts w:cstheme="minorHAnsi"/>
          <w:szCs w:val="24"/>
        </w:rPr>
        <w:t xml:space="preserve"> </w:t>
      </w:r>
      <w:r w:rsidR="00E53AB0" w:rsidRPr="00E53AB0">
        <w:rPr>
          <w:rFonts w:cstheme="minorHAnsi"/>
          <w:szCs w:val="24"/>
        </w:rPr>
        <w:t xml:space="preserve">increase in time taken to contact trace </w:t>
      </w:r>
      <w:r w:rsidR="002854A4">
        <w:rPr>
          <w:rFonts w:cstheme="minorHAnsi"/>
          <w:szCs w:val="24"/>
        </w:rPr>
        <w:t xml:space="preserve">relative to the number of contacts for each case </w:t>
      </w:r>
      <w:r w:rsidR="00E53AB0" w:rsidRPr="00E53AB0">
        <w:rPr>
          <w:rFonts w:cstheme="minorHAnsi"/>
          <w:szCs w:val="24"/>
        </w:rPr>
        <w:t xml:space="preserve">may indicate that disease control is slipping and measures may need to be </w:t>
      </w:r>
      <w:r w:rsidR="008E17E4">
        <w:rPr>
          <w:rFonts w:cstheme="minorHAnsi"/>
          <w:szCs w:val="24"/>
        </w:rPr>
        <w:t>adjusted</w:t>
      </w:r>
      <w:r w:rsidR="003C108C">
        <w:rPr>
          <w:rFonts w:cstheme="minorHAnsi"/>
          <w:szCs w:val="24"/>
        </w:rPr>
        <w:t xml:space="preserve"> </w:t>
      </w:r>
      <w:r w:rsidR="00E53AB0" w:rsidRPr="00E53AB0">
        <w:rPr>
          <w:rFonts w:cstheme="minorHAnsi"/>
          <w:szCs w:val="24"/>
        </w:rPr>
        <w:t xml:space="preserve">and/or </w:t>
      </w:r>
      <w:r w:rsidR="00BA7D6D">
        <w:rPr>
          <w:rFonts w:cstheme="minorHAnsi"/>
          <w:szCs w:val="24"/>
        </w:rPr>
        <w:t xml:space="preserve">that </w:t>
      </w:r>
      <w:r w:rsidR="00E53AB0" w:rsidRPr="00E53AB0">
        <w:rPr>
          <w:rFonts w:cstheme="minorHAnsi"/>
          <w:szCs w:val="24"/>
        </w:rPr>
        <w:t xml:space="preserve">further resources </w:t>
      </w:r>
      <w:r w:rsidR="000B6858">
        <w:rPr>
          <w:rFonts w:cstheme="minorHAnsi"/>
          <w:szCs w:val="24"/>
        </w:rPr>
        <w:t>are needed.</w:t>
      </w:r>
      <w:r w:rsidR="00980A0F">
        <w:rPr>
          <w:rFonts w:cstheme="minorHAnsi"/>
          <w:szCs w:val="24"/>
        </w:rPr>
        <w:t xml:space="preserve"> </w:t>
      </w:r>
    </w:p>
    <w:p w14:paraId="4E5438C1" w14:textId="77777777" w:rsidR="00E53AB0" w:rsidRPr="00E53AB0" w:rsidRDefault="00E53AB0" w:rsidP="00BD1614">
      <w:pPr>
        <w:pStyle w:val="Heading2"/>
      </w:pPr>
      <w:r w:rsidRPr="00E53AB0">
        <w:t xml:space="preserve">Health </w:t>
      </w:r>
      <w:r w:rsidR="00D15492">
        <w:t>Care System C</w:t>
      </w:r>
      <w:r w:rsidRPr="00E53AB0">
        <w:t>apacity</w:t>
      </w:r>
      <w:r w:rsidR="00D15492">
        <w:t xml:space="preserve"> Measures</w:t>
      </w:r>
    </w:p>
    <w:p w14:paraId="101218EF" w14:textId="4D95E0A0" w:rsidR="00987DEC" w:rsidRDefault="00E53AB0" w:rsidP="00E53AB0">
      <w:pPr>
        <w:rPr>
          <w:rFonts w:cstheme="minorHAnsi"/>
          <w:szCs w:val="24"/>
        </w:rPr>
      </w:pPr>
      <w:r w:rsidRPr="00E53AB0">
        <w:rPr>
          <w:rFonts w:cstheme="minorHAnsi"/>
          <w:szCs w:val="24"/>
        </w:rPr>
        <w:t>Public health measures implemented</w:t>
      </w:r>
      <w:r w:rsidR="00FF7B7C">
        <w:rPr>
          <w:rFonts w:cstheme="minorHAnsi"/>
          <w:szCs w:val="24"/>
        </w:rPr>
        <w:t xml:space="preserve"> to control the spread of COVID-</w:t>
      </w:r>
      <w:r w:rsidRPr="00E53AB0">
        <w:rPr>
          <w:rFonts w:cstheme="minorHAnsi"/>
          <w:szCs w:val="24"/>
        </w:rPr>
        <w:t>19 have included reducing normal health system activity (ceasing all but Category 1 elective surgery)</w:t>
      </w:r>
      <w:r w:rsidR="000B6858">
        <w:rPr>
          <w:rFonts w:cstheme="minorHAnsi"/>
          <w:szCs w:val="24"/>
        </w:rPr>
        <w:t>,</w:t>
      </w:r>
      <w:r w:rsidRPr="00E53AB0">
        <w:rPr>
          <w:rFonts w:cstheme="minorHAnsi"/>
          <w:szCs w:val="24"/>
        </w:rPr>
        <w:t xml:space="preserve"> thus freeing up capacity to cope</w:t>
      </w:r>
      <w:r w:rsidR="00FF7B7C">
        <w:rPr>
          <w:rFonts w:cstheme="minorHAnsi"/>
          <w:szCs w:val="24"/>
        </w:rPr>
        <w:t xml:space="preserve"> with potential demand of COVID-</w:t>
      </w:r>
      <w:r w:rsidRPr="00E53AB0">
        <w:rPr>
          <w:rFonts w:cstheme="minorHAnsi"/>
          <w:szCs w:val="24"/>
        </w:rPr>
        <w:t>19 cases.</w:t>
      </w:r>
      <w:r w:rsidR="00980A0F">
        <w:rPr>
          <w:rFonts w:cstheme="minorHAnsi"/>
          <w:szCs w:val="24"/>
        </w:rPr>
        <w:t xml:space="preserve"> </w:t>
      </w:r>
      <w:r w:rsidRPr="00E53AB0">
        <w:rPr>
          <w:rFonts w:cstheme="minorHAnsi"/>
          <w:szCs w:val="24"/>
        </w:rPr>
        <w:t xml:space="preserve">Planning for surge capacity has accelerated with additional equipment and </w:t>
      </w:r>
      <w:r w:rsidR="00CC0537" w:rsidRPr="00E53AB0">
        <w:rPr>
          <w:rFonts w:cstheme="minorHAnsi"/>
          <w:szCs w:val="24"/>
        </w:rPr>
        <w:t xml:space="preserve">consumables </w:t>
      </w:r>
      <w:r w:rsidR="00CC0537">
        <w:rPr>
          <w:rFonts w:cstheme="minorHAnsi"/>
          <w:szCs w:val="24"/>
        </w:rPr>
        <w:t>being</w:t>
      </w:r>
      <w:r w:rsidR="000B6858">
        <w:rPr>
          <w:rFonts w:cstheme="minorHAnsi"/>
          <w:szCs w:val="24"/>
        </w:rPr>
        <w:t xml:space="preserve"> procured</w:t>
      </w:r>
      <w:r w:rsidRPr="00E53AB0">
        <w:rPr>
          <w:rFonts w:cstheme="minorHAnsi"/>
          <w:szCs w:val="24"/>
        </w:rPr>
        <w:t>.</w:t>
      </w:r>
      <w:r w:rsidR="00980A0F">
        <w:rPr>
          <w:rFonts w:cstheme="minorHAnsi"/>
          <w:szCs w:val="24"/>
        </w:rPr>
        <w:t xml:space="preserve"> </w:t>
      </w:r>
      <w:r w:rsidRPr="00E53AB0">
        <w:rPr>
          <w:rFonts w:cstheme="minorHAnsi"/>
          <w:szCs w:val="24"/>
        </w:rPr>
        <w:t>Now</w:t>
      </w:r>
      <w:r w:rsidR="000B6858">
        <w:rPr>
          <w:rFonts w:cstheme="minorHAnsi"/>
          <w:szCs w:val="24"/>
        </w:rPr>
        <w:t>,</w:t>
      </w:r>
      <w:r w:rsidRPr="00E53AB0">
        <w:rPr>
          <w:rFonts w:cstheme="minorHAnsi"/>
          <w:szCs w:val="24"/>
        </w:rPr>
        <w:t xml:space="preserve"> with lower case numbers and quieter hospitals</w:t>
      </w:r>
      <w:r w:rsidR="000B6858">
        <w:rPr>
          <w:rFonts w:cstheme="minorHAnsi"/>
          <w:szCs w:val="24"/>
        </w:rPr>
        <w:t>,</w:t>
      </w:r>
      <w:r w:rsidRPr="00E53AB0">
        <w:rPr>
          <w:rFonts w:cstheme="minorHAnsi"/>
          <w:szCs w:val="24"/>
        </w:rPr>
        <w:t xml:space="preserve"> there is pressure to resume normal health care activities, at least in part.</w:t>
      </w:r>
      <w:r w:rsidR="00980A0F">
        <w:rPr>
          <w:rFonts w:cstheme="minorHAnsi"/>
          <w:szCs w:val="24"/>
        </w:rPr>
        <w:t xml:space="preserve"> </w:t>
      </w:r>
      <w:r w:rsidRPr="00E53AB0">
        <w:rPr>
          <w:rFonts w:cstheme="minorHAnsi"/>
          <w:szCs w:val="24"/>
        </w:rPr>
        <w:t>This wi</w:t>
      </w:r>
      <w:r w:rsidR="005A5AA3">
        <w:rPr>
          <w:rFonts w:cstheme="minorHAnsi"/>
          <w:szCs w:val="24"/>
        </w:rPr>
        <w:t xml:space="preserve">ll require careful monitoring of bed states, </w:t>
      </w:r>
      <w:r w:rsidR="005A5AA3" w:rsidRPr="004E6F5A">
        <w:rPr>
          <w:rFonts w:cstheme="minorHAnsi"/>
          <w:szCs w:val="24"/>
        </w:rPr>
        <w:t xml:space="preserve">ICU bed utilisation, demand on ventilators, ECMO and renal </w:t>
      </w:r>
      <w:r w:rsidR="004F1835">
        <w:rPr>
          <w:rFonts w:cstheme="minorHAnsi"/>
          <w:szCs w:val="24"/>
        </w:rPr>
        <w:t>dialysis</w:t>
      </w:r>
      <w:r w:rsidR="005A5AA3" w:rsidRPr="004E6F5A">
        <w:rPr>
          <w:rFonts w:cstheme="minorHAnsi"/>
          <w:szCs w:val="24"/>
        </w:rPr>
        <w:t xml:space="preserve">, and overall, whether any portion of surge capacity is being utilised, </w:t>
      </w:r>
      <w:r w:rsidRPr="00E53AB0">
        <w:rPr>
          <w:rFonts w:cstheme="minorHAnsi"/>
          <w:szCs w:val="24"/>
        </w:rPr>
        <w:t>to</w:t>
      </w:r>
      <w:r w:rsidR="00FF7B7C">
        <w:rPr>
          <w:rFonts w:cstheme="minorHAnsi"/>
          <w:szCs w:val="24"/>
        </w:rPr>
        <w:t xml:space="preserve"> understand the burden of COVID-</w:t>
      </w:r>
      <w:r w:rsidRPr="00E53AB0">
        <w:rPr>
          <w:rFonts w:cstheme="minorHAnsi"/>
          <w:szCs w:val="24"/>
        </w:rPr>
        <w:t>19 in hospitals</w:t>
      </w:r>
      <w:r w:rsidR="005A5AA3">
        <w:rPr>
          <w:rFonts w:cstheme="minorHAnsi"/>
          <w:szCs w:val="24"/>
        </w:rPr>
        <w:t xml:space="preserve">. </w:t>
      </w:r>
      <w:r w:rsidR="005D7821">
        <w:rPr>
          <w:rFonts w:cstheme="minorHAnsi"/>
          <w:szCs w:val="24"/>
        </w:rPr>
        <w:t>Sufficient</w:t>
      </w:r>
      <w:r w:rsidRPr="00E53AB0">
        <w:rPr>
          <w:rFonts w:cstheme="minorHAnsi"/>
          <w:szCs w:val="24"/>
        </w:rPr>
        <w:t xml:space="preserve"> surge </w:t>
      </w:r>
      <w:r w:rsidR="005D7821">
        <w:rPr>
          <w:rFonts w:cstheme="minorHAnsi"/>
          <w:szCs w:val="24"/>
        </w:rPr>
        <w:t xml:space="preserve">capacity must </w:t>
      </w:r>
      <w:r w:rsidRPr="00E53AB0">
        <w:rPr>
          <w:rFonts w:cstheme="minorHAnsi"/>
          <w:szCs w:val="24"/>
        </w:rPr>
        <w:t>exist to manage any large outbreak</w:t>
      </w:r>
      <w:r w:rsidR="007C3321">
        <w:rPr>
          <w:rFonts w:cstheme="minorHAnsi"/>
          <w:szCs w:val="24"/>
        </w:rPr>
        <w:t>, including outbreaks in rural communities,</w:t>
      </w:r>
      <w:r w:rsidRPr="00E53AB0">
        <w:rPr>
          <w:rFonts w:cstheme="minorHAnsi"/>
          <w:szCs w:val="24"/>
        </w:rPr>
        <w:t xml:space="preserve"> and </w:t>
      </w:r>
      <w:r w:rsidR="000B6858">
        <w:rPr>
          <w:rFonts w:cstheme="minorHAnsi"/>
          <w:szCs w:val="24"/>
        </w:rPr>
        <w:t xml:space="preserve">to ensure </w:t>
      </w:r>
      <w:r w:rsidRPr="00E53AB0">
        <w:rPr>
          <w:rFonts w:cstheme="minorHAnsi"/>
          <w:szCs w:val="24"/>
        </w:rPr>
        <w:t>that normal heal</w:t>
      </w:r>
      <w:r w:rsidR="00987DEC">
        <w:rPr>
          <w:rFonts w:cstheme="minorHAnsi"/>
          <w:szCs w:val="24"/>
        </w:rPr>
        <w:t xml:space="preserve">th care can be </w:t>
      </w:r>
      <w:r w:rsidR="005D7821">
        <w:rPr>
          <w:rFonts w:cstheme="minorHAnsi"/>
          <w:szCs w:val="24"/>
        </w:rPr>
        <w:t xml:space="preserve">provided </w:t>
      </w:r>
      <w:r w:rsidR="00987DEC">
        <w:rPr>
          <w:rFonts w:cstheme="minorHAnsi"/>
          <w:szCs w:val="24"/>
        </w:rPr>
        <w:t xml:space="preserve">safely. </w:t>
      </w:r>
    </w:p>
    <w:p w14:paraId="215353FB" w14:textId="2158AC3D" w:rsidR="00E53AB0" w:rsidRDefault="00E53AB0" w:rsidP="00E53AB0">
      <w:pPr>
        <w:rPr>
          <w:rFonts w:cstheme="minorHAnsi"/>
          <w:szCs w:val="24"/>
        </w:rPr>
      </w:pPr>
      <w:r w:rsidRPr="00E53AB0">
        <w:rPr>
          <w:rFonts w:cstheme="minorHAnsi"/>
          <w:szCs w:val="24"/>
        </w:rPr>
        <w:t>Health system burden due to CO</w:t>
      </w:r>
      <w:r w:rsidR="00FF7B7C">
        <w:rPr>
          <w:rFonts w:cstheme="minorHAnsi"/>
          <w:szCs w:val="24"/>
        </w:rPr>
        <w:t>VID-</w:t>
      </w:r>
      <w:r w:rsidRPr="00E53AB0">
        <w:rPr>
          <w:rFonts w:cstheme="minorHAnsi"/>
          <w:szCs w:val="24"/>
        </w:rPr>
        <w:t>19 will need to be well within normal ranges and surge capacity will need to be ready with appropriate stores and workforce to allow restrictions</w:t>
      </w:r>
      <w:r w:rsidR="0043513D">
        <w:rPr>
          <w:rFonts w:cstheme="minorHAnsi"/>
          <w:szCs w:val="24"/>
        </w:rPr>
        <w:t xml:space="preserve"> to be relaxed</w:t>
      </w:r>
      <w:r w:rsidRPr="00E53AB0">
        <w:rPr>
          <w:rFonts w:cstheme="minorHAnsi"/>
          <w:szCs w:val="24"/>
        </w:rPr>
        <w:t>.</w:t>
      </w:r>
      <w:r w:rsidR="00980A0F">
        <w:rPr>
          <w:rFonts w:cstheme="minorHAnsi"/>
          <w:szCs w:val="24"/>
        </w:rPr>
        <w:t xml:space="preserve"> </w:t>
      </w:r>
      <w:r w:rsidR="005D7821">
        <w:rPr>
          <w:rFonts w:cstheme="minorHAnsi"/>
          <w:szCs w:val="24"/>
        </w:rPr>
        <w:t>Creati</w:t>
      </w:r>
      <w:r w:rsidR="0043513D">
        <w:rPr>
          <w:rFonts w:cstheme="minorHAnsi"/>
          <w:szCs w:val="24"/>
        </w:rPr>
        <w:t xml:space="preserve">ng </w:t>
      </w:r>
      <w:r w:rsidR="005D7821">
        <w:rPr>
          <w:rFonts w:cstheme="minorHAnsi"/>
          <w:szCs w:val="24"/>
        </w:rPr>
        <w:t xml:space="preserve">surge capacity through scaling back specific health care activities needs to be balanced against the impacts of deferring </w:t>
      </w:r>
      <w:r w:rsidR="0043513D">
        <w:rPr>
          <w:rFonts w:cstheme="minorHAnsi"/>
          <w:szCs w:val="24"/>
        </w:rPr>
        <w:t>such</w:t>
      </w:r>
      <w:r w:rsidR="005D7821">
        <w:rPr>
          <w:rFonts w:cstheme="minorHAnsi"/>
          <w:szCs w:val="24"/>
        </w:rPr>
        <w:t xml:space="preserve"> activities. </w:t>
      </w:r>
    </w:p>
    <w:p w14:paraId="14C97EC8" w14:textId="5798F12D" w:rsidR="00E53AB0" w:rsidRPr="00E53AB0" w:rsidRDefault="00E53AB0" w:rsidP="00E53AB0">
      <w:pPr>
        <w:rPr>
          <w:rFonts w:cstheme="minorHAnsi"/>
          <w:szCs w:val="24"/>
        </w:rPr>
      </w:pPr>
      <w:r w:rsidRPr="00E53AB0">
        <w:rPr>
          <w:rFonts w:cstheme="minorHAnsi"/>
          <w:szCs w:val="24"/>
        </w:rPr>
        <w:t>Increasing case numbers of COVID</w:t>
      </w:r>
      <w:r w:rsidR="00FF7B7C">
        <w:rPr>
          <w:rFonts w:cstheme="minorHAnsi"/>
          <w:szCs w:val="24"/>
        </w:rPr>
        <w:t>-</w:t>
      </w:r>
      <w:r w:rsidRPr="00E53AB0">
        <w:rPr>
          <w:rFonts w:cstheme="minorHAnsi"/>
          <w:szCs w:val="24"/>
        </w:rPr>
        <w:t xml:space="preserve">19 that impact on usual health system capacity and cause surge capacity </w:t>
      </w:r>
      <w:r w:rsidR="0043513D">
        <w:rPr>
          <w:rFonts w:cstheme="minorHAnsi"/>
          <w:szCs w:val="24"/>
        </w:rPr>
        <w:t xml:space="preserve">to be activated </w:t>
      </w:r>
      <w:r w:rsidRPr="00E53AB0">
        <w:rPr>
          <w:rFonts w:cstheme="minorHAnsi"/>
          <w:szCs w:val="24"/>
        </w:rPr>
        <w:t>would indicate the need to consider tightened measures and/or reallocati</w:t>
      </w:r>
      <w:r w:rsidR="0043513D">
        <w:rPr>
          <w:rFonts w:cstheme="minorHAnsi"/>
          <w:szCs w:val="24"/>
        </w:rPr>
        <w:t xml:space="preserve">ng </w:t>
      </w:r>
      <w:r w:rsidRPr="00E53AB0">
        <w:rPr>
          <w:rFonts w:cstheme="minorHAnsi"/>
          <w:szCs w:val="24"/>
        </w:rPr>
        <w:t>resources from other parts of the health system if this burden is localised</w:t>
      </w:r>
      <w:r w:rsidR="00FF7B7C">
        <w:rPr>
          <w:rFonts w:cstheme="minorHAnsi"/>
          <w:szCs w:val="24"/>
        </w:rPr>
        <w:t>.</w:t>
      </w:r>
    </w:p>
    <w:p w14:paraId="69355D29" w14:textId="459490F1" w:rsidR="00E53AB0" w:rsidRPr="00BD1614" w:rsidRDefault="00E53AB0" w:rsidP="00BD1614">
      <w:pPr>
        <w:pStyle w:val="Heading3"/>
      </w:pPr>
      <w:r w:rsidRPr="00BD1614">
        <w:t>Modelling</w:t>
      </w:r>
    </w:p>
    <w:p w14:paraId="3F43EABA" w14:textId="42C8190E" w:rsidR="00E53AB0" w:rsidRPr="00E53AB0" w:rsidRDefault="00E53AB0" w:rsidP="00E53AB0">
      <w:pPr>
        <w:rPr>
          <w:rFonts w:cstheme="minorHAnsi"/>
          <w:szCs w:val="24"/>
        </w:rPr>
      </w:pPr>
      <w:r w:rsidRPr="00E53AB0">
        <w:rPr>
          <w:rFonts w:cstheme="minorHAnsi"/>
          <w:szCs w:val="24"/>
        </w:rPr>
        <w:t xml:space="preserve">Modelling has </w:t>
      </w:r>
      <w:r w:rsidR="00987DEC">
        <w:rPr>
          <w:rFonts w:cstheme="minorHAnsi"/>
          <w:szCs w:val="24"/>
        </w:rPr>
        <w:t>proved</w:t>
      </w:r>
      <w:r w:rsidRPr="00E53AB0">
        <w:rPr>
          <w:rFonts w:cstheme="minorHAnsi"/>
          <w:szCs w:val="24"/>
        </w:rPr>
        <w:t xml:space="preserve"> invaluable as a </w:t>
      </w:r>
      <w:r w:rsidR="00FA4980">
        <w:rPr>
          <w:rFonts w:cstheme="minorHAnsi"/>
          <w:szCs w:val="24"/>
        </w:rPr>
        <w:t>planning tool for this pandemic.</w:t>
      </w:r>
      <w:r w:rsidR="00980A0F">
        <w:rPr>
          <w:rFonts w:cstheme="minorHAnsi"/>
          <w:szCs w:val="24"/>
        </w:rPr>
        <w:t xml:space="preserve"> </w:t>
      </w:r>
      <w:r w:rsidR="00FA4980">
        <w:rPr>
          <w:rFonts w:cstheme="minorHAnsi"/>
          <w:szCs w:val="24"/>
        </w:rPr>
        <w:t>As we move into a phase with real-</w:t>
      </w:r>
      <w:r w:rsidRPr="00E53AB0">
        <w:rPr>
          <w:rFonts w:cstheme="minorHAnsi"/>
          <w:szCs w:val="24"/>
        </w:rPr>
        <w:t xml:space="preserve">time data informing </w:t>
      </w:r>
      <w:r w:rsidR="005D4B16" w:rsidRPr="00E53AB0">
        <w:rPr>
          <w:rFonts w:cstheme="minorHAnsi"/>
          <w:szCs w:val="24"/>
        </w:rPr>
        <w:t>th</w:t>
      </w:r>
      <w:r w:rsidR="005D4B16">
        <w:rPr>
          <w:rFonts w:cstheme="minorHAnsi"/>
          <w:szCs w:val="24"/>
        </w:rPr>
        <w:t>is</w:t>
      </w:r>
      <w:r w:rsidR="005D4B16" w:rsidRPr="00E53AB0">
        <w:rPr>
          <w:rFonts w:cstheme="minorHAnsi"/>
          <w:szCs w:val="24"/>
        </w:rPr>
        <w:t xml:space="preserve"> </w:t>
      </w:r>
      <w:r w:rsidRPr="00E53AB0">
        <w:rPr>
          <w:rFonts w:cstheme="minorHAnsi"/>
          <w:szCs w:val="24"/>
        </w:rPr>
        <w:t>modelling</w:t>
      </w:r>
      <w:r w:rsidR="00FA4980">
        <w:rPr>
          <w:rFonts w:cstheme="minorHAnsi"/>
          <w:szCs w:val="24"/>
        </w:rPr>
        <w:t>,</w:t>
      </w:r>
      <w:r w:rsidRPr="00E53AB0">
        <w:rPr>
          <w:rFonts w:cstheme="minorHAnsi"/>
          <w:szCs w:val="24"/>
        </w:rPr>
        <w:t xml:space="preserve"> </w:t>
      </w:r>
      <w:r w:rsidR="00FA4980">
        <w:rPr>
          <w:rFonts w:cstheme="minorHAnsi"/>
          <w:szCs w:val="24"/>
        </w:rPr>
        <w:t xml:space="preserve">these tools will </w:t>
      </w:r>
      <w:r w:rsidRPr="00E53AB0">
        <w:rPr>
          <w:rFonts w:cstheme="minorHAnsi"/>
          <w:szCs w:val="24"/>
        </w:rPr>
        <w:t xml:space="preserve">provide forecasting of </w:t>
      </w:r>
      <w:r w:rsidRPr="00E53AB0">
        <w:rPr>
          <w:rFonts w:cstheme="minorHAnsi"/>
          <w:szCs w:val="24"/>
        </w:rPr>
        <w:lastRenderedPageBreak/>
        <w:t xml:space="preserve">likely disease trajectories and </w:t>
      </w:r>
      <w:r w:rsidR="00FA4980">
        <w:rPr>
          <w:rFonts w:cstheme="minorHAnsi"/>
          <w:szCs w:val="24"/>
        </w:rPr>
        <w:t>the likely</w:t>
      </w:r>
      <w:r w:rsidRPr="00E53AB0">
        <w:rPr>
          <w:rFonts w:cstheme="minorHAnsi"/>
          <w:szCs w:val="24"/>
        </w:rPr>
        <w:t xml:space="preserve"> impact of different intervention strategies.</w:t>
      </w:r>
      <w:r w:rsidR="00980A0F">
        <w:rPr>
          <w:rFonts w:cstheme="minorHAnsi"/>
          <w:szCs w:val="24"/>
        </w:rPr>
        <w:t xml:space="preserve"> </w:t>
      </w:r>
      <w:r w:rsidRPr="00E53AB0">
        <w:rPr>
          <w:rFonts w:cstheme="minorHAnsi"/>
          <w:szCs w:val="24"/>
        </w:rPr>
        <w:t xml:space="preserve">This modelling looks back over the </w:t>
      </w:r>
      <w:r w:rsidR="006365C6">
        <w:rPr>
          <w:rFonts w:cstheme="minorHAnsi"/>
          <w:szCs w:val="24"/>
        </w:rPr>
        <w:t xml:space="preserve">previous epidemic activity </w:t>
      </w:r>
      <w:r w:rsidRPr="00E53AB0">
        <w:rPr>
          <w:rFonts w:cstheme="minorHAnsi"/>
          <w:szCs w:val="24"/>
        </w:rPr>
        <w:t>to predict forward and will provide an additional layer of evidence to inform decision</w:t>
      </w:r>
      <w:r w:rsidR="00FA4980">
        <w:rPr>
          <w:rFonts w:cstheme="minorHAnsi"/>
          <w:szCs w:val="24"/>
        </w:rPr>
        <w:t>s</w:t>
      </w:r>
      <w:r w:rsidRPr="00E53AB0">
        <w:rPr>
          <w:rFonts w:cstheme="minorHAnsi"/>
          <w:szCs w:val="24"/>
        </w:rPr>
        <w:t xml:space="preserve"> </w:t>
      </w:r>
      <w:r w:rsidR="00FA4980">
        <w:rPr>
          <w:rFonts w:cstheme="minorHAnsi"/>
          <w:szCs w:val="24"/>
        </w:rPr>
        <w:t>to</w:t>
      </w:r>
      <w:r w:rsidRPr="00E53AB0">
        <w:rPr>
          <w:rFonts w:cstheme="minorHAnsi"/>
          <w:szCs w:val="24"/>
        </w:rPr>
        <w:t xml:space="preserve"> </w:t>
      </w:r>
      <w:r w:rsidR="00FA4980">
        <w:rPr>
          <w:rFonts w:cstheme="minorHAnsi"/>
          <w:szCs w:val="24"/>
        </w:rPr>
        <w:t>adjust measures.</w:t>
      </w:r>
      <w:r w:rsidR="00980A0F">
        <w:rPr>
          <w:rFonts w:cstheme="minorHAnsi"/>
          <w:szCs w:val="24"/>
        </w:rPr>
        <w:t xml:space="preserve"> </w:t>
      </w:r>
      <w:r w:rsidR="00DA1EA1">
        <w:rPr>
          <w:rFonts w:cstheme="minorHAnsi"/>
          <w:szCs w:val="24"/>
        </w:rPr>
        <w:t>M</w:t>
      </w:r>
      <w:r w:rsidR="004B3E37">
        <w:rPr>
          <w:rFonts w:cstheme="minorHAnsi"/>
          <w:szCs w:val="24"/>
        </w:rPr>
        <w:t>odelling for specific contexts, including for remote Aboriginal and Torres Strait Island</w:t>
      </w:r>
      <w:r w:rsidR="005D4B16">
        <w:rPr>
          <w:rFonts w:cstheme="minorHAnsi"/>
          <w:szCs w:val="24"/>
        </w:rPr>
        <w:t>er</w:t>
      </w:r>
      <w:r w:rsidR="004B3E37">
        <w:rPr>
          <w:rFonts w:cstheme="minorHAnsi"/>
          <w:szCs w:val="24"/>
        </w:rPr>
        <w:t xml:space="preserve"> communities, can </w:t>
      </w:r>
      <w:r w:rsidR="00895E6B">
        <w:rPr>
          <w:rFonts w:cstheme="minorHAnsi"/>
          <w:szCs w:val="24"/>
        </w:rPr>
        <w:t xml:space="preserve">provide valuable information </w:t>
      </w:r>
    </w:p>
    <w:p w14:paraId="2B90AC93" w14:textId="1C12CD18" w:rsidR="002854A4" w:rsidRPr="00987DEC" w:rsidRDefault="00E53AB0" w:rsidP="00987DEC">
      <w:pPr>
        <w:rPr>
          <w:rFonts w:cstheme="minorHAnsi"/>
          <w:szCs w:val="24"/>
        </w:rPr>
      </w:pPr>
      <w:r w:rsidRPr="00E53AB0">
        <w:rPr>
          <w:rFonts w:cstheme="minorHAnsi"/>
          <w:szCs w:val="24"/>
        </w:rPr>
        <w:t>Where modelling predicts</w:t>
      </w:r>
      <w:r w:rsidR="00FA4980">
        <w:rPr>
          <w:rFonts w:cstheme="minorHAnsi"/>
          <w:szCs w:val="24"/>
        </w:rPr>
        <w:t xml:space="preserve"> an</w:t>
      </w:r>
      <w:r w:rsidRPr="00E53AB0">
        <w:rPr>
          <w:rFonts w:cstheme="minorHAnsi"/>
          <w:szCs w:val="24"/>
        </w:rPr>
        <w:t xml:space="preserve"> increase</w:t>
      </w:r>
      <w:r w:rsidR="00FA4980">
        <w:rPr>
          <w:rFonts w:cstheme="minorHAnsi"/>
          <w:szCs w:val="24"/>
        </w:rPr>
        <w:t xml:space="preserve"> in</w:t>
      </w:r>
      <w:r w:rsidRPr="00E53AB0">
        <w:rPr>
          <w:rFonts w:cstheme="minorHAnsi"/>
          <w:szCs w:val="24"/>
        </w:rPr>
        <w:t xml:space="preserve"> case numbers and burden</w:t>
      </w:r>
      <w:r w:rsidR="005D4B16">
        <w:rPr>
          <w:rFonts w:cstheme="minorHAnsi"/>
          <w:szCs w:val="24"/>
        </w:rPr>
        <w:t>,</w:t>
      </w:r>
      <w:r w:rsidRPr="00E53AB0">
        <w:rPr>
          <w:rFonts w:cstheme="minorHAnsi"/>
          <w:szCs w:val="24"/>
        </w:rPr>
        <w:t xml:space="preserve"> this will indicate the need to consider tightening measures. </w:t>
      </w:r>
      <w:r w:rsidR="00987DEC">
        <w:rPr>
          <w:rFonts w:cstheme="minorHAnsi"/>
          <w:szCs w:val="24"/>
        </w:rPr>
        <w:t xml:space="preserve">Conversely, where modelling predicts </w:t>
      </w:r>
      <w:r w:rsidR="00A63042">
        <w:rPr>
          <w:rFonts w:cstheme="minorHAnsi"/>
          <w:szCs w:val="24"/>
        </w:rPr>
        <w:t>a</w:t>
      </w:r>
      <w:r w:rsidR="00FA4980">
        <w:rPr>
          <w:rFonts w:cstheme="minorHAnsi"/>
          <w:szCs w:val="24"/>
        </w:rPr>
        <w:t xml:space="preserve">n effective reproduction </w:t>
      </w:r>
      <w:r w:rsidR="006365C6">
        <w:rPr>
          <w:rFonts w:cstheme="minorHAnsi"/>
          <w:szCs w:val="24"/>
        </w:rPr>
        <w:t xml:space="preserve">number </w:t>
      </w:r>
      <w:r w:rsidR="00FA4980">
        <w:rPr>
          <w:rFonts w:cstheme="minorHAnsi"/>
          <w:szCs w:val="24"/>
        </w:rPr>
        <w:t>(</w:t>
      </w:r>
      <w:proofErr w:type="spellStart"/>
      <w:r w:rsidR="00987DEC">
        <w:rPr>
          <w:rFonts w:cstheme="minorHAnsi"/>
          <w:szCs w:val="24"/>
        </w:rPr>
        <w:t>R</w:t>
      </w:r>
      <w:r w:rsidR="00FA4980">
        <w:rPr>
          <w:rFonts w:cstheme="minorHAnsi"/>
          <w:szCs w:val="24"/>
          <w:vertAlign w:val="subscript"/>
        </w:rPr>
        <w:t>eff</w:t>
      </w:r>
      <w:proofErr w:type="spellEnd"/>
      <w:r w:rsidR="00FA4980">
        <w:rPr>
          <w:rFonts w:cstheme="minorHAnsi"/>
          <w:szCs w:val="24"/>
        </w:rPr>
        <w:t xml:space="preserve">) </w:t>
      </w:r>
      <w:r w:rsidR="004F1835">
        <w:rPr>
          <w:rFonts w:cstheme="minorHAnsi"/>
          <w:szCs w:val="24"/>
        </w:rPr>
        <w:t>less than one</w:t>
      </w:r>
      <w:r w:rsidR="00987DEC">
        <w:rPr>
          <w:rFonts w:cstheme="minorHAnsi"/>
          <w:szCs w:val="24"/>
        </w:rPr>
        <w:t xml:space="preserve"> </w:t>
      </w:r>
      <w:r w:rsidR="006365C6">
        <w:rPr>
          <w:rFonts w:cstheme="minorHAnsi"/>
          <w:szCs w:val="24"/>
        </w:rPr>
        <w:t>and/or additional modelling assessments indicate control</w:t>
      </w:r>
      <w:r w:rsidR="00987DEC">
        <w:rPr>
          <w:rFonts w:cstheme="minorHAnsi"/>
          <w:szCs w:val="24"/>
        </w:rPr>
        <w:t>, measures could potentially be relaxed.</w:t>
      </w:r>
    </w:p>
    <w:p w14:paraId="6839566C" w14:textId="77777777" w:rsidR="00E53AB0" w:rsidRPr="00E44810" w:rsidRDefault="00E53AB0" w:rsidP="00BD1614">
      <w:pPr>
        <w:pStyle w:val="Heading3"/>
      </w:pPr>
      <w:r w:rsidRPr="00E44810">
        <w:t>Health system logistics – provision of PPE and consumables</w:t>
      </w:r>
    </w:p>
    <w:p w14:paraId="7AB550F6" w14:textId="4BDC56D6" w:rsidR="009349A0" w:rsidRPr="00E53AB0" w:rsidRDefault="006F2BB6" w:rsidP="009349A0">
      <w:pPr>
        <w:rPr>
          <w:rFonts w:cstheme="minorHAnsi"/>
          <w:szCs w:val="24"/>
        </w:rPr>
      </w:pPr>
      <w:r w:rsidRPr="002D4EEB">
        <w:rPr>
          <w:rFonts w:cstheme="minorHAnsi"/>
          <w:b/>
          <w:i/>
          <w:color w:val="1F497D" w:themeColor="text2"/>
          <w:szCs w:val="24"/>
        </w:rPr>
        <w:t>Personal Protective Equipment</w:t>
      </w:r>
      <w:r w:rsidRPr="006F2BB6">
        <w:rPr>
          <w:rFonts w:cstheme="minorHAnsi"/>
          <w:b/>
          <w:color w:val="1F497D" w:themeColor="text2"/>
          <w:szCs w:val="24"/>
        </w:rPr>
        <w:t>.</w:t>
      </w:r>
      <w:r w:rsidRPr="006F2BB6">
        <w:rPr>
          <w:rFonts w:cstheme="minorHAnsi"/>
          <w:color w:val="1F497D" w:themeColor="text2"/>
          <w:szCs w:val="24"/>
        </w:rPr>
        <w:t xml:space="preserve"> </w:t>
      </w:r>
      <w:r w:rsidR="00E53AB0" w:rsidRPr="00E53AB0">
        <w:rPr>
          <w:rFonts w:cstheme="minorHAnsi"/>
          <w:szCs w:val="24"/>
        </w:rPr>
        <w:t xml:space="preserve">Without sufficient stocks of </w:t>
      </w:r>
      <w:r w:rsidR="006F758C">
        <w:rPr>
          <w:rFonts w:cstheme="minorHAnsi"/>
          <w:szCs w:val="24"/>
        </w:rPr>
        <w:t>PPE</w:t>
      </w:r>
      <w:r w:rsidR="005D4B16">
        <w:rPr>
          <w:rFonts w:cstheme="minorHAnsi"/>
          <w:szCs w:val="24"/>
        </w:rPr>
        <w:t>,</w:t>
      </w:r>
      <w:r w:rsidR="00E53AB0" w:rsidRPr="00E53AB0">
        <w:rPr>
          <w:rFonts w:cstheme="minorHAnsi"/>
          <w:szCs w:val="24"/>
        </w:rPr>
        <w:t xml:space="preserve"> identification and care of patients with COVID</w:t>
      </w:r>
      <w:r w:rsidR="009349A0">
        <w:rPr>
          <w:rFonts w:cstheme="minorHAnsi"/>
          <w:szCs w:val="24"/>
        </w:rPr>
        <w:t>-</w:t>
      </w:r>
      <w:r w:rsidR="00E53AB0" w:rsidRPr="00E53AB0">
        <w:rPr>
          <w:rFonts w:cstheme="minorHAnsi"/>
          <w:szCs w:val="24"/>
        </w:rPr>
        <w:t>19 cannot occur and prevention of disease transmission is impacted</w:t>
      </w:r>
      <w:r w:rsidR="00FF7B7C">
        <w:rPr>
          <w:rFonts w:cstheme="minorHAnsi"/>
          <w:szCs w:val="24"/>
        </w:rPr>
        <w:t>,</w:t>
      </w:r>
      <w:r w:rsidR="00E53AB0" w:rsidRPr="00E53AB0">
        <w:rPr>
          <w:rFonts w:cstheme="minorHAnsi"/>
          <w:szCs w:val="24"/>
        </w:rPr>
        <w:t xml:space="preserve"> particularly in health care </w:t>
      </w:r>
      <w:r w:rsidR="00FF7B7C">
        <w:rPr>
          <w:rFonts w:cstheme="minorHAnsi"/>
          <w:szCs w:val="24"/>
        </w:rPr>
        <w:t>settings.</w:t>
      </w:r>
      <w:r w:rsidR="00980A0F">
        <w:rPr>
          <w:rFonts w:cstheme="minorHAnsi"/>
          <w:szCs w:val="24"/>
        </w:rPr>
        <w:t xml:space="preserve"> </w:t>
      </w:r>
      <w:r w:rsidR="00FF7B7C">
        <w:rPr>
          <w:rFonts w:cstheme="minorHAnsi"/>
          <w:szCs w:val="24"/>
        </w:rPr>
        <w:t xml:space="preserve">An assured supply of </w:t>
      </w:r>
      <w:r w:rsidR="00E53AB0" w:rsidRPr="00E53AB0">
        <w:rPr>
          <w:rFonts w:cstheme="minorHAnsi"/>
          <w:szCs w:val="24"/>
        </w:rPr>
        <w:t>PPE is needed for the health system to confidently manage and control this disease</w:t>
      </w:r>
      <w:r w:rsidR="00E53AB0" w:rsidRPr="00FF7B7C">
        <w:rPr>
          <w:rFonts w:cstheme="minorHAnsi"/>
          <w:szCs w:val="24"/>
        </w:rPr>
        <w:t xml:space="preserve">. </w:t>
      </w:r>
      <w:r w:rsidR="009349A0" w:rsidRPr="00E53AB0">
        <w:rPr>
          <w:rFonts w:cstheme="minorHAnsi"/>
          <w:szCs w:val="24"/>
        </w:rPr>
        <w:t>Modelling of</w:t>
      </w:r>
      <w:r w:rsidR="009349A0">
        <w:rPr>
          <w:rFonts w:cstheme="minorHAnsi"/>
          <w:szCs w:val="24"/>
        </w:rPr>
        <w:t xml:space="preserve"> </w:t>
      </w:r>
      <w:r w:rsidR="009349A0" w:rsidRPr="0051113D">
        <w:rPr>
          <w:rFonts w:cstheme="minorHAnsi"/>
          <w:i/>
          <w:szCs w:val="24"/>
        </w:rPr>
        <w:t>expected</w:t>
      </w:r>
      <w:r w:rsidR="009349A0" w:rsidRPr="00070564">
        <w:rPr>
          <w:rFonts w:cstheme="minorHAnsi"/>
          <w:color w:val="FF0000"/>
          <w:szCs w:val="24"/>
        </w:rPr>
        <w:t xml:space="preserve"> </w:t>
      </w:r>
      <w:r w:rsidR="009349A0" w:rsidRPr="00E53AB0">
        <w:rPr>
          <w:rFonts w:cstheme="minorHAnsi"/>
          <w:szCs w:val="24"/>
        </w:rPr>
        <w:t>health care PPE usage</w:t>
      </w:r>
      <w:r w:rsidR="009349A0">
        <w:rPr>
          <w:rFonts w:cstheme="minorHAnsi"/>
          <w:szCs w:val="24"/>
        </w:rPr>
        <w:t xml:space="preserve"> </w:t>
      </w:r>
      <w:r w:rsidR="009349A0" w:rsidRPr="00E53AB0">
        <w:rPr>
          <w:rFonts w:cstheme="minorHAnsi"/>
          <w:szCs w:val="24"/>
        </w:rPr>
        <w:t>will inform ongoing needs and the size of any stockpile needed to support actions to control any large outbreak(s). Careful monitoring of international and national supply chains will be required to advise of any impending supply issues.</w:t>
      </w:r>
      <w:r w:rsidR="00980A0F">
        <w:rPr>
          <w:rFonts w:cstheme="minorHAnsi"/>
          <w:szCs w:val="24"/>
        </w:rPr>
        <w:t xml:space="preserve"> </w:t>
      </w:r>
      <w:r w:rsidR="009349A0" w:rsidRPr="00E53AB0">
        <w:rPr>
          <w:rFonts w:cstheme="minorHAnsi"/>
          <w:szCs w:val="24"/>
        </w:rPr>
        <w:t>Metrics to ad</w:t>
      </w:r>
      <w:r w:rsidR="009349A0">
        <w:rPr>
          <w:rFonts w:cstheme="minorHAnsi"/>
          <w:szCs w:val="24"/>
        </w:rPr>
        <w:t>vis</w:t>
      </w:r>
      <w:r w:rsidR="009349A0" w:rsidRPr="00E53AB0">
        <w:rPr>
          <w:rFonts w:cstheme="minorHAnsi"/>
          <w:szCs w:val="24"/>
        </w:rPr>
        <w:t>e on c</w:t>
      </w:r>
      <w:r w:rsidR="009349A0">
        <w:rPr>
          <w:rFonts w:cstheme="minorHAnsi"/>
          <w:szCs w:val="24"/>
        </w:rPr>
        <w:t>u</w:t>
      </w:r>
      <w:r w:rsidR="009349A0" w:rsidRPr="00E53AB0">
        <w:rPr>
          <w:rFonts w:cstheme="minorHAnsi"/>
          <w:szCs w:val="24"/>
        </w:rPr>
        <w:t>rrent PPE supplies, guaranteed orders and stockpile adequacy will need to be monitored closely</w:t>
      </w:r>
      <w:r w:rsidR="009349A0">
        <w:rPr>
          <w:rFonts w:cstheme="minorHAnsi"/>
          <w:szCs w:val="24"/>
        </w:rPr>
        <w:t>.</w:t>
      </w:r>
      <w:r w:rsidR="00980A0F">
        <w:rPr>
          <w:rFonts w:cstheme="minorHAnsi"/>
          <w:szCs w:val="24"/>
        </w:rPr>
        <w:t xml:space="preserve"> </w:t>
      </w:r>
      <w:r w:rsidR="009349A0">
        <w:rPr>
          <w:rFonts w:cstheme="minorHAnsi"/>
          <w:szCs w:val="24"/>
        </w:rPr>
        <w:t>This modelling</w:t>
      </w:r>
      <w:r w:rsidR="009349A0" w:rsidRPr="00E53AB0">
        <w:rPr>
          <w:rFonts w:cstheme="minorHAnsi"/>
          <w:szCs w:val="24"/>
        </w:rPr>
        <w:t xml:space="preserve"> will apply to other consumables needed to support usual health care and any surge capacity</w:t>
      </w:r>
      <w:r w:rsidR="005D4B16">
        <w:rPr>
          <w:rFonts w:cstheme="minorHAnsi"/>
          <w:szCs w:val="24"/>
        </w:rPr>
        <w:t>. W</w:t>
      </w:r>
      <w:r w:rsidR="009349A0" w:rsidRPr="00E53AB0">
        <w:rPr>
          <w:rFonts w:cstheme="minorHAnsi"/>
          <w:szCs w:val="24"/>
        </w:rPr>
        <w:t>here there are likely shortages</w:t>
      </w:r>
      <w:r w:rsidR="009349A0">
        <w:rPr>
          <w:rFonts w:cstheme="minorHAnsi"/>
          <w:szCs w:val="24"/>
        </w:rPr>
        <w:t>,</w:t>
      </w:r>
      <w:r w:rsidR="009349A0" w:rsidRPr="00E53AB0">
        <w:rPr>
          <w:rFonts w:cstheme="minorHAnsi"/>
          <w:szCs w:val="24"/>
        </w:rPr>
        <w:t xml:space="preserve"> the need for stockpile support will </w:t>
      </w:r>
      <w:r w:rsidR="009349A0">
        <w:rPr>
          <w:rFonts w:cstheme="minorHAnsi"/>
          <w:szCs w:val="24"/>
        </w:rPr>
        <w:t>require</w:t>
      </w:r>
      <w:r w:rsidR="009349A0" w:rsidRPr="00E53AB0">
        <w:rPr>
          <w:rFonts w:cstheme="minorHAnsi"/>
          <w:szCs w:val="24"/>
        </w:rPr>
        <w:t xml:space="preserve"> monitoring</w:t>
      </w:r>
      <w:r w:rsidR="009349A0">
        <w:rPr>
          <w:rFonts w:cstheme="minorHAnsi"/>
          <w:szCs w:val="24"/>
        </w:rPr>
        <w:t>.</w:t>
      </w:r>
    </w:p>
    <w:p w14:paraId="18EFE482" w14:textId="734517B9" w:rsidR="009349A0" w:rsidRDefault="009349A0" w:rsidP="009349A0">
      <w:pPr>
        <w:spacing w:after="0"/>
        <w:rPr>
          <w:szCs w:val="24"/>
          <w:lang w:val="en"/>
        </w:rPr>
      </w:pPr>
      <w:r w:rsidRPr="00E53AB0">
        <w:rPr>
          <w:rFonts w:cstheme="minorHAnsi"/>
          <w:szCs w:val="24"/>
        </w:rPr>
        <w:t xml:space="preserve">Before </w:t>
      </w:r>
      <w:r>
        <w:rPr>
          <w:rFonts w:cstheme="minorHAnsi"/>
          <w:szCs w:val="24"/>
        </w:rPr>
        <w:t>measures</w:t>
      </w:r>
      <w:r w:rsidRPr="00E53AB0">
        <w:rPr>
          <w:rFonts w:cstheme="minorHAnsi"/>
          <w:szCs w:val="24"/>
        </w:rPr>
        <w:t xml:space="preserve"> can </w:t>
      </w:r>
      <w:r w:rsidR="005D4B16">
        <w:rPr>
          <w:rFonts w:cstheme="minorHAnsi"/>
          <w:szCs w:val="24"/>
        </w:rPr>
        <w:t>be adjusted</w:t>
      </w:r>
      <w:r>
        <w:rPr>
          <w:rFonts w:cstheme="minorHAnsi"/>
          <w:szCs w:val="24"/>
        </w:rPr>
        <w:t>, particularly relaxation of re</w:t>
      </w:r>
      <w:r w:rsidRPr="00E53AB0">
        <w:rPr>
          <w:rFonts w:cstheme="minorHAnsi"/>
          <w:szCs w:val="24"/>
        </w:rPr>
        <w:t>strictions</w:t>
      </w:r>
      <w:r>
        <w:rPr>
          <w:rFonts w:cstheme="minorHAnsi"/>
          <w:szCs w:val="24"/>
        </w:rPr>
        <w:t>,</w:t>
      </w:r>
      <w:r w:rsidRPr="00E53AB0">
        <w:rPr>
          <w:rFonts w:cstheme="minorHAnsi"/>
          <w:szCs w:val="24"/>
        </w:rPr>
        <w:t xml:space="preserve"> there needs to be sufficient stores to allow current operations and surge capacity to deal with any outbreak(s)</w:t>
      </w:r>
      <w:r>
        <w:rPr>
          <w:rFonts w:cstheme="minorHAnsi"/>
          <w:szCs w:val="24"/>
        </w:rPr>
        <w:t>.</w:t>
      </w:r>
      <w:r w:rsidR="00980A0F">
        <w:rPr>
          <w:rFonts w:cstheme="minorHAnsi"/>
          <w:szCs w:val="24"/>
        </w:rPr>
        <w:t xml:space="preserve"> </w:t>
      </w:r>
      <w:r w:rsidRPr="00E53AB0" w:rsidDel="00AF67F7">
        <w:rPr>
          <w:rFonts w:cstheme="minorHAnsi"/>
          <w:szCs w:val="24"/>
        </w:rPr>
        <w:t>Relax</w:t>
      </w:r>
      <w:r w:rsidR="005D4B16">
        <w:rPr>
          <w:rFonts w:cstheme="minorHAnsi"/>
          <w:szCs w:val="24"/>
        </w:rPr>
        <w:t xml:space="preserve">ing </w:t>
      </w:r>
      <w:r w:rsidRPr="00E53AB0" w:rsidDel="00AF67F7">
        <w:rPr>
          <w:rFonts w:cstheme="minorHAnsi"/>
          <w:szCs w:val="24"/>
        </w:rPr>
        <w:t>any public health</w:t>
      </w:r>
      <w:r w:rsidDel="00AF67F7">
        <w:rPr>
          <w:rFonts w:cstheme="minorHAnsi"/>
          <w:szCs w:val="24"/>
        </w:rPr>
        <w:t>-related</w:t>
      </w:r>
      <w:r w:rsidRPr="00E53AB0" w:rsidDel="00AF67F7">
        <w:rPr>
          <w:rFonts w:cstheme="minorHAnsi"/>
          <w:szCs w:val="24"/>
        </w:rPr>
        <w:t xml:space="preserve"> measures will require adequate and ongoing supplies of PPE to support confidence in the ability to provide usual health care while managing the risk of</w:t>
      </w:r>
      <w:r w:rsidDel="00AF67F7">
        <w:rPr>
          <w:rFonts w:cstheme="minorHAnsi"/>
          <w:szCs w:val="24"/>
        </w:rPr>
        <w:t xml:space="preserve"> COVID-19</w:t>
      </w:r>
      <w:r w:rsidRPr="00E53AB0" w:rsidDel="00AF67F7">
        <w:rPr>
          <w:rFonts w:cstheme="minorHAnsi"/>
          <w:szCs w:val="24"/>
        </w:rPr>
        <w:t xml:space="preserve"> transmission.</w:t>
      </w:r>
      <w:r w:rsidR="00980A0F">
        <w:rPr>
          <w:rFonts w:cstheme="minorHAnsi"/>
          <w:szCs w:val="24"/>
        </w:rPr>
        <w:t xml:space="preserve"> </w:t>
      </w:r>
      <w:r w:rsidRPr="00E53AB0">
        <w:rPr>
          <w:rFonts w:cstheme="minorHAnsi"/>
          <w:szCs w:val="24"/>
        </w:rPr>
        <w:t>Supply line shortages that will impact on ability to manage COVID</w:t>
      </w:r>
      <w:r>
        <w:rPr>
          <w:rFonts w:cstheme="minorHAnsi"/>
          <w:szCs w:val="24"/>
        </w:rPr>
        <w:t>-</w:t>
      </w:r>
      <w:r w:rsidRPr="00E53AB0">
        <w:rPr>
          <w:rFonts w:cstheme="minorHAnsi"/>
          <w:szCs w:val="24"/>
        </w:rPr>
        <w:t>19 patients will impact on case numbers and transmission</w:t>
      </w:r>
      <w:r>
        <w:rPr>
          <w:rFonts w:cstheme="minorHAnsi"/>
          <w:szCs w:val="24"/>
        </w:rPr>
        <w:t>,</w:t>
      </w:r>
      <w:r w:rsidRPr="00E53AB0">
        <w:rPr>
          <w:rFonts w:cstheme="minorHAnsi"/>
          <w:szCs w:val="24"/>
        </w:rPr>
        <w:t xml:space="preserve"> and </w:t>
      </w:r>
      <w:r>
        <w:rPr>
          <w:rFonts w:cstheme="minorHAnsi"/>
          <w:szCs w:val="24"/>
        </w:rPr>
        <w:t xml:space="preserve">will </w:t>
      </w:r>
      <w:r w:rsidRPr="00E53AB0">
        <w:rPr>
          <w:rFonts w:cstheme="minorHAnsi"/>
          <w:szCs w:val="24"/>
        </w:rPr>
        <w:t>require consideration of tightening of measures</w:t>
      </w:r>
      <w:r>
        <w:rPr>
          <w:rFonts w:cstheme="minorHAnsi"/>
          <w:szCs w:val="24"/>
        </w:rPr>
        <w:t>.</w:t>
      </w:r>
    </w:p>
    <w:p w14:paraId="0746917B" w14:textId="284230A1" w:rsidR="00750636" w:rsidRDefault="006F2BB6" w:rsidP="007F20C1">
      <w:pPr>
        <w:rPr>
          <w:szCs w:val="24"/>
          <w:lang w:val="en"/>
        </w:rPr>
      </w:pPr>
      <w:r w:rsidRPr="002D4EEB">
        <w:rPr>
          <w:rFonts w:cstheme="minorHAnsi"/>
          <w:b/>
          <w:i/>
          <w:color w:val="1F497D" w:themeColor="text2"/>
          <w:szCs w:val="24"/>
        </w:rPr>
        <w:t>Testing and Laboratory Capacity</w:t>
      </w:r>
      <w:r w:rsidRPr="006F2BB6">
        <w:rPr>
          <w:rFonts w:cstheme="minorHAnsi"/>
          <w:b/>
          <w:color w:val="1F497D" w:themeColor="text2"/>
          <w:szCs w:val="24"/>
        </w:rPr>
        <w:t>.</w:t>
      </w:r>
      <w:r w:rsidRPr="006F2BB6">
        <w:rPr>
          <w:rFonts w:cstheme="minorHAnsi"/>
          <w:color w:val="1F497D" w:themeColor="text2"/>
          <w:szCs w:val="24"/>
        </w:rPr>
        <w:t xml:space="preserve"> </w:t>
      </w:r>
      <w:r w:rsidR="00FF7B7C" w:rsidRPr="00FF7B7C">
        <w:rPr>
          <w:rFonts w:cstheme="minorHAnsi"/>
          <w:szCs w:val="24"/>
        </w:rPr>
        <w:t>Case identification relies on adequate testing capacity to ensure no cases are missed and is required for comprehensive sentinel testing.</w:t>
      </w:r>
      <w:r w:rsidR="00980A0F">
        <w:rPr>
          <w:rFonts w:cstheme="minorHAnsi"/>
          <w:szCs w:val="24"/>
        </w:rPr>
        <w:t xml:space="preserve"> </w:t>
      </w:r>
      <w:r w:rsidR="00FF7B7C" w:rsidRPr="00FF7B7C">
        <w:rPr>
          <w:rFonts w:cstheme="minorHAnsi"/>
          <w:szCs w:val="24"/>
        </w:rPr>
        <w:t>Testing has been constrained by shortages of consumables</w:t>
      </w:r>
      <w:r w:rsidR="005D4B16">
        <w:rPr>
          <w:rFonts w:cstheme="minorHAnsi"/>
          <w:szCs w:val="24"/>
        </w:rPr>
        <w:t>. W</w:t>
      </w:r>
      <w:r w:rsidR="00FF7B7C" w:rsidRPr="00FF7B7C">
        <w:rPr>
          <w:rFonts w:cstheme="minorHAnsi"/>
          <w:szCs w:val="24"/>
        </w:rPr>
        <w:t>hile active procurement strategies, diversification of testing platforms and innovative testing practices have improved</w:t>
      </w:r>
      <w:r w:rsidR="00DA1A61">
        <w:rPr>
          <w:rFonts w:cstheme="minorHAnsi"/>
          <w:szCs w:val="24"/>
        </w:rPr>
        <w:t xml:space="preserve"> capacity</w:t>
      </w:r>
      <w:r w:rsidR="00FF7B7C" w:rsidRPr="00FF7B7C">
        <w:rPr>
          <w:rFonts w:cstheme="minorHAnsi"/>
          <w:szCs w:val="24"/>
        </w:rPr>
        <w:t xml:space="preserve">, careful monitoring of </w:t>
      </w:r>
      <w:r w:rsidR="00DA1A61">
        <w:rPr>
          <w:rFonts w:cstheme="minorHAnsi"/>
          <w:szCs w:val="24"/>
        </w:rPr>
        <w:t>testing consumables</w:t>
      </w:r>
      <w:r w:rsidR="00FF7B7C" w:rsidRPr="00FF7B7C">
        <w:rPr>
          <w:rFonts w:cstheme="minorHAnsi"/>
          <w:szCs w:val="24"/>
        </w:rPr>
        <w:t xml:space="preserve"> supply </w:t>
      </w:r>
      <w:r w:rsidR="00DA1A61">
        <w:rPr>
          <w:rFonts w:cstheme="minorHAnsi"/>
          <w:szCs w:val="24"/>
        </w:rPr>
        <w:t xml:space="preserve">and the impact on testing capacity </w:t>
      </w:r>
      <w:r w:rsidR="00FF7B7C" w:rsidRPr="00FF7B7C">
        <w:rPr>
          <w:rFonts w:cstheme="minorHAnsi"/>
          <w:szCs w:val="24"/>
        </w:rPr>
        <w:t>will need to continue.</w:t>
      </w:r>
      <w:r w:rsidR="00FF7B7C" w:rsidRPr="00E53AB0">
        <w:rPr>
          <w:rFonts w:cstheme="minorHAnsi"/>
          <w:szCs w:val="24"/>
        </w:rPr>
        <w:t xml:space="preserve"> </w:t>
      </w:r>
    </w:p>
    <w:p w14:paraId="3947DAB3" w14:textId="77777777" w:rsidR="00FA4A19" w:rsidRPr="00BD1614" w:rsidRDefault="00FA4A19" w:rsidP="00BD1614">
      <w:pPr>
        <w:pStyle w:val="Heading2"/>
      </w:pPr>
      <w:r w:rsidRPr="00BD1614">
        <w:t xml:space="preserve">Community Acceptance and </w:t>
      </w:r>
      <w:r w:rsidR="00166737" w:rsidRPr="00BD1614">
        <w:t>Adherence</w:t>
      </w:r>
      <w:r w:rsidR="00D15492" w:rsidRPr="00BD1614">
        <w:t xml:space="preserve"> Measures</w:t>
      </w:r>
    </w:p>
    <w:p w14:paraId="149DD5A7" w14:textId="316D7B14" w:rsidR="00EF7C97" w:rsidRPr="00B46B9A" w:rsidRDefault="008B00AA" w:rsidP="00EF7C97">
      <w:pPr>
        <w:rPr>
          <w:szCs w:val="24"/>
          <w:lang w:val="en"/>
        </w:rPr>
      </w:pPr>
      <w:r>
        <w:rPr>
          <w:szCs w:val="24"/>
          <w:lang w:val="en"/>
        </w:rPr>
        <w:t>Community a</w:t>
      </w:r>
      <w:r w:rsidR="002F4675">
        <w:rPr>
          <w:szCs w:val="24"/>
          <w:lang w:val="en"/>
        </w:rPr>
        <w:t xml:space="preserve">ttitudes and perceptions towards current </w:t>
      </w:r>
      <w:r w:rsidR="00B46B9A">
        <w:rPr>
          <w:szCs w:val="24"/>
          <w:lang w:val="en"/>
        </w:rPr>
        <w:t xml:space="preserve">measures </w:t>
      </w:r>
      <w:r w:rsidR="002F4675">
        <w:rPr>
          <w:szCs w:val="24"/>
          <w:lang w:val="en"/>
        </w:rPr>
        <w:t xml:space="preserve">and proposed </w:t>
      </w:r>
      <w:r w:rsidR="00B46B9A">
        <w:rPr>
          <w:szCs w:val="24"/>
          <w:lang w:val="en"/>
        </w:rPr>
        <w:t>adjustments</w:t>
      </w:r>
      <w:r w:rsidR="002F4675">
        <w:rPr>
          <w:szCs w:val="24"/>
          <w:lang w:val="en"/>
        </w:rPr>
        <w:t xml:space="preserve"> to public health me</w:t>
      </w:r>
      <w:r>
        <w:rPr>
          <w:szCs w:val="24"/>
          <w:lang w:val="en"/>
        </w:rPr>
        <w:t xml:space="preserve">asures are </w:t>
      </w:r>
      <w:r w:rsidR="00324DEF">
        <w:rPr>
          <w:szCs w:val="24"/>
          <w:lang w:val="en"/>
        </w:rPr>
        <w:t>very</w:t>
      </w:r>
      <w:r>
        <w:rPr>
          <w:szCs w:val="24"/>
          <w:lang w:val="en"/>
        </w:rPr>
        <w:t xml:space="preserve"> important</w:t>
      </w:r>
      <w:r w:rsidR="005D4B16">
        <w:rPr>
          <w:szCs w:val="24"/>
          <w:lang w:val="en"/>
        </w:rPr>
        <w:t>. T</w:t>
      </w:r>
      <w:r w:rsidR="00324DEF">
        <w:rPr>
          <w:szCs w:val="24"/>
          <w:lang w:val="en"/>
        </w:rPr>
        <w:t>he effectiveness of measures depends on public acceptance</w:t>
      </w:r>
      <w:r w:rsidR="00B46B9A">
        <w:rPr>
          <w:szCs w:val="24"/>
          <w:lang w:val="en"/>
        </w:rPr>
        <w:t xml:space="preserve"> and </w:t>
      </w:r>
      <w:r w:rsidR="00C45A75">
        <w:rPr>
          <w:szCs w:val="24"/>
          <w:lang w:val="en"/>
        </w:rPr>
        <w:t>adherence</w:t>
      </w:r>
      <w:r w:rsidR="00B46B9A">
        <w:rPr>
          <w:szCs w:val="24"/>
          <w:lang w:val="en"/>
        </w:rPr>
        <w:t xml:space="preserve"> to advice</w:t>
      </w:r>
      <w:r>
        <w:rPr>
          <w:szCs w:val="24"/>
          <w:lang w:val="en"/>
        </w:rPr>
        <w:t>.</w:t>
      </w:r>
      <w:r w:rsidR="00324DEF">
        <w:rPr>
          <w:szCs w:val="24"/>
          <w:lang w:val="en"/>
        </w:rPr>
        <w:t xml:space="preserve"> </w:t>
      </w:r>
      <w:r w:rsidR="00B11A68">
        <w:rPr>
          <w:szCs w:val="24"/>
          <w:lang w:val="en"/>
        </w:rPr>
        <w:t xml:space="preserve">If </w:t>
      </w:r>
      <w:r w:rsidR="0027772B">
        <w:rPr>
          <w:szCs w:val="24"/>
          <w:lang w:val="en"/>
        </w:rPr>
        <w:t xml:space="preserve">community acceptance of the measures </w:t>
      </w:r>
      <w:r w:rsidR="00EA5AC5">
        <w:rPr>
          <w:szCs w:val="24"/>
          <w:lang w:val="en"/>
        </w:rPr>
        <w:t>decreases (</w:t>
      </w:r>
      <w:r w:rsidR="005D4B16">
        <w:rPr>
          <w:szCs w:val="24"/>
          <w:lang w:val="en"/>
        </w:rPr>
        <w:t>e.g.</w:t>
      </w:r>
      <w:r w:rsidR="00EA5AC5">
        <w:rPr>
          <w:szCs w:val="24"/>
          <w:lang w:val="en"/>
        </w:rPr>
        <w:t xml:space="preserve"> if </w:t>
      </w:r>
      <w:r w:rsidR="004E6F5A">
        <w:rPr>
          <w:szCs w:val="24"/>
          <w:lang w:val="en"/>
        </w:rPr>
        <w:t>the community</w:t>
      </w:r>
      <w:r w:rsidR="00EA5AC5">
        <w:rPr>
          <w:szCs w:val="24"/>
          <w:lang w:val="en"/>
        </w:rPr>
        <w:t xml:space="preserve"> feel</w:t>
      </w:r>
      <w:r w:rsidR="004E6F5A">
        <w:rPr>
          <w:szCs w:val="24"/>
          <w:lang w:val="en"/>
        </w:rPr>
        <w:t>s</w:t>
      </w:r>
      <w:r w:rsidR="00EA5AC5">
        <w:rPr>
          <w:szCs w:val="24"/>
          <w:lang w:val="en"/>
        </w:rPr>
        <w:t xml:space="preserve"> measures </w:t>
      </w:r>
      <w:r w:rsidR="004E6F5A">
        <w:rPr>
          <w:szCs w:val="24"/>
          <w:lang w:val="en"/>
        </w:rPr>
        <w:t xml:space="preserve">being implemented </w:t>
      </w:r>
      <w:r w:rsidR="00EA5AC5">
        <w:rPr>
          <w:szCs w:val="24"/>
          <w:lang w:val="en"/>
        </w:rPr>
        <w:t>are disproportionate</w:t>
      </w:r>
      <w:r w:rsidR="000417AC">
        <w:rPr>
          <w:szCs w:val="24"/>
          <w:lang w:val="en"/>
        </w:rPr>
        <w:t xml:space="preserve">, or that </w:t>
      </w:r>
      <w:r w:rsidR="005D4B16">
        <w:rPr>
          <w:szCs w:val="24"/>
          <w:lang w:val="en"/>
        </w:rPr>
        <w:t xml:space="preserve">there are </w:t>
      </w:r>
      <w:r w:rsidR="000417AC">
        <w:rPr>
          <w:szCs w:val="24"/>
          <w:lang w:val="en"/>
        </w:rPr>
        <w:t>inequalities across regions</w:t>
      </w:r>
      <w:r w:rsidR="00EA5AC5">
        <w:rPr>
          <w:szCs w:val="24"/>
          <w:lang w:val="en"/>
        </w:rPr>
        <w:t xml:space="preserve">), </w:t>
      </w:r>
      <w:r w:rsidR="005D4B16">
        <w:rPr>
          <w:szCs w:val="24"/>
          <w:lang w:val="en"/>
        </w:rPr>
        <w:t xml:space="preserve">community </w:t>
      </w:r>
      <w:r w:rsidR="00EA5AC5">
        <w:rPr>
          <w:szCs w:val="24"/>
          <w:lang w:val="en"/>
        </w:rPr>
        <w:t>adherence</w:t>
      </w:r>
      <w:r w:rsidR="005D4B16">
        <w:rPr>
          <w:szCs w:val="24"/>
          <w:lang w:val="en"/>
        </w:rPr>
        <w:t xml:space="preserve"> is likely to reduce</w:t>
      </w:r>
      <w:r w:rsidR="00324DEF">
        <w:rPr>
          <w:szCs w:val="24"/>
          <w:lang w:val="en"/>
        </w:rPr>
        <w:t xml:space="preserve">. </w:t>
      </w:r>
      <w:r w:rsidR="00B11A68">
        <w:rPr>
          <w:szCs w:val="24"/>
          <w:lang w:val="en"/>
        </w:rPr>
        <w:t xml:space="preserve">We need to be </w:t>
      </w:r>
      <w:r w:rsidR="00324DEF">
        <w:rPr>
          <w:szCs w:val="24"/>
          <w:lang w:val="en"/>
        </w:rPr>
        <w:t xml:space="preserve">able to be </w:t>
      </w:r>
      <w:r w:rsidR="00B11A68">
        <w:rPr>
          <w:szCs w:val="24"/>
          <w:lang w:val="en"/>
        </w:rPr>
        <w:t>quickly identify any change to adherence</w:t>
      </w:r>
      <w:r w:rsidR="0016206C">
        <w:rPr>
          <w:szCs w:val="24"/>
          <w:lang w:val="en"/>
        </w:rPr>
        <w:t>. This</w:t>
      </w:r>
      <w:r w:rsidR="00B11A68">
        <w:rPr>
          <w:szCs w:val="24"/>
          <w:lang w:val="en"/>
        </w:rPr>
        <w:t xml:space="preserve"> will be achieved through monitoring c</w:t>
      </w:r>
      <w:r w:rsidR="00324DEF">
        <w:rPr>
          <w:szCs w:val="24"/>
          <w:lang w:val="en"/>
        </w:rPr>
        <w:t xml:space="preserve">ommunity attitudes to government communications and measures, with tools </w:t>
      </w:r>
      <w:r w:rsidR="00B46B9A">
        <w:rPr>
          <w:szCs w:val="24"/>
          <w:lang w:val="en"/>
        </w:rPr>
        <w:t>that will</w:t>
      </w:r>
      <w:r w:rsidR="00324DEF">
        <w:rPr>
          <w:szCs w:val="24"/>
          <w:lang w:val="en"/>
        </w:rPr>
        <w:t xml:space="preserve"> assess how well the pub</w:t>
      </w:r>
      <w:r w:rsidR="00B11A68">
        <w:rPr>
          <w:szCs w:val="24"/>
          <w:lang w:val="en"/>
        </w:rPr>
        <w:t>lic is adhering to the guidance</w:t>
      </w:r>
      <w:r w:rsidR="005D4B16">
        <w:rPr>
          <w:szCs w:val="24"/>
          <w:lang w:val="en"/>
        </w:rPr>
        <w:t xml:space="preserve">, </w:t>
      </w:r>
      <w:r w:rsidR="0016206C">
        <w:rPr>
          <w:szCs w:val="24"/>
          <w:lang w:val="en"/>
        </w:rPr>
        <w:t>including transport and traffic movements</w:t>
      </w:r>
      <w:r w:rsidR="002854A4">
        <w:rPr>
          <w:szCs w:val="24"/>
          <w:lang w:val="en"/>
        </w:rPr>
        <w:t xml:space="preserve"> and movement data.</w:t>
      </w:r>
      <w:r w:rsidR="004A1FE1">
        <w:rPr>
          <w:szCs w:val="24"/>
          <w:lang w:val="en"/>
        </w:rPr>
        <w:t xml:space="preserve"> </w:t>
      </w:r>
    </w:p>
    <w:p w14:paraId="604C80B1" w14:textId="71F1777F" w:rsidR="00980A0F" w:rsidRDefault="00980A0F">
      <w:pPr>
        <w:spacing w:before="0" w:after="200" w:line="276" w:lineRule="auto"/>
        <w:rPr>
          <w:b/>
          <w:szCs w:val="26"/>
        </w:rPr>
      </w:pPr>
      <w:r>
        <w:br w:type="page"/>
      </w:r>
    </w:p>
    <w:p w14:paraId="061A2C3B" w14:textId="4FBA4889" w:rsidR="00B96A9D" w:rsidRPr="00BD1614" w:rsidRDefault="008032AB" w:rsidP="00BD1614">
      <w:pPr>
        <w:pStyle w:val="Heading1"/>
      </w:pPr>
      <w:r w:rsidRPr="00BD1614">
        <w:lastRenderedPageBreak/>
        <w:t>DECISION POINTS</w:t>
      </w:r>
      <w:r w:rsidR="00B96A9D" w:rsidRPr="00BD1614">
        <w:t xml:space="preserve"> FOR SPECIFIC MEASURES</w:t>
      </w:r>
    </w:p>
    <w:p w14:paraId="351F8EA1" w14:textId="4149E546" w:rsidR="00CD61F4" w:rsidRDefault="00F41366" w:rsidP="00E925D3">
      <w:r>
        <w:rPr>
          <w:rFonts w:cstheme="minorHAnsi"/>
          <w:szCs w:val="24"/>
        </w:rPr>
        <w:t>Australia</w:t>
      </w:r>
      <w:r w:rsidR="003F2001">
        <w:rPr>
          <w:rFonts w:cstheme="minorHAnsi"/>
          <w:szCs w:val="24"/>
        </w:rPr>
        <w:t xml:space="preserve"> approached the COVID-19 outbreak in line with </w:t>
      </w:r>
      <w:r w:rsidR="009349A0">
        <w:rPr>
          <w:rFonts w:cstheme="minorHAnsi"/>
          <w:szCs w:val="24"/>
        </w:rPr>
        <w:t>the Australian Health Sector Emergency Response Plan for Novel Coronavirus (COVID-19)</w:t>
      </w:r>
      <w:r w:rsidR="00CB2F6E">
        <w:rPr>
          <w:rFonts w:cstheme="minorHAnsi"/>
          <w:szCs w:val="24"/>
        </w:rPr>
        <w:t>, with</w:t>
      </w:r>
      <w:r w:rsidR="003F2001">
        <w:rPr>
          <w:rFonts w:cstheme="minorHAnsi"/>
          <w:szCs w:val="24"/>
        </w:rPr>
        <w:t xml:space="preserve"> measures implemented in the </w:t>
      </w:r>
      <w:r w:rsidR="00B50289">
        <w:rPr>
          <w:rFonts w:cstheme="minorHAnsi"/>
          <w:szCs w:val="24"/>
        </w:rPr>
        <w:t>‘Initial Action’</w:t>
      </w:r>
      <w:r w:rsidR="003F2001">
        <w:rPr>
          <w:rFonts w:cstheme="minorHAnsi"/>
          <w:szCs w:val="24"/>
        </w:rPr>
        <w:t xml:space="preserve"> and </w:t>
      </w:r>
      <w:r w:rsidR="00B50289">
        <w:rPr>
          <w:rFonts w:cstheme="minorHAnsi"/>
          <w:szCs w:val="24"/>
        </w:rPr>
        <w:t>‘Targeted Action’</w:t>
      </w:r>
      <w:r w:rsidR="003F2001">
        <w:rPr>
          <w:rFonts w:cstheme="minorHAnsi"/>
          <w:szCs w:val="24"/>
        </w:rPr>
        <w:t xml:space="preserve"> phase</w:t>
      </w:r>
      <w:r w:rsidR="00B50289">
        <w:rPr>
          <w:rFonts w:cstheme="minorHAnsi"/>
          <w:szCs w:val="24"/>
        </w:rPr>
        <w:t>s</w:t>
      </w:r>
      <w:r w:rsidR="003F2001">
        <w:rPr>
          <w:rFonts w:cstheme="minorHAnsi"/>
          <w:szCs w:val="24"/>
        </w:rPr>
        <w:t xml:space="preserve"> of the health emergency response.</w:t>
      </w:r>
      <w:r w:rsidR="00980A0F">
        <w:rPr>
          <w:rFonts w:cstheme="minorHAnsi"/>
          <w:szCs w:val="24"/>
        </w:rPr>
        <w:t xml:space="preserve"> </w:t>
      </w:r>
      <w:r w:rsidR="00007220">
        <w:rPr>
          <w:rFonts w:cstheme="minorHAnsi"/>
          <w:szCs w:val="24"/>
        </w:rPr>
        <w:t xml:space="preserve">The decision to adjust </w:t>
      </w:r>
      <w:r w:rsidR="00CB2F6E">
        <w:rPr>
          <w:rFonts w:cstheme="minorHAnsi"/>
          <w:szCs w:val="24"/>
        </w:rPr>
        <w:t xml:space="preserve">these </w:t>
      </w:r>
      <w:r w:rsidR="00007220">
        <w:rPr>
          <w:rFonts w:cstheme="minorHAnsi"/>
          <w:szCs w:val="24"/>
        </w:rPr>
        <w:t>measures will be informed by different metrics (or a combination of) at different stages of the pandemic. Measures may also differ depending o</w:t>
      </w:r>
      <w:r w:rsidR="00AA25BB">
        <w:rPr>
          <w:rFonts w:cstheme="minorHAnsi"/>
          <w:szCs w:val="24"/>
        </w:rPr>
        <w:t>n the national strategy being pu</w:t>
      </w:r>
      <w:r w:rsidR="00007220">
        <w:rPr>
          <w:rFonts w:cstheme="minorHAnsi"/>
          <w:szCs w:val="24"/>
        </w:rPr>
        <w:t xml:space="preserve">rsued at that time, whether it be to achieve </w:t>
      </w:r>
      <w:r w:rsidR="00843F4D">
        <w:rPr>
          <w:rFonts w:cstheme="minorHAnsi"/>
          <w:szCs w:val="24"/>
        </w:rPr>
        <w:t>s</w:t>
      </w:r>
      <w:r w:rsidR="00007220">
        <w:rPr>
          <w:rFonts w:cstheme="minorHAnsi"/>
          <w:szCs w:val="24"/>
        </w:rPr>
        <w:t xml:space="preserve">uppression or </w:t>
      </w:r>
      <w:r w:rsidR="00843F4D">
        <w:rPr>
          <w:rFonts w:cstheme="minorHAnsi"/>
          <w:szCs w:val="24"/>
        </w:rPr>
        <w:t>e</w:t>
      </w:r>
      <w:r w:rsidR="00007220">
        <w:rPr>
          <w:rFonts w:cstheme="minorHAnsi"/>
          <w:szCs w:val="24"/>
        </w:rPr>
        <w:t>limination</w:t>
      </w:r>
      <w:r w:rsidR="00380991">
        <w:rPr>
          <w:rFonts w:cstheme="minorHAnsi"/>
          <w:szCs w:val="24"/>
        </w:rPr>
        <w:t>.</w:t>
      </w:r>
      <w:r w:rsidR="00980A0F">
        <w:rPr>
          <w:rFonts w:cstheme="minorHAnsi"/>
          <w:szCs w:val="24"/>
        </w:rPr>
        <w:t xml:space="preserve"> </w:t>
      </w:r>
      <w:r w:rsidR="00F42E79">
        <w:t>Adjust</w:t>
      </w:r>
      <w:r w:rsidR="00E20305">
        <w:t xml:space="preserve">ing </w:t>
      </w:r>
      <w:r w:rsidR="00F42E79">
        <w:t>measures</w:t>
      </w:r>
      <w:r w:rsidR="00836B97">
        <w:t xml:space="preserve"> in Australia</w:t>
      </w:r>
      <w:r w:rsidR="00F42E79">
        <w:t xml:space="preserve"> must be conducted in a step</w:t>
      </w:r>
      <w:r w:rsidR="00E20305">
        <w:t>ped</w:t>
      </w:r>
      <w:r w:rsidR="00F42E79">
        <w:t xml:space="preserve"> manner, with close monitoring of COVID-19 case numbers</w:t>
      </w:r>
      <w:r w:rsidR="000E032B">
        <w:t>. T</w:t>
      </w:r>
      <w:r w:rsidR="00F42E79">
        <w:t>he ability to quickly readjust measures in response to increasing cases must be maintained.</w:t>
      </w:r>
      <w:r w:rsidR="00980A0F">
        <w:t xml:space="preserve"> </w:t>
      </w:r>
      <w:r w:rsidR="003A1306">
        <w:t xml:space="preserve">Measures to protect </w:t>
      </w:r>
      <w:r w:rsidR="006D7928">
        <w:t>vulnerable</w:t>
      </w:r>
      <w:r w:rsidR="003A1306">
        <w:t xml:space="preserve"> populations are of particular importance</w:t>
      </w:r>
      <w:r w:rsidR="000E032B">
        <w:t>. T</w:t>
      </w:r>
      <w:r w:rsidR="006D7928">
        <w:t>he protection afforded by current measures must not be compromised.</w:t>
      </w:r>
      <w:r w:rsidR="00980A0F">
        <w:t xml:space="preserve"> </w:t>
      </w:r>
    </w:p>
    <w:p w14:paraId="655B198D" w14:textId="14E51880" w:rsidR="00380E4E" w:rsidRDefault="002C38E2" w:rsidP="00A332B7">
      <w:r w:rsidRPr="00B9312A">
        <w:t>The effectiveness of indiv</w:t>
      </w:r>
      <w:r>
        <w:t xml:space="preserve">idual </w:t>
      </w:r>
      <w:r w:rsidR="009349A0">
        <w:t xml:space="preserve">physical </w:t>
      </w:r>
      <w:r>
        <w:t>distancing measures</w:t>
      </w:r>
      <w:r w:rsidRPr="00B9312A">
        <w:t xml:space="preserve"> is difficult to quantify</w:t>
      </w:r>
      <w:r w:rsidR="000E032B">
        <w:t xml:space="preserve">. This is because </w:t>
      </w:r>
      <w:r w:rsidRPr="00B9312A">
        <w:t>primary evidence is limited and the seriousness of this pandemic necessitated the rapid introduction of community-level physical</w:t>
      </w:r>
      <w:r>
        <w:t xml:space="preserve"> distancing measures that were almost simultaneously introduced.</w:t>
      </w:r>
      <w:r w:rsidR="009F4736">
        <w:t xml:space="preserve"> </w:t>
      </w:r>
      <w:r>
        <w:t>Evidence is not yet available on the impact of relaxing these measures to inform decision-making. However, lifting restrictions too soon or rapidly could result in subsequent waves of infection. In the absence of COVID-19</w:t>
      </w:r>
      <w:r w:rsidR="000E032B">
        <w:t>-</w:t>
      </w:r>
      <w:r>
        <w:t>specific findings, evidence of the impact of physical distancing measures from p</w:t>
      </w:r>
      <w:r w:rsidRPr="00E51AD9">
        <w:t>revious pandemics and epidemics</w:t>
      </w:r>
      <w:r>
        <w:t xml:space="preserve"> of respiratory disease can inform decision-making. However, findings should be extrapolated to COVID-19 with caution as differences in the characteristics of the virus and disease indicate that some measures that are effective for other viruses are not recommended for COVID-19 (e.g. school closures).</w:t>
      </w:r>
      <w:r w:rsidR="00980A0F">
        <w:t xml:space="preserve"> </w:t>
      </w:r>
      <w:r w:rsidR="00A332B7" w:rsidRPr="00092B60">
        <w:t xml:space="preserve">The sharing of indoor spaces presents a </w:t>
      </w:r>
      <w:r w:rsidR="00A332B7">
        <w:t>significant</w:t>
      </w:r>
      <w:r w:rsidR="00A332B7" w:rsidRPr="00092B60">
        <w:t xml:space="preserve"> risk</w:t>
      </w:r>
      <w:r w:rsidR="00A332B7">
        <w:t xml:space="preserve"> with COVID-19,</w:t>
      </w:r>
      <w:r w:rsidR="00A332B7" w:rsidRPr="00092B60">
        <w:t xml:space="preserve"> compared to outdoor environments. </w:t>
      </w:r>
      <w:r w:rsidR="00A332B7">
        <w:t xml:space="preserve">Retaining </w:t>
      </w:r>
      <w:r w:rsidR="009349A0">
        <w:t xml:space="preserve">physical </w:t>
      </w:r>
      <w:r w:rsidR="00A332B7" w:rsidRPr="00092B60">
        <w:t>distancing</w:t>
      </w:r>
      <w:r w:rsidR="00A332B7">
        <w:t xml:space="preserve"> measures in indoor venues such as</w:t>
      </w:r>
      <w:r w:rsidR="00A332B7" w:rsidRPr="00092B60">
        <w:t xml:space="preserve"> shops and </w:t>
      </w:r>
      <w:r w:rsidR="00A332B7">
        <w:t xml:space="preserve">restaurants is important. </w:t>
      </w:r>
      <w:r w:rsidR="00A332B7" w:rsidRPr="00092B60">
        <w:t xml:space="preserve">Though limited, the research indicates that outdoor environments present </w:t>
      </w:r>
      <w:r w:rsidR="00A332B7">
        <w:t xml:space="preserve">a lower </w:t>
      </w:r>
      <w:r w:rsidR="00A332B7" w:rsidRPr="00092B60">
        <w:t xml:space="preserve">risk of SARS-CoV-2 transmission and outbreaks. </w:t>
      </w:r>
      <w:r w:rsidR="00A332B7">
        <w:t>E</w:t>
      </w:r>
      <w:r w:rsidR="00A332B7" w:rsidRPr="00092B60">
        <w:t>asing outdoor gathering restrictions</w:t>
      </w:r>
      <w:r w:rsidR="00A332B7">
        <w:t xml:space="preserve"> and movements</w:t>
      </w:r>
      <w:r w:rsidR="00A332B7" w:rsidRPr="00092B60">
        <w:t xml:space="preserve"> may</w:t>
      </w:r>
      <w:r w:rsidR="00A332B7">
        <w:t xml:space="preserve"> therefore</w:t>
      </w:r>
      <w:r w:rsidR="00A332B7" w:rsidRPr="00092B60">
        <w:t xml:space="preserve"> be considered in the earlier phase of a staged easing of </w:t>
      </w:r>
      <w:r w:rsidR="009349A0">
        <w:t xml:space="preserve">physical </w:t>
      </w:r>
      <w:r w:rsidR="00A332B7" w:rsidRPr="00092B60">
        <w:t xml:space="preserve">distancing restrictions. In the case of </w:t>
      </w:r>
      <w:r w:rsidR="0019164E">
        <w:t>outdoor</w:t>
      </w:r>
      <w:r w:rsidR="00A332B7">
        <w:t xml:space="preserve"> </w:t>
      </w:r>
      <w:r w:rsidR="00A332B7" w:rsidRPr="00092B60">
        <w:t xml:space="preserve">exercise, distances of greater than 1.5 metres </w:t>
      </w:r>
      <w:r w:rsidR="00A332B7">
        <w:t>are</w:t>
      </w:r>
      <w:r w:rsidR="00A332B7" w:rsidRPr="00092B60">
        <w:t xml:space="preserve"> recommended to prevent po</w:t>
      </w:r>
      <w:r w:rsidR="00A332B7">
        <w:t>tential droplet transmission from one individual</w:t>
      </w:r>
      <w:r w:rsidR="00A332B7" w:rsidRPr="00092B60">
        <w:t xml:space="preserve"> </w:t>
      </w:r>
      <w:r w:rsidR="00A332B7">
        <w:t xml:space="preserve">to </w:t>
      </w:r>
      <w:r w:rsidR="00A332B7" w:rsidRPr="00092B60">
        <w:t>a trailing walker or runner</w:t>
      </w:r>
      <w:r w:rsidR="00A332B7">
        <w:t xml:space="preserve">, although the risk of transmission of infection under these circumstances remains unclear. </w:t>
      </w:r>
      <w:r w:rsidR="00A332B7" w:rsidRPr="00092B60">
        <w:t>In allowing indoor gatherings and trading</w:t>
      </w:r>
      <w:r w:rsidR="005D5E5F">
        <w:t>,</w:t>
      </w:r>
      <w:r w:rsidR="00A332B7" w:rsidRPr="00092B60">
        <w:t xml:space="preserve"> consider</w:t>
      </w:r>
      <w:r w:rsidR="00A332B7">
        <w:t>ation could be given to</w:t>
      </w:r>
      <w:r w:rsidR="00A332B7" w:rsidRPr="00092B60">
        <w:t xml:space="preserve"> additional requirements beyond </w:t>
      </w:r>
      <w:r w:rsidR="00A332B7">
        <w:t xml:space="preserve">limits on </w:t>
      </w:r>
      <w:r w:rsidR="00A332B7" w:rsidRPr="00092B60">
        <w:t xml:space="preserve">indoor gathering </w:t>
      </w:r>
      <w:r w:rsidR="00A332B7">
        <w:t xml:space="preserve">size and </w:t>
      </w:r>
      <w:r w:rsidR="00A332B7" w:rsidRPr="00092B60">
        <w:t>density</w:t>
      </w:r>
      <w:r w:rsidR="00A332B7">
        <w:t xml:space="preserve"> to reduce risk, e.g. </w:t>
      </w:r>
      <w:r w:rsidR="00A332B7" w:rsidRPr="00092B60">
        <w:t>ensuring adequate room ventilation</w:t>
      </w:r>
      <w:r w:rsidR="00A332B7">
        <w:t xml:space="preserve"> in addition to</w:t>
      </w:r>
      <w:r w:rsidR="00A332B7" w:rsidRPr="00092B60">
        <w:t xml:space="preserve"> proper and regular disinfection </w:t>
      </w:r>
      <w:r w:rsidR="00A332B7">
        <w:t>of surfaces</w:t>
      </w:r>
      <w:r w:rsidR="00A332B7" w:rsidRPr="00092B60">
        <w:t>.</w:t>
      </w:r>
      <w:r w:rsidR="00A332B7">
        <w:t xml:space="preserve"> </w:t>
      </w:r>
    </w:p>
    <w:p w14:paraId="72F02B08" w14:textId="57441A7F" w:rsidR="009349A0" w:rsidRDefault="002C38E2" w:rsidP="00940295">
      <w:pPr>
        <w:rPr>
          <w:rFonts w:cstheme="majorHAnsi"/>
        </w:rPr>
      </w:pPr>
      <w:r>
        <w:t>International case studies may provide useful insights which will need to be interpreted for the Australian context.</w:t>
      </w:r>
      <w:r w:rsidR="00980A0F">
        <w:rPr>
          <w:rFonts w:cstheme="majorHAnsi"/>
        </w:rPr>
        <w:t xml:space="preserve"> </w:t>
      </w:r>
      <w:r w:rsidR="004D3E93">
        <w:rPr>
          <w:rFonts w:cstheme="majorHAnsi"/>
        </w:rPr>
        <w:t xml:space="preserve">When looking to other countries’ experience in relaxing measures to aid decision-making, it is important to understand that many of these countries are relaxing restrictions from a state of lockdown, </w:t>
      </w:r>
      <w:r w:rsidR="009349A0">
        <w:rPr>
          <w:rFonts w:cstheme="majorHAnsi"/>
        </w:rPr>
        <w:t xml:space="preserve">with </w:t>
      </w:r>
      <w:r w:rsidR="004D3E93">
        <w:rPr>
          <w:rFonts w:cstheme="majorHAnsi"/>
        </w:rPr>
        <w:t>much heavier restrictions than that which have been applied in Australia.</w:t>
      </w:r>
      <w:r w:rsidR="00980A0F">
        <w:rPr>
          <w:rFonts w:cstheme="majorHAnsi"/>
        </w:rPr>
        <w:t xml:space="preserve"> </w:t>
      </w:r>
    </w:p>
    <w:p w14:paraId="02AFD8EE" w14:textId="3AD5CF2D" w:rsidR="002C38E2" w:rsidRDefault="00E925D3" w:rsidP="00940295">
      <w:pPr>
        <w:rPr>
          <w:rFonts w:cstheme="minorHAnsi"/>
          <w:szCs w:val="24"/>
        </w:rPr>
      </w:pPr>
      <w:r>
        <w:rPr>
          <w:rFonts w:cstheme="minorHAnsi"/>
          <w:szCs w:val="24"/>
        </w:rPr>
        <w:t xml:space="preserve">The </w:t>
      </w:r>
      <w:r w:rsidR="00C45A75">
        <w:rPr>
          <w:rFonts w:cstheme="minorHAnsi"/>
          <w:szCs w:val="24"/>
        </w:rPr>
        <w:t>University</w:t>
      </w:r>
      <w:r>
        <w:rPr>
          <w:rFonts w:cstheme="minorHAnsi"/>
          <w:szCs w:val="24"/>
        </w:rPr>
        <w:t xml:space="preserve"> of Oxford has developed a tool – the </w:t>
      </w:r>
      <w:r w:rsidRPr="00836B97">
        <w:rPr>
          <w:rFonts w:cstheme="minorHAnsi"/>
          <w:szCs w:val="24"/>
        </w:rPr>
        <w:t>Oxford COVID-</w:t>
      </w:r>
      <w:r w:rsidR="003F5D8D">
        <w:rPr>
          <w:rFonts w:cstheme="minorHAnsi"/>
          <w:szCs w:val="24"/>
        </w:rPr>
        <w:t>19 Government Response Tracker</w:t>
      </w:r>
      <w:r w:rsidRPr="00836B97">
        <w:rPr>
          <w:rFonts w:cstheme="minorHAnsi"/>
          <w:szCs w:val="24"/>
        </w:rPr>
        <w:t xml:space="preserve"> </w:t>
      </w:r>
      <w:r>
        <w:rPr>
          <w:rFonts w:cstheme="minorHAnsi"/>
          <w:szCs w:val="24"/>
        </w:rPr>
        <w:t xml:space="preserve">– to track and compare </w:t>
      </w:r>
      <w:r w:rsidR="00C45A75">
        <w:rPr>
          <w:rFonts w:cstheme="minorHAnsi"/>
          <w:szCs w:val="24"/>
        </w:rPr>
        <w:t>government</w:t>
      </w:r>
      <w:r>
        <w:rPr>
          <w:rFonts w:cstheme="minorHAnsi"/>
          <w:szCs w:val="24"/>
        </w:rPr>
        <w:t xml:space="preserve"> policy responses to the COVID-19 pandemic around the world.</w:t>
      </w:r>
      <w:r w:rsidR="00980A0F">
        <w:rPr>
          <w:rFonts w:cstheme="minorHAnsi"/>
          <w:szCs w:val="24"/>
        </w:rPr>
        <w:t xml:space="preserve"> </w:t>
      </w:r>
      <w:r>
        <w:rPr>
          <w:rFonts w:cstheme="minorHAnsi"/>
          <w:szCs w:val="24"/>
        </w:rPr>
        <w:t xml:space="preserve">It </w:t>
      </w:r>
      <w:r w:rsidR="000E032B">
        <w:rPr>
          <w:rFonts w:cstheme="minorHAnsi"/>
          <w:szCs w:val="24"/>
        </w:rPr>
        <w:t xml:space="preserve">uses </w:t>
      </w:r>
      <w:r>
        <w:rPr>
          <w:rFonts w:cstheme="minorHAnsi"/>
          <w:szCs w:val="24"/>
        </w:rPr>
        <w:t>a scoring system for the stringency of measures implemented in each country and aggregates these scores into a ‘Stringency Index’ to help decision</w:t>
      </w:r>
      <w:r w:rsidR="000E032B">
        <w:rPr>
          <w:rFonts w:cstheme="minorHAnsi"/>
          <w:szCs w:val="24"/>
        </w:rPr>
        <w:t xml:space="preserve"> </w:t>
      </w:r>
      <w:r>
        <w:rPr>
          <w:rFonts w:cstheme="minorHAnsi"/>
          <w:szCs w:val="24"/>
        </w:rPr>
        <w:t>makers monitor the international response.</w:t>
      </w:r>
      <w:r w:rsidR="00980A0F">
        <w:rPr>
          <w:rFonts w:cstheme="minorHAnsi"/>
          <w:szCs w:val="24"/>
        </w:rPr>
        <w:t xml:space="preserve"> </w:t>
      </w:r>
      <w:r w:rsidR="004D3E93">
        <w:rPr>
          <w:rFonts w:cstheme="minorHAnsi"/>
          <w:szCs w:val="24"/>
        </w:rPr>
        <w:t>While it is too early to validate the scoring system</w:t>
      </w:r>
      <w:r w:rsidR="000E032B">
        <w:rPr>
          <w:rFonts w:cstheme="minorHAnsi"/>
          <w:szCs w:val="24"/>
        </w:rPr>
        <w:t>,</w:t>
      </w:r>
      <w:r w:rsidR="004D3E93">
        <w:rPr>
          <w:rFonts w:cstheme="minorHAnsi"/>
          <w:szCs w:val="24"/>
        </w:rPr>
        <w:t xml:space="preserve"> it is a useful tool for comparisons.</w:t>
      </w:r>
      <w:r w:rsidR="00980A0F">
        <w:rPr>
          <w:rFonts w:cstheme="minorHAnsi"/>
          <w:szCs w:val="24"/>
        </w:rPr>
        <w:t xml:space="preserve"> </w:t>
      </w:r>
      <w:r>
        <w:rPr>
          <w:rFonts w:cstheme="minorHAnsi"/>
          <w:szCs w:val="24"/>
        </w:rPr>
        <w:t>Australia currently has a Stringency Index score of 71.43 (out of a possible 100)</w:t>
      </w:r>
      <w:r w:rsidR="000E032B">
        <w:rPr>
          <w:rFonts w:cstheme="minorHAnsi"/>
          <w:szCs w:val="24"/>
        </w:rPr>
        <w:t>. T</w:t>
      </w:r>
      <w:r>
        <w:rPr>
          <w:rFonts w:cstheme="minorHAnsi"/>
          <w:szCs w:val="24"/>
        </w:rPr>
        <w:t xml:space="preserve">he important information that can be gleaned from international scores is </w:t>
      </w:r>
      <w:r>
        <w:rPr>
          <w:rFonts w:cstheme="minorHAnsi"/>
          <w:szCs w:val="24"/>
        </w:rPr>
        <w:lastRenderedPageBreak/>
        <w:t xml:space="preserve">that all countries currently considering, or implementing, a relaxation of measures (referred to as lockdown rollback) are relaxing from a higher Stringency Index score (Figure </w:t>
      </w:r>
      <w:r w:rsidR="003F5D8D">
        <w:rPr>
          <w:rFonts w:cstheme="minorHAnsi"/>
          <w:szCs w:val="24"/>
        </w:rPr>
        <w:t>2).</w:t>
      </w:r>
      <w:r w:rsidR="00980A0F">
        <w:rPr>
          <w:rFonts w:cstheme="minorHAnsi"/>
          <w:szCs w:val="24"/>
        </w:rPr>
        <w:t xml:space="preserve"> </w:t>
      </w:r>
      <w:r w:rsidR="003F5D8D">
        <w:rPr>
          <w:rFonts w:cstheme="minorHAnsi"/>
          <w:szCs w:val="24"/>
        </w:rPr>
        <w:t>This reinforces AHPPC’s</w:t>
      </w:r>
      <w:r>
        <w:rPr>
          <w:rFonts w:cstheme="minorHAnsi"/>
          <w:szCs w:val="24"/>
        </w:rPr>
        <w:t xml:space="preserve"> position that Australia should not be too hasty to relax the most effective of measures</w:t>
      </w:r>
      <w:r w:rsidR="000E032B">
        <w:rPr>
          <w:rFonts w:cstheme="minorHAnsi"/>
          <w:szCs w:val="24"/>
        </w:rPr>
        <w:t xml:space="preserve"> that have been</w:t>
      </w:r>
      <w:r w:rsidR="004D3E93">
        <w:rPr>
          <w:rFonts w:cstheme="minorHAnsi"/>
          <w:szCs w:val="24"/>
        </w:rPr>
        <w:t xml:space="preserve"> implemented</w:t>
      </w:r>
      <w:r>
        <w:rPr>
          <w:rFonts w:cstheme="minorHAnsi"/>
          <w:szCs w:val="24"/>
        </w:rPr>
        <w:t>.</w:t>
      </w:r>
      <w:r w:rsidR="00980A0F">
        <w:rPr>
          <w:rFonts w:cstheme="minorHAnsi"/>
          <w:szCs w:val="24"/>
        </w:rPr>
        <w:t xml:space="preserve"> </w:t>
      </w:r>
    </w:p>
    <w:p w14:paraId="2F21E23A" w14:textId="4884014E" w:rsidR="00652B04" w:rsidRPr="00BA256E" w:rsidRDefault="00652B04" w:rsidP="007F20C1">
      <w:pPr>
        <w:spacing w:before="0" w:after="200" w:line="276" w:lineRule="auto"/>
        <w:rPr>
          <w:rStyle w:val="SubtleEmphasis"/>
        </w:rPr>
      </w:pPr>
      <w:r w:rsidRPr="00BA256E">
        <w:rPr>
          <w:rStyle w:val="SubtleEmphasis"/>
        </w:rPr>
        <w:t xml:space="preserve">Figure </w:t>
      </w:r>
      <w:r w:rsidR="003F5D8D">
        <w:rPr>
          <w:rStyle w:val="SubtleEmphasis"/>
        </w:rPr>
        <w:t>2</w:t>
      </w:r>
      <w:r>
        <w:rPr>
          <w:rStyle w:val="SubtleEmphasis"/>
        </w:rPr>
        <w:t xml:space="preserve"> – International Stringency Index Scores</w:t>
      </w:r>
    </w:p>
    <w:p w14:paraId="41F094A7" w14:textId="77777777" w:rsidR="00652B04" w:rsidRDefault="00652B04" w:rsidP="00652B04">
      <w:pPr>
        <w:ind w:left="284"/>
        <w:rPr>
          <w:rFonts w:cstheme="minorHAnsi"/>
          <w:szCs w:val="24"/>
        </w:rPr>
      </w:pPr>
      <w:r>
        <w:rPr>
          <w:rFonts w:cstheme="minorHAnsi"/>
          <w:noProof/>
          <w:szCs w:val="24"/>
          <w:lang w:eastAsia="en-AU"/>
        </w:rPr>
        <w:drawing>
          <wp:inline distT="0" distB="0" distL="0" distR="0" wp14:anchorId="00447CFE" wp14:editId="71EBE842">
            <wp:extent cx="2844800" cy="5956705"/>
            <wp:effectExtent l="0" t="0" r="0" b="6350"/>
            <wp:docPr id="4" name="Picture 4" descr="The chart lists the scores of 44 countries. Australia's score of 71 places it above 13 countries in this list." title="International Stringency Index Sc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3867" cy="6080384"/>
                    </a:xfrm>
                    <a:prstGeom prst="rect">
                      <a:avLst/>
                    </a:prstGeom>
                    <a:noFill/>
                    <a:ln>
                      <a:noFill/>
                    </a:ln>
                  </pic:spPr>
                </pic:pic>
              </a:graphicData>
            </a:graphic>
          </wp:inline>
        </w:drawing>
      </w:r>
    </w:p>
    <w:p w14:paraId="4583A362" w14:textId="77777777" w:rsidR="00652B04" w:rsidRDefault="00652B04" w:rsidP="00652B04">
      <w:pPr>
        <w:spacing w:after="0"/>
        <w:ind w:left="284"/>
        <w:rPr>
          <w:rFonts w:cstheme="minorHAnsi"/>
          <w:sz w:val="22"/>
        </w:rPr>
      </w:pPr>
      <w:r>
        <w:rPr>
          <w:rFonts w:cstheme="minorHAnsi"/>
          <w:sz w:val="22"/>
        </w:rPr>
        <w:t>Note: Data from 20 March – 05 April 2020</w:t>
      </w:r>
    </w:p>
    <w:p w14:paraId="661FC2D6" w14:textId="77777777" w:rsidR="00652B04" w:rsidRDefault="00652B04" w:rsidP="00652B04">
      <w:pPr>
        <w:spacing w:before="0"/>
        <w:ind w:left="284"/>
        <w:rPr>
          <w:rFonts w:cstheme="minorHAnsi"/>
          <w:sz w:val="22"/>
        </w:rPr>
      </w:pPr>
      <w:r>
        <w:rPr>
          <w:rFonts w:cstheme="minorHAnsi"/>
          <w:sz w:val="22"/>
        </w:rPr>
        <w:t xml:space="preserve">Source: Oxford COVID-19 Government Response Tracker - </w:t>
      </w:r>
      <w:r w:rsidRPr="00BA256E">
        <w:rPr>
          <w:rFonts w:cstheme="minorHAnsi"/>
          <w:sz w:val="22"/>
        </w:rPr>
        <w:t>https://covidtracker.bsg.ox.ac.uk/</w:t>
      </w:r>
    </w:p>
    <w:p w14:paraId="6B827C95" w14:textId="77777777" w:rsidR="00652B04" w:rsidRPr="00A56F9E" w:rsidRDefault="00652B04" w:rsidP="00940295">
      <w:pPr>
        <w:rPr>
          <w:rFonts w:cstheme="majorHAnsi"/>
        </w:rPr>
      </w:pPr>
    </w:p>
    <w:p w14:paraId="07F24F1A" w14:textId="7A58921A" w:rsidR="00317848" w:rsidRPr="00944F16" w:rsidRDefault="00C31FAD" w:rsidP="00E53AB0">
      <w:pPr>
        <w:rPr>
          <w:rFonts w:cstheme="minorHAnsi"/>
          <w:szCs w:val="24"/>
        </w:rPr>
      </w:pPr>
      <w:r>
        <w:rPr>
          <w:rFonts w:cstheme="minorHAnsi"/>
          <w:szCs w:val="24"/>
        </w:rPr>
        <w:t>The public health measures that are likely to continue to be implemented</w:t>
      </w:r>
      <w:r w:rsidR="001D7E0B">
        <w:rPr>
          <w:rFonts w:cstheme="minorHAnsi"/>
          <w:szCs w:val="24"/>
        </w:rPr>
        <w:t xml:space="preserve"> for an extended period</w:t>
      </w:r>
      <w:r>
        <w:rPr>
          <w:rFonts w:cstheme="minorHAnsi"/>
          <w:szCs w:val="24"/>
        </w:rPr>
        <w:t>, without any major adjustments, include sentinel testing and active surveillance</w:t>
      </w:r>
      <w:r w:rsidR="00F42E79">
        <w:rPr>
          <w:rFonts w:cstheme="minorHAnsi"/>
          <w:szCs w:val="24"/>
        </w:rPr>
        <w:t>;</w:t>
      </w:r>
      <w:r>
        <w:rPr>
          <w:rFonts w:cstheme="minorHAnsi"/>
          <w:szCs w:val="24"/>
        </w:rPr>
        <w:t xml:space="preserve"> and individual measures such as physical distancing and personal hygiene practices (respiratory etiquette, and hand hygiene)</w:t>
      </w:r>
      <w:r w:rsidR="00F42E79">
        <w:rPr>
          <w:rFonts w:cstheme="minorHAnsi"/>
          <w:szCs w:val="24"/>
        </w:rPr>
        <w:t>, as these are</w:t>
      </w:r>
      <w:r w:rsidR="001D7E0B">
        <w:rPr>
          <w:rFonts w:cstheme="minorHAnsi"/>
          <w:szCs w:val="24"/>
        </w:rPr>
        <w:t xml:space="preserve"> minimal</w:t>
      </w:r>
      <w:r w:rsidR="00F42E79">
        <w:rPr>
          <w:rFonts w:cstheme="minorHAnsi"/>
          <w:szCs w:val="24"/>
        </w:rPr>
        <w:t xml:space="preserve"> social impact-</w:t>
      </w:r>
      <w:r w:rsidR="001D7E0B">
        <w:rPr>
          <w:rFonts w:cstheme="minorHAnsi"/>
          <w:szCs w:val="24"/>
        </w:rPr>
        <w:t>high reward measures.</w:t>
      </w:r>
      <w:r w:rsidR="00980A0F">
        <w:rPr>
          <w:rFonts w:cstheme="minorHAnsi"/>
          <w:szCs w:val="24"/>
        </w:rPr>
        <w:t xml:space="preserve"> </w:t>
      </w:r>
      <w:r w:rsidR="000E032B">
        <w:rPr>
          <w:rFonts w:cstheme="minorHAnsi"/>
          <w:szCs w:val="24"/>
        </w:rPr>
        <w:t xml:space="preserve">While </w:t>
      </w:r>
      <w:r w:rsidR="00AF7F83">
        <w:rPr>
          <w:rFonts w:cstheme="minorHAnsi"/>
          <w:szCs w:val="24"/>
        </w:rPr>
        <w:t>h</w:t>
      </w:r>
      <w:r w:rsidR="001D7E0B">
        <w:rPr>
          <w:rFonts w:cstheme="minorHAnsi"/>
          <w:szCs w:val="24"/>
        </w:rPr>
        <w:t xml:space="preserve">ealth care system </w:t>
      </w:r>
      <w:r w:rsidR="00AF7F83">
        <w:rPr>
          <w:rFonts w:cstheme="minorHAnsi"/>
          <w:szCs w:val="24"/>
        </w:rPr>
        <w:t>measures may be necessary in varying degrees fo</w:t>
      </w:r>
      <w:r w:rsidR="00F42E79">
        <w:rPr>
          <w:rFonts w:cstheme="minorHAnsi"/>
          <w:szCs w:val="24"/>
        </w:rPr>
        <w:t>r the duration of the pandemic</w:t>
      </w:r>
      <w:r w:rsidR="000E032B">
        <w:rPr>
          <w:rFonts w:cstheme="minorHAnsi"/>
          <w:szCs w:val="24"/>
        </w:rPr>
        <w:t xml:space="preserve">, </w:t>
      </w:r>
      <w:r w:rsidR="00AF7F83">
        <w:rPr>
          <w:rFonts w:cstheme="minorHAnsi"/>
          <w:szCs w:val="24"/>
        </w:rPr>
        <w:t xml:space="preserve">the gradual easing of restrictions may be considered </w:t>
      </w:r>
      <w:r w:rsidR="001D7E0B">
        <w:rPr>
          <w:rFonts w:cstheme="minorHAnsi"/>
          <w:szCs w:val="24"/>
        </w:rPr>
        <w:t xml:space="preserve">when health system </w:t>
      </w:r>
      <w:r w:rsidR="001D7E0B">
        <w:rPr>
          <w:rFonts w:cstheme="minorHAnsi"/>
          <w:szCs w:val="24"/>
        </w:rPr>
        <w:lastRenderedPageBreak/>
        <w:t xml:space="preserve">capacity </w:t>
      </w:r>
      <w:r w:rsidR="00AF7F83">
        <w:rPr>
          <w:rFonts w:cstheme="minorHAnsi"/>
          <w:szCs w:val="24"/>
        </w:rPr>
        <w:t>is able to meet the</w:t>
      </w:r>
      <w:r w:rsidR="001D7E0B">
        <w:rPr>
          <w:rFonts w:cstheme="minorHAnsi"/>
          <w:szCs w:val="24"/>
        </w:rPr>
        <w:t xml:space="preserve"> normal healthcare </w:t>
      </w:r>
      <w:r w:rsidR="00AF7F83">
        <w:rPr>
          <w:rFonts w:cstheme="minorHAnsi"/>
          <w:szCs w:val="24"/>
        </w:rPr>
        <w:t xml:space="preserve">needs </w:t>
      </w:r>
      <w:r w:rsidR="00AF7F83" w:rsidRPr="008F5CFA">
        <w:rPr>
          <w:rFonts w:cstheme="minorHAnsi"/>
          <w:szCs w:val="24"/>
        </w:rPr>
        <w:t>in addition to being able to surge if numbers increase, or outbreaks arise.</w:t>
      </w:r>
    </w:p>
    <w:p w14:paraId="75D14C5E" w14:textId="4AF783B2" w:rsidR="00A56F9E" w:rsidRDefault="002809CE" w:rsidP="000E2932">
      <w:pPr>
        <w:rPr>
          <w:rFonts w:cstheme="minorHAnsi"/>
          <w:szCs w:val="24"/>
        </w:rPr>
      </w:pPr>
      <w:r>
        <w:rPr>
          <w:rFonts w:cstheme="minorHAnsi"/>
          <w:szCs w:val="24"/>
        </w:rPr>
        <w:t xml:space="preserve">It is acknowledged </w:t>
      </w:r>
      <w:r w:rsidR="00F42E79">
        <w:rPr>
          <w:rFonts w:cstheme="minorHAnsi"/>
          <w:szCs w:val="24"/>
        </w:rPr>
        <w:t xml:space="preserve">that </w:t>
      </w:r>
      <w:r>
        <w:rPr>
          <w:rFonts w:cstheme="minorHAnsi"/>
          <w:szCs w:val="24"/>
        </w:rPr>
        <w:t xml:space="preserve">community-level </w:t>
      </w:r>
      <w:r w:rsidR="009349A0">
        <w:rPr>
          <w:rFonts w:cstheme="minorHAnsi"/>
          <w:szCs w:val="24"/>
        </w:rPr>
        <w:t xml:space="preserve">physical </w:t>
      </w:r>
      <w:r>
        <w:rPr>
          <w:rFonts w:cstheme="minorHAnsi"/>
          <w:szCs w:val="24"/>
        </w:rPr>
        <w:t>distancing measures were almost simultaneously introduced, and</w:t>
      </w:r>
      <w:r w:rsidR="000E032B">
        <w:rPr>
          <w:rFonts w:cstheme="minorHAnsi"/>
          <w:szCs w:val="24"/>
        </w:rPr>
        <w:t>,</w:t>
      </w:r>
      <w:r>
        <w:rPr>
          <w:rFonts w:cstheme="minorHAnsi"/>
          <w:szCs w:val="24"/>
        </w:rPr>
        <w:t xml:space="preserve"> as such, it is difficult to measure the impact of individual measures. </w:t>
      </w:r>
      <w:r w:rsidR="000E032B">
        <w:rPr>
          <w:rFonts w:cstheme="minorHAnsi"/>
          <w:szCs w:val="24"/>
        </w:rPr>
        <w:t>G</w:t>
      </w:r>
      <w:r w:rsidDel="00E83AF1">
        <w:rPr>
          <w:rFonts w:cstheme="minorHAnsi"/>
          <w:szCs w:val="24"/>
        </w:rPr>
        <w:t>radual</w:t>
      </w:r>
      <w:r w:rsidR="000E032B">
        <w:rPr>
          <w:rFonts w:cstheme="minorHAnsi"/>
          <w:szCs w:val="24"/>
        </w:rPr>
        <w:t>ly</w:t>
      </w:r>
      <w:r w:rsidDel="00E83AF1">
        <w:rPr>
          <w:rFonts w:cstheme="minorHAnsi"/>
          <w:szCs w:val="24"/>
        </w:rPr>
        <w:t xml:space="preserve"> relax</w:t>
      </w:r>
      <w:r w:rsidR="000E032B">
        <w:rPr>
          <w:rFonts w:cstheme="minorHAnsi"/>
          <w:szCs w:val="24"/>
        </w:rPr>
        <w:t xml:space="preserve">ing </w:t>
      </w:r>
      <w:r w:rsidDel="00E83AF1">
        <w:rPr>
          <w:rFonts w:cstheme="minorHAnsi"/>
          <w:szCs w:val="24"/>
        </w:rPr>
        <w:t>restrictions ma</w:t>
      </w:r>
      <w:r w:rsidR="00AA25BB" w:rsidDel="00E83AF1">
        <w:rPr>
          <w:rFonts w:cstheme="minorHAnsi"/>
          <w:szCs w:val="24"/>
        </w:rPr>
        <w:t>y be considered, with maint</w:t>
      </w:r>
      <w:r w:rsidR="000E032B">
        <w:rPr>
          <w:rFonts w:cstheme="minorHAnsi"/>
          <w:szCs w:val="24"/>
        </w:rPr>
        <w:t xml:space="preserve">aining </w:t>
      </w:r>
      <w:r w:rsidDel="00E83AF1">
        <w:rPr>
          <w:rFonts w:cstheme="minorHAnsi"/>
          <w:szCs w:val="24"/>
        </w:rPr>
        <w:t xml:space="preserve">physical distancing </w:t>
      </w:r>
      <w:r w:rsidR="0037072B" w:rsidDel="00E83AF1">
        <w:rPr>
          <w:rFonts w:cstheme="minorHAnsi"/>
          <w:szCs w:val="24"/>
        </w:rPr>
        <w:t xml:space="preserve">and hygiene </w:t>
      </w:r>
      <w:r w:rsidDel="00E83AF1">
        <w:rPr>
          <w:rFonts w:cstheme="minorHAnsi"/>
          <w:szCs w:val="24"/>
        </w:rPr>
        <w:t xml:space="preserve">practices, and with </w:t>
      </w:r>
      <w:r w:rsidR="000E2932" w:rsidDel="00E83AF1">
        <w:rPr>
          <w:rFonts w:cstheme="minorHAnsi"/>
          <w:szCs w:val="24"/>
        </w:rPr>
        <w:t>enough time to adequate</w:t>
      </w:r>
      <w:r w:rsidR="000E032B">
        <w:rPr>
          <w:rFonts w:cstheme="minorHAnsi"/>
          <w:szCs w:val="24"/>
        </w:rPr>
        <w:t>ly</w:t>
      </w:r>
      <w:r w:rsidR="000E2932" w:rsidDel="00E83AF1">
        <w:rPr>
          <w:rFonts w:cstheme="minorHAnsi"/>
          <w:szCs w:val="24"/>
        </w:rPr>
        <w:t xml:space="preserve"> assess impact before </w:t>
      </w:r>
      <w:r w:rsidR="000E032B">
        <w:rPr>
          <w:rFonts w:cstheme="minorHAnsi"/>
          <w:szCs w:val="24"/>
        </w:rPr>
        <w:t xml:space="preserve">adjusting </w:t>
      </w:r>
      <w:r w:rsidR="000E2932" w:rsidDel="00E83AF1">
        <w:rPr>
          <w:rFonts w:cstheme="minorHAnsi"/>
          <w:szCs w:val="24"/>
        </w:rPr>
        <w:t>further.</w:t>
      </w:r>
      <w:r w:rsidR="00980A0F">
        <w:rPr>
          <w:rFonts w:cstheme="minorHAnsi"/>
          <w:szCs w:val="24"/>
        </w:rPr>
        <w:t xml:space="preserve"> </w:t>
      </w:r>
      <w:r w:rsidR="000E2932" w:rsidDel="00E83AF1">
        <w:rPr>
          <w:rFonts w:cstheme="minorHAnsi"/>
          <w:szCs w:val="24"/>
        </w:rPr>
        <w:t xml:space="preserve">Decisions to remove restrictions must be balanced with economic and societal </w:t>
      </w:r>
      <w:r w:rsidR="00F42E79" w:rsidDel="00E83AF1">
        <w:rPr>
          <w:rFonts w:cstheme="minorHAnsi"/>
          <w:szCs w:val="24"/>
        </w:rPr>
        <w:t>impacts</w:t>
      </w:r>
      <w:r w:rsidR="000E2932" w:rsidDel="00E83AF1">
        <w:rPr>
          <w:rFonts w:cstheme="minorHAnsi"/>
          <w:szCs w:val="24"/>
        </w:rPr>
        <w:t xml:space="preserve">, </w:t>
      </w:r>
      <w:r w:rsidR="00CC0584" w:rsidDel="00E83AF1">
        <w:rPr>
          <w:rFonts w:cstheme="minorHAnsi"/>
          <w:szCs w:val="24"/>
        </w:rPr>
        <w:t xml:space="preserve">and risks to vulnerable populations, </w:t>
      </w:r>
      <w:r w:rsidR="000E2932" w:rsidDel="00E83AF1">
        <w:rPr>
          <w:rFonts w:cstheme="minorHAnsi"/>
          <w:szCs w:val="24"/>
        </w:rPr>
        <w:t>with the knowledge these public health measures have health costs as well as benefits.</w:t>
      </w:r>
      <w:r w:rsidR="00980A0F">
        <w:rPr>
          <w:rFonts w:cstheme="minorHAnsi"/>
          <w:szCs w:val="24"/>
        </w:rPr>
        <w:t xml:space="preserve"> </w:t>
      </w:r>
    </w:p>
    <w:p w14:paraId="796BADA1" w14:textId="2C44514D" w:rsidR="0081459C" w:rsidRPr="00204B60" w:rsidRDefault="000F3F97" w:rsidP="00204B60">
      <w:pPr>
        <w:rPr>
          <w:rFonts w:cstheme="minorHAnsi"/>
          <w:szCs w:val="24"/>
        </w:rPr>
        <w:sectPr w:rsidR="0081459C" w:rsidRPr="00204B60" w:rsidSect="007F20C1">
          <w:headerReference w:type="default" r:id="rId14"/>
          <w:type w:val="continuous"/>
          <w:pgSz w:w="11906" w:h="16838"/>
          <w:pgMar w:top="992" w:right="1440" w:bottom="1276" w:left="1440" w:header="709" w:footer="709" w:gutter="0"/>
          <w:cols w:space="708"/>
          <w:docGrid w:linePitch="360"/>
        </w:sectPr>
      </w:pPr>
      <w:r>
        <w:rPr>
          <w:rFonts w:cstheme="minorHAnsi"/>
          <w:szCs w:val="24"/>
        </w:rPr>
        <w:t>T</w:t>
      </w:r>
      <w:r w:rsidR="000E2932">
        <w:rPr>
          <w:rFonts w:cstheme="minorHAnsi"/>
          <w:szCs w:val="24"/>
        </w:rPr>
        <w:t>ravel restrictions are the final measure to adjust in the COVID-19 pandemic response.</w:t>
      </w:r>
      <w:r w:rsidR="0016206C">
        <w:rPr>
          <w:rFonts w:cstheme="minorHAnsi"/>
          <w:szCs w:val="24"/>
        </w:rPr>
        <w:t xml:space="preserve"> </w:t>
      </w:r>
      <w:r w:rsidR="009349A0">
        <w:t>Some d</w:t>
      </w:r>
      <w:r w:rsidR="009349A0" w:rsidRPr="008F196E">
        <w:t xml:space="preserve">omestic </w:t>
      </w:r>
      <w:r w:rsidR="008F196E" w:rsidRPr="008F196E">
        <w:t>travel restrictions may need to be continued due to specific local circumstances</w:t>
      </w:r>
      <w:r w:rsidR="000E032B">
        <w:t>,</w:t>
      </w:r>
      <w:r w:rsidR="008F196E" w:rsidRPr="008F196E">
        <w:t xml:space="preserve"> such as local outbreaks or community transmission, or</w:t>
      </w:r>
      <w:r w:rsidR="00AE4259">
        <w:t xml:space="preserve"> in order</w:t>
      </w:r>
      <w:r w:rsidR="008F196E" w:rsidRPr="008F196E">
        <w:t xml:space="preserve"> </w:t>
      </w:r>
      <w:r w:rsidR="00AE4259">
        <w:t>to limit</w:t>
      </w:r>
      <w:r w:rsidR="008F196E" w:rsidRPr="008F196E">
        <w:t xml:space="preserve"> community transmission to protect vulnerable populations </w:t>
      </w:r>
      <w:proofErr w:type="gramStart"/>
      <w:r w:rsidR="008F196E" w:rsidRPr="008F196E">
        <w:t>(</w:t>
      </w:r>
      <w:r w:rsidR="00CC0537">
        <w:t xml:space="preserve"> </w:t>
      </w:r>
      <w:r w:rsidR="000E032B">
        <w:t>e.g</w:t>
      </w:r>
      <w:proofErr w:type="gramEnd"/>
      <w:r w:rsidR="000E032B">
        <w:t>.</w:t>
      </w:r>
      <w:r w:rsidR="008F196E" w:rsidRPr="008F196E">
        <w:t xml:space="preserve"> remote Aboriginal communities).</w:t>
      </w:r>
      <w:r w:rsidR="00980A0F">
        <w:t xml:space="preserve"> </w:t>
      </w:r>
      <w:r w:rsidR="000E2932" w:rsidRPr="00A86BBC">
        <w:rPr>
          <w:rFonts w:cstheme="minorHAnsi"/>
          <w:szCs w:val="24"/>
        </w:rPr>
        <w:t>Decisions to reduce or withdraw current</w:t>
      </w:r>
      <w:r w:rsidR="000E2932">
        <w:rPr>
          <w:rFonts w:cstheme="minorHAnsi"/>
          <w:szCs w:val="24"/>
        </w:rPr>
        <w:t xml:space="preserve"> international</w:t>
      </w:r>
      <w:r w:rsidR="000E2932" w:rsidRPr="00A86BBC">
        <w:rPr>
          <w:rFonts w:cstheme="minorHAnsi"/>
          <w:szCs w:val="24"/>
        </w:rPr>
        <w:t xml:space="preserve"> border restrictions will be informed by the epidemiolog</w:t>
      </w:r>
      <w:r w:rsidR="000E2932">
        <w:rPr>
          <w:rFonts w:cstheme="minorHAnsi"/>
          <w:szCs w:val="24"/>
        </w:rPr>
        <w:t>ical situation</w:t>
      </w:r>
      <w:r w:rsidR="002854A4">
        <w:rPr>
          <w:rFonts w:cstheme="minorHAnsi"/>
          <w:szCs w:val="24"/>
        </w:rPr>
        <w:t xml:space="preserve"> and capacity to respond</w:t>
      </w:r>
      <w:r w:rsidR="000E2932">
        <w:rPr>
          <w:rFonts w:cstheme="minorHAnsi"/>
          <w:szCs w:val="24"/>
        </w:rPr>
        <w:t xml:space="preserve"> within Australia, in addition to </w:t>
      </w:r>
      <w:r w:rsidR="000E2932" w:rsidRPr="00A86BBC">
        <w:rPr>
          <w:rFonts w:cstheme="minorHAnsi"/>
          <w:szCs w:val="24"/>
        </w:rPr>
        <w:t xml:space="preserve">the epidemiological situation in overseas destinations. </w:t>
      </w:r>
      <w:r w:rsidR="000E2932">
        <w:rPr>
          <w:rFonts w:cstheme="minorHAnsi"/>
          <w:szCs w:val="24"/>
        </w:rPr>
        <w:t>International b</w:t>
      </w:r>
      <w:r w:rsidR="000E2932" w:rsidRPr="00A86BBC">
        <w:rPr>
          <w:rFonts w:cstheme="minorHAnsi"/>
          <w:szCs w:val="24"/>
        </w:rPr>
        <w:t>order restrictions could</w:t>
      </w:r>
      <w:r w:rsidR="000E2932">
        <w:rPr>
          <w:rFonts w:cstheme="minorHAnsi"/>
          <w:szCs w:val="24"/>
        </w:rPr>
        <w:t xml:space="preserve"> eventually</w:t>
      </w:r>
      <w:r w:rsidR="000E2932" w:rsidRPr="00A86BBC">
        <w:rPr>
          <w:rFonts w:cstheme="minorHAnsi"/>
          <w:szCs w:val="24"/>
        </w:rPr>
        <w:t xml:space="preserve"> be gradually reduced</w:t>
      </w:r>
      <w:r w:rsidR="000E2932">
        <w:rPr>
          <w:rFonts w:cstheme="minorHAnsi"/>
          <w:szCs w:val="24"/>
        </w:rPr>
        <w:t>,</w:t>
      </w:r>
      <w:r w:rsidR="000E2932" w:rsidRPr="00A86BBC">
        <w:rPr>
          <w:rFonts w:cstheme="minorHAnsi"/>
          <w:szCs w:val="24"/>
        </w:rPr>
        <w:t xml:space="preserve"> to allow travel between Australia and countries with low transmission rates or who have successfully suppressed or eliminated the virus</w:t>
      </w:r>
      <w:r w:rsidR="000E2932">
        <w:rPr>
          <w:rFonts w:cstheme="minorHAnsi"/>
          <w:szCs w:val="24"/>
        </w:rPr>
        <w:t>. H</w:t>
      </w:r>
      <w:r w:rsidR="000E2932" w:rsidRPr="00A86BBC">
        <w:rPr>
          <w:rFonts w:cstheme="minorHAnsi"/>
          <w:szCs w:val="24"/>
        </w:rPr>
        <w:t>owever, this would depend on the reliability of data from that country and the risk of reintroducing case numbers into Australia.</w:t>
      </w:r>
    </w:p>
    <w:p w14:paraId="32F0E084" w14:textId="77777777" w:rsidR="00E17396" w:rsidRDefault="00E17396" w:rsidP="00BD1614">
      <w:pPr>
        <w:pStyle w:val="Heading1"/>
        <w:rPr>
          <w:lang w:val="en"/>
        </w:rPr>
      </w:pPr>
      <w:r>
        <w:rPr>
          <w:lang w:val="en"/>
        </w:rPr>
        <w:lastRenderedPageBreak/>
        <w:t>APPENDIX 1</w:t>
      </w:r>
      <w:bookmarkStart w:id="0" w:name="_GoBack"/>
      <w:bookmarkEnd w:id="0"/>
    </w:p>
    <w:p w14:paraId="41072A74" w14:textId="160434B4" w:rsidR="002C1639" w:rsidRPr="00A83BEF" w:rsidRDefault="00A83BEF" w:rsidP="00A83BEF">
      <w:pPr>
        <w:pStyle w:val="Heading1"/>
        <w:rPr>
          <w:lang w:val="en"/>
        </w:rPr>
      </w:pPr>
      <w:r w:rsidRPr="00A83BEF">
        <w:rPr>
          <w:lang w:val="en"/>
        </w:rPr>
        <w:t xml:space="preserve">STATUS OF PRECEDENT CONDITIONS AS AT </w:t>
      </w:r>
      <w:proofErr w:type="gramStart"/>
      <w:r w:rsidRPr="00A83BEF">
        <w:rPr>
          <w:lang w:val="en"/>
        </w:rPr>
        <w:t>1</w:t>
      </w:r>
      <w:proofErr w:type="gramEnd"/>
      <w:r w:rsidRPr="00A83BEF">
        <w:rPr>
          <w:lang w:val="en"/>
        </w:rPr>
        <w:t xml:space="preserve"> MAY 2020</w:t>
      </w:r>
    </w:p>
    <w:p w14:paraId="3A66925E" w14:textId="77777777" w:rsidR="00A83BEF" w:rsidRDefault="00A83BEF" w:rsidP="004C7C10">
      <w:pPr>
        <w:spacing w:after="0"/>
        <w:rPr>
          <w:b/>
          <w:szCs w:val="24"/>
          <w:lang w:val="en"/>
        </w:rPr>
      </w:pPr>
    </w:p>
    <w:tbl>
      <w:tblPr>
        <w:tblStyle w:val="TableGrid1"/>
        <w:tblW w:w="0" w:type="auto"/>
        <w:tblLook w:val="04A0" w:firstRow="1" w:lastRow="0" w:firstColumn="1" w:lastColumn="0" w:noHBand="0" w:noVBand="1"/>
        <w:tblCaption w:val="Status of precedent conditions"/>
        <w:tblDescription w:val="This table lists a total of 15 precedent conditions under 5 categories, and outlines the status of each."/>
      </w:tblPr>
      <w:tblGrid>
        <w:gridCol w:w="3450"/>
        <w:gridCol w:w="6318"/>
      </w:tblGrid>
      <w:tr w:rsidR="00F874FF" w:rsidRPr="002C1639" w14:paraId="258820AD" w14:textId="77777777" w:rsidTr="00D42BC3">
        <w:trPr>
          <w:tblHeader/>
        </w:trPr>
        <w:tc>
          <w:tcPr>
            <w:tcW w:w="4673" w:type="dxa"/>
            <w:shd w:val="clear" w:color="auto" w:fill="8DB3E2" w:themeFill="text2" w:themeFillTint="66"/>
          </w:tcPr>
          <w:p w14:paraId="4AF489D1" w14:textId="77777777" w:rsidR="00E17396" w:rsidRPr="002C1639" w:rsidRDefault="00E17396" w:rsidP="00E17396">
            <w:pPr>
              <w:spacing w:before="0" w:after="160" w:line="259" w:lineRule="auto"/>
              <w:rPr>
                <w:rFonts w:ascii="Calibri" w:eastAsia="Calibri" w:hAnsi="Calibri" w:cs="Times New Roman"/>
                <w:b/>
                <w:caps/>
                <w:szCs w:val="20"/>
              </w:rPr>
            </w:pPr>
            <w:r w:rsidRPr="002C1639">
              <w:rPr>
                <w:rFonts w:ascii="Calibri" w:eastAsia="Calibri" w:hAnsi="Calibri" w:cs="Times New Roman"/>
                <w:b/>
                <w:caps/>
                <w:szCs w:val="20"/>
              </w:rPr>
              <w:t>Precedent Conditions</w:t>
            </w:r>
          </w:p>
        </w:tc>
        <w:tc>
          <w:tcPr>
            <w:tcW w:w="9275" w:type="dxa"/>
            <w:shd w:val="clear" w:color="auto" w:fill="8DB3E2" w:themeFill="text2" w:themeFillTint="66"/>
          </w:tcPr>
          <w:p w14:paraId="2258036D" w14:textId="77777777" w:rsidR="00E17396" w:rsidRPr="002C1639" w:rsidRDefault="00E17396" w:rsidP="00E17396">
            <w:pPr>
              <w:spacing w:before="0" w:after="160" w:line="259" w:lineRule="auto"/>
              <w:rPr>
                <w:rFonts w:ascii="Calibri" w:eastAsia="Calibri" w:hAnsi="Calibri" w:cs="Times New Roman"/>
                <w:b/>
                <w:caps/>
                <w:szCs w:val="20"/>
              </w:rPr>
            </w:pPr>
            <w:r w:rsidRPr="002C1639">
              <w:rPr>
                <w:rFonts w:ascii="Calibri" w:eastAsia="Calibri" w:hAnsi="Calibri" w:cs="Times New Roman"/>
                <w:b/>
                <w:caps/>
                <w:szCs w:val="20"/>
              </w:rPr>
              <w:t>Status</w:t>
            </w:r>
          </w:p>
        </w:tc>
      </w:tr>
      <w:tr w:rsidR="00E17396" w:rsidRPr="00E17396" w14:paraId="0CC411EC" w14:textId="77777777" w:rsidTr="00E17396">
        <w:tc>
          <w:tcPr>
            <w:tcW w:w="13948" w:type="dxa"/>
            <w:gridSpan w:val="2"/>
            <w:shd w:val="clear" w:color="auto" w:fill="DEEAF6"/>
          </w:tcPr>
          <w:p w14:paraId="725A4989" w14:textId="77777777" w:rsidR="00E17396" w:rsidRPr="00E17396" w:rsidRDefault="00E17396" w:rsidP="00E17396">
            <w:pPr>
              <w:spacing w:before="0" w:after="160" w:line="259" w:lineRule="auto"/>
              <w:rPr>
                <w:rFonts w:ascii="Calibri" w:eastAsia="Calibri" w:hAnsi="Calibri" w:cs="Times New Roman"/>
                <w:b/>
                <w:caps/>
                <w:sz w:val="20"/>
                <w:szCs w:val="20"/>
              </w:rPr>
            </w:pPr>
            <w:r w:rsidRPr="00E17396">
              <w:rPr>
                <w:rFonts w:ascii="Calibri" w:eastAsia="Calibri" w:hAnsi="Calibri" w:cs="Times New Roman"/>
                <w:b/>
                <w:caps/>
                <w:sz w:val="20"/>
                <w:szCs w:val="20"/>
              </w:rPr>
              <w:t>Situational awareness of current measures and their impact</w:t>
            </w:r>
          </w:p>
        </w:tc>
      </w:tr>
      <w:tr w:rsidR="00E17396" w:rsidRPr="00E17396" w14:paraId="19FEEB8B" w14:textId="77777777" w:rsidTr="00E17396">
        <w:tc>
          <w:tcPr>
            <w:tcW w:w="4673" w:type="dxa"/>
          </w:tcPr>
          <w:p w14:paraId="58F035AB" w14:textId="77777777" w:rsidR="00E17396" w:rsidRPr="00E17396" w:rsidRDefault="00E17396" w:rsidP="00E17396">
            <w:pPr>
              <w:spacing w:before="0" w:after="160" w:line="259" w:lineRule="auto"/>
              <w:rPr>
                <w:rFonts w:ascii="Calibri" w:eastAsia="Calibri" w:hAnsi="Calibri" w:cs="Times New Roman"/>
                <w:sz w:val="20"/>
                <w:szCs w:val="20"/>
              </w:rPr>
            </w:pPr>
            <w:r w:rsidRPr="00E17396">
              <w:rPr>
                <w:rFonts w:ascii="Calibri" w:eastAsia="Calibri" w:hAnsi="Calibri" w:cs="Times New Roman"/>
                <w:sz w:val="20"/>
                <w:szCs w:val="20"/>
              </w:rPr>
              <w:t>Sophisticated surveillance of disease incidence and spread</w:t>
            </w:r>
          </w:p>
        </w:tc>
        <w:tc>
          <w:tcPr>
            <w:tcW w:w="9275" w:type="dxa"/>
            <w:shd w:val="clear" w:color="auto" w:fill="F4B083"/>
          </w:tcPr>
          <w:p w14:paraId="1247BE09" w14:textId="40076965" w:rsidR="00E17396" w:rsidRPr="00E17396" w:rsidRDefault="0080142F" w:rsidP="00E17396">
            <w:pPr>
              <w:spacing w:before="0" w:after="160" w:line="259" w:lineRule="auto"/>
              <w:rPr>
                <w:rFonts w:ascii="Calibri" w:eastAsia="Calibri" w:hAnsi="Calibri" w:cs="Times New Roman"/>
                <w:sz w:val="20"/>
                <w:szCs w:val="20"/>
              </w:rPr>
            </w:pPr>
            <w:r>
              <w:rPr>
                <w:rFonts w:ascii="Calibri" w:eastAsia="Calibri" w:hAnsi="Calibri" w:cs="Times New Roman"/>
                <w:sz w:val="20"/>
                <w:szCs w:val="20"/>
              </w:rPr>
              <w:t>Surveillance</w:t>
            </w:r>
            <w:r w:rsidR="00E17396" w:rsidRPr="00E17396">
              <w:rPr>
                <w:rFonts w:ascii="Calibri" w:eastAsia="Calibri" w:hAnsi="Calibri" w:cs="Times New Roman"/>
                <w:sz w:val="20"/>
                <w:szCs w:val="20"/>
              </w:rPr>
              <w:t xml:space="preserve"> mechanisms are well established in jurisdictions, with planned expansion of disease surveillance and testing. Testing has already been expanded to include </w:t>
            </w:r>
            <w:r w:rsidR="000E032B">
              <w:rPr>
                <w:rFonts w:ascii="Calibri" w:eastAsia="Calibri" w:hAnsi="Calibri" w:cs="Times New Roman"/>
                <w:sz w:val="20"/>
                <w:szCs w:val="20"/>
              </w:rPr>
              <w:t>people</w:t>
            </w:r>
            <w:r w:rsidR="000E032B" w:rsidRPr="00E17396">
              <w:rPr>
                <w:rFonts w:ascii="Calibri" w:eastAsia="Calibri" w:hAnsi="Calibri" w:cs="Times New Roman"/>
                <w:sz w:val="20"/>
                <w:szCs w:val="20"/>
              </w:rPr>
              <w:t xml:space="preserve"> </w:t>
            </w:r>
            <w:r w:rsidR="00E17396" w:rsidRPr="00E17396">
              <w:rPr>
                <w:rFonts w:ascii="Calibri" w:eastAsia="Calibri" w:hAnsi="Calibri" w:cs="Times New Roman"/>
                <w:sz w:val="20"/>
                <w:szCs w:val="20"/>
              </w:rPr>
              <w:t xml:space="preserve">with acute respiratory illness. </w:t>
            </w:r>
          </w:p>
          <w:p w14:paraId="65521BBC" w14:textId="23F10BE4" w:rsidR="00E17396" w:rsidRPr="00E17396" w:rsidRDefault="00E17396" w:rsidP="002E7CF0">
            <w:pPr>
              <w:spacing w:before="0" w:after="160" w:line="259" w:lineRule="auto"/>
              <w:rPr>
                <w:rFonts w:ascii="Calibri" w:eastAsia="Calibri" w:hAnsi="Calibri" w:cs="Times New Roman"/>
                <w:sz w:val="20"/>
                <w:szCs w:val="20"/>
              </w:rPr>
            </w:pPr>
            <w:proofErr w:type="spellStart"/>
            <w:r w:rsidRPr="00E17396">
              <w:rPr>
                <w:rFonts w:ascii="Calibri" w:eastAsia="Calibri" w:hAnsi="Calibri" w:cs="Times New Roman"/>
                <w:sz w:val="20"/>
                <w:szCs w:val="20"/>
              </w:rPr>
              <w:t>Serosurveillance</w:t>
            </w:r>
            <w:proofErr w:type="spellEnd"/>
            <w:r w:rsidRPr="00E17396">
              <w:rPr>
                <w:rFonts w:ascii="Calibri" w:eastAsia="Calibri" w:hAnsi="Calibri" w:cs="Times New Roman"/>
                <w:sz w:val="20"/>
                <w:szCs w:val="20"/>
              </w:rPr>
              <w:t xml:space="preserve"> is a longer term goal, and requires further </w:t>
            </w:r>
            <w:r w:rsidR="002E7CF0">
              <w:rPr>
                <w:rFonts w:ascii="Calibri" w:eastAsia="Calibri" w:hAnsi="Calibri" w:cs="Times New Roman"/>
                <w:sz w:val="20"/>
                <w:szCs w:val="20"/>
              </w:rPr>
              <w:t>development</w:t>
            </w:r>
            <w:r w:rsidR="0091302F">
              <w:rPr>
                <w:rFonts w:ascii="Calibri" w:eastAsia="Calibri" w:hAnsi="Calibri" w:cs="Times New Roman"/>
                <w:sz w:val="20"/>
                <w:szCs w:val="20"/>
              </w:rPr>
              <w:t>.</w:t>
            </w:r>
          </w:p>
        </w:tc>
      </w:tr>
      <w:tr w:rsidR="00E17396" w:rsidRPr="00E17396" w14:paraId="18A569EA" w14:textId="77777777" w:rsidTr="007D2D22">
        <w:tc>
          <w:tcPr>
            <w:tcW w:w="4673" w:type="dxa"/>
          </w:tcPr>
          <w:p w14:paraId="639EEAB7" w14:textId="77777777" w:rsidR="00E17396" w:rsidRPr="00E17396" w:rsidRDefault="00E17396" w:rsidP="00E17396">
            <w:pPr>
              <w:spacing w:before="0" w:after="160" w:line="259" w:lineRule="auto"/>
              <w:rPr>
                <w:rFonts w:ascii="Calibri" w:eastAsia="Calibri" w:hAnsi="Calibri" w:cs="Times New Roman"/>
                <w:sz w:val="20"/>
                <w:szCs w:val="20"/>
              </w:rPr>
            </w:pPr>
            <w:r w:rsidRPr="00E17396">
              <w:rPr>
                <w:rFonts w:ascii="Calibri" w:eastAsia="Calibri" w:hAnsi="Calibri" w:cs="Times New Roman"/>
                <w:sz w:val="20"/>
                <w:szCs w:val="20"/>
              </w:rPr>
              <w:t>Community adherence to public health measures</w:t>
            </w:r>
          </w:p>
        </w:tc>
        <w:tc>
          <w:tcPr>
            <w:tcW w:w="9275" w:type="dxa"/>
            <w:shd w:val="clear" w:color="auto" w:fill="92D050"/>
          </w:tcPr>
          <w:p w14:paraId="629F69A9" w14:textId="227E9DFA" w:rsidR="00436EBA" w:rsidRPr="00E17396" w:rsidRDefault="00436EBA" w:rsidP="006365C6">
            <w:pPr>
              <w:spacing w:before="0" w:after="160" w:line="259" w:lineRule="auto"/>
              <w:rPr>
                <w:rFonts w:ascii="Calibri" w:eastAsia="Calibri" w:hAnsi="Calibri" w:cs="Times New Roman"/>
                <w:sz w:val="20"/>
                <w:szCs w:val="20"/>
              </w:rPr>
            </w:pPr>
            <w:r>
              <w:rPr>
                <w:sz w:val="20"/>
                <w:szCs w:val="20"/>
              </w:rPr>
              <w:t>Community adherence to public health measures is currently being assessed through modelling of mobility data available from public</w:t>
            </w:r>
            <w:r w:rsidR="006365C6">
              <w:rPr>
                <w:sz w:val="20"/>
                <w:szCs w:val="20"/>
              </w:rPr>
              <w:t xml:space="preserve"> and other</w:t>
            </w:r>
            <w:r>
              <w:rPr>
                <w:sz w:val="20"/>
                <w:szCs w:val="20"/>
              </w:rPr>
              <w:t xml:space="preserve"> sources</w:t>
            </w:r>
            <w:r w:rsidR="005D5E5F">
              <w:rPr>
                <w:sz w:val="20"/>
                <w:szCs w:val="20"/>
              </w:rPr>
              <w:t xml:space="preserve">. </w:t>
            </w:r>
            <w:r>
              <w:rPr>
                <w:sz w:val="20"/>
                <w:szCs w:val="20"/>
              </w:rPr>
              <w:t xml:space="preserve">There will be ongoing evaluation of this, which will be aligned with any adjustments of public health measures, to examine whether, and to what degree, the public is adhering to current advice. Public adherence will also be impacted by acceptability of public health measures. These will be monitored and assessed through market research (including surveys, polls, </w:t>
            </w:r>
            <w:proofErr w:type="gramStart"/>
            <w:r>
              <w:rPr>
                <w:sz w:val="20"/>
                <w:szCs w:val="20"/>
              </w:rPr>
              <w:t>social</w:t>
            </w:r>
            <w:proofErr w:type="gramEnd"/>
            <w:r>
              <w:rPr>
                <w:sz w:val="20"/>
                <w:szCs w:val="20"/>
              </w:rPr>
              <w:t xml:space="preserve"> media comments)</w:t>
            </w:r>
            <w:r w:rsidR="0091302F">
              <w:rPr>
                <w:sz w:val="20"/>
                <w:szCs w:val="20"/>
              </w:rPr>
              <w:t>.</w:t>
            </w:r>
          </w:p>
        </w:tc>
      </w:tr>
      <w:tr w:rsidR="00E17396" w:rsidRPr="00E17396" w14:paraId="63071F6E" w14:textId="77777777" w:rsidTr="00E17396">
        <w:tc>
          <w:tcPr>
            <w:tcW w:w="13948" w:type="dxa"/>
            <w:gridSpan w:val="2"/>
            <w:shd w:val="clear" w:color="auto" w:fill="DEEAF6"/>
          </w:tcPr>
          <w:p w14:paraId="1CDCF09B" w14:textId="77777777" w:rsidR="00E17396" w:rsidRPr="00E17396" w:rsidRDefault="00E17396" w:rsidP="00E17396">
            <w:pPr>
              <w:spacing w:before="0" w:after="160" w:line="259" w:lineRule="auto"/>
              <w:rPr>
                <w:rFonts w:ascii="Calibri" w:eastAsia="Calibri" w:hAnsi="Calibri" w:cs="Times New Roman"/>
                <w:b/>
                <w:caps/>
                <w:sz w:val="20"/>
                <w:szCs w:val="20"/>
              </w:rPr>
            </w:pPr>
            <w:r w:rsidRPr="00E17396">
              <w:rPr>
                <w:rFonts w:ascii="Calibri" w:eastAsia="Calibri" w:hAnsi="Calibri" w:cs="Times New Roman"/>
                <w:b/>
                <w:caps/>
                <w:sz w:val="20"/>
                <w:szCs w:val="20"/>
              </w:rPr>
              <w:t>Finalised surveillance plan</w:t>
            </w:r>
          </w:p>
        </w:tc>
      </w:tr>
      <w:tr w:rsidR="00E17396" w:rsidRPr="00E17396" w14:paraId="15CFBCFD" w14:textId="77777777" w:rsidTr="00E17396">
        <w:tc>
          <w:tcPr>
            <w:tcW w:w="4673" w:type="dxa"/>
          </w:tcPr>
          <w:p w14:paraId="234DB6D9" w14:textId="77777777" w:rsidR="00E17396" w:rsidRPr="00E17396" w:rsidRDefault="00E17396" w:rsidP="00E17396">
            <w:pPr>
              <w:spacing w:before="0" w:after="160" w:line="259" w:lineRule="auto"/>
              <w:ind w:left="357" w:hanging="357"/>
              <w:rPr>
                <w:rFonts w:ascii="Calibri" w:eastAsia="Calibri" w:hAnsi="Calibri" w:cs="Times New Roman"/>
                <w:sz w:val="20"/>
                <w:szCs w:val="20"/>
              </w:rPr>
            </w:pPr>
            <w:r w:rsidRPr="00E17396">
              <w:rPr>
                <w:rFonts w:ascii="Calibri" w:eastAsia="Calibri" w:hAnsi="Calibri" w:cs="Times New Roman"/>
                <w:sz w:val="20"/>
                <w:szCs w:val="20"/>
              </w:rPr>
              <w:t>Must be wholly enabled with adequate resources</w:t>
            </w:r>
          </w:p>
        </w:tc>
        <w:tc>
          <w:tcPr>
            <w:tcW w:w="9275" w:type="dxa"/>
            <w:shd w:val="clear" w:color="auto" w:fill="F4B083"/>
          </w:tcPr>
          <w:p w14:paraId="776C6E48" w14:textId="77777777" w:rsidR="00E17396" w:rsidRPr="00E17396" w:rsidRDefault="00E17396">
            <w:pPr>
              <w:spacing w:before="0" w:after="160" w:line="259" w:lineRule="auto"/>
              <w:rPr>
                <w:rFonts w:ascii="Calibri" w:eastAsia="Calibri" w:hAnsi="Calibri" w:cs="Times New Roman"/>
                <w:sz w:val="20"/>
                <w:szCs w:val="20"/>
              </w:rPr>
            </w:pPr>
            <w:r w:rsidRPr="00E17396">
              <w:rPr>
                <w:rFonts w:ascii="Calibri" w:eastAsia="Calibri" w:hAnsi="Calibri" w:cs="Times New Roman"/>
                <w:sz w:val="20"/>
                <w:szCs w:val="20"/>
              </w:rPr>
              <w:t xml:space="preserve">The Australian National Disease Surveillance Plan for COVID-19 </w:t>
            </w:r>
            <w:r w:rsidR="00E9423C">
              <w:rPr>
                <w:rFonts w:ascii="Calibri" w:eastAsia="Calibri" w:hAnsi="Calibri" w:cs="Times New Roman"/>
                <w:sz w:val="20"/>
                <w:szCs w:val="20"/>
              </w:rPr>
              <w:t>has been developed</w:t>
            </w:r>
            <w:r w:rsidRPr="00E17396">
              <w:rPr>
                <w:rFonts w:ascii="Calibri" w:eastAsia="Calibri" w:hAnsi="Calibri" w:cs="Times New Roman"/>
                <w:sz w:val="20"/>
                <w:szCs w:val="20"/>
              </w:rPr>
              <w:t xml:space="preserve"> and will continue to be updated</w:t>
            </w:r>
            <w:r w:rsidR="009349A0">
              <w:rPr>
                <w:rFonts w:ascii="Calibri" w:eastAsia="Calibri" w:hAnsi="Calibri" w:cs="Times New Roman"/>
                <w:sz w:val="20"/>
                <w:szCs w:val="20"/>
              </w:rPr>
              <w:t>.</w:t>
            </w:r>
          </w:p>
        </w:tc>
      </w:tr>
      <w:tr w:rsidR="00E17396" w:rsidRPr="00E17396" w14:paraId="453FA3C5" w14:textId="77777777" w:rsidTr="00E17396">
        <w:tc>
          <w:tcPr>
            <w:tcW w:w="13948" w:type="dxa"/>
            <w:gridSpan w:val="2"/>
            <w:shd w:val="clear" w:color="auto" w:fill="DEEAF6"/>
          </w:tcPr>
          <w:p w14:paraId="5D920110" w14:textId="77777777" w:rsidR="00E17396" w:rsidRPr="00E17396" w:rsidRDefault="00E17396" w:rsidP="00E17396">
            <w:pPr>
              <w:spacing w:before="0" w:after="160" w:line="259" w:lineRule="auto"/>
              <w:ind w:left="357" w:hanging="357"/>
              <w:rPr>
                <w:rFonts w:ascii="Calibri" w:eastAsia="Calibri" w:hAnsi="Calibri" w:cs="Times New Roman"/>
                <w:b/>
                <w:sz w:val="20"/>
                <w:szCs w:val="20"/>
              </w:rPr>
            </w:pPr>
            <w:r w:rsidRPr="00E17396">
              <w:rPr>
                <w:rFonts w:ascii="Calibri" w:eastAsia="Calibri" w:hAnsi="Calibri" w:cs="Times New Roman"/>
                <w:b/>
                <w:sz w:val="20"/>
                <w:szCs w:val="20"/>
              </w:rPr>
              <w:t>MODELLING</w:t>
            </w:r>
          </w:p>
        </w:tc>
      </w:tr>
      <w:tr w:rsidR="00E17396" w:rsidRPr="00E17396" w14:paraId="0DC48621" w14:textId="77777777" w:rsidTr="007D2D22">
        <w:tc>
          <w:tcPr>
            <w:tcW w:w="4673" w:type="dxa"/>
          </w:tcPr>
          <w:p w14:paraId="357A980E" w14:textId="77777777" w:rsidR="00E17396" w:rsidRPr="00E17396" w:rsidRDefault="00E17396" w:rsidP="00E17396">
            <w:pPr>
              <w:spacing w:before="0" w:after="160" w:line="259" w:lineRule="auto"/>
              <w:rPr>
                <w:rFonts w:ascii="Calibri" w:eastAsia="Calibri" w:hAnsi="Calibri" w:cs="Times New Roman"/>
                <w:sz w:val="20"/>
                <w:szCs w:val="20"/>
              </w:rPr>
            </w:pPr>
            <w:r w:rsidRPr="00E17396">
              <w:rPr>
                <w:rFonts w:ascii="Calibri" w:eastAsia="Calibri" w:hAnsi="Calibri" w:cs="Times New Roman"/>
                <w:sz w:val="20"/>
                <w:szCs w:val="20"/>
              </w:rPr>
              <w:t>A better understanding of the implications of the modelling and a better understanding of the characteristics and transmission of the virus.</w:t>
            </w:r>
          </w:p>
        </w:tc>
        <w:tc>
          <w:tcPr>
            <w:tcW w:w="9275" w:type="dxa"/>
            <w:shd w:val="clear" w:color="auto" w:fill="92D050"/>
          </w:tcPr>
          <w:p w14:paraId="3B28229C" w14:textId="77777777" w:rsidR="00E17396" w:rsidRPr="00E17396" w:rsidRDefault="00E17396" w:rsidP="00E17396">
            <w:pPr>
              <w:spacing w:before="0" w:after="160" w:line="259" w:lineRule="auto"/>
              <w:rPr>
                <w:rFonts w:ascii="Calibri" w:eastAsia="Calibri" w:hAnsi="Calibri" w:cs="Times New Roman"/>
                <w:sz w:val="20"/>
                <w:szCs w:val="20"/>
              </w:rPr>
            </w:pPr>
            <w:r w:rsidRPr="00E17396">
              <w:rPr>
                <w:rFonts w:ascii="Calibri" w:eastAsia="Calibri" w:hAnsi="Calibri" w:cs="Times New Roman"/>
                <w:sz w:val="20"/>
                <w:szCs w:val="20"/>
              </w:rPr>
              <w:t>Regular modelling updates are provided. As more data is collected, the accuracy of models and our confidence in them increases.</w:t>
            </w:r>
          </w:p>
        </w:tc>
      </w:tr>
      <w:tr w:rsidR="00E17396" w:rsidRPr="00E17396" w14:paraId="6EBF73B8" w14:textId="77777777" w:rsidTr="00E17396">
        <w:tc>
          <w:tcPr>
            <w:tcW w:w="13948" w:type="dxa"/>
            <w:gridSpan w:val="2"/>
            <w:shd w:val="clear" w:color="auto" w:fill="DEEAF6"/>
          </w:tcPr>
          <w:p w14:paraId="475A5018" w14:textId="77777777" w:rsidR="00E17396" w:rsidRPr="00E17396" w:rsidRDefault="00E17396" w:rsidP="00E17396">
            <w:pPr>
              <w:spacing w:before="0" w:after="160" w:line="259" w:lineRule="auto"/>
              <w:ind w:left="357" w:hanging="357"/>
              <w:rPr>
                <w:rFonts w:ascii="Calibri" w:eastAsia="Calibri" w:hAnsi="Calibri" w:cs="Times New Roman"/>
                <w:b/>
                <w:caps/>
                <w:sz w:val="20"/>
                <w:szCs w:val="20"/>
              </w:rPr>
            </w:pPr>
            <w:r w:rsidRPr="00E17396">
              <w:rPr>
                <w:rFonts w:ascii="Calibri" w:eastAsia="Calibri" w:hAnsi="Calibri" w:cs="Times New Roman"/>
                <w:b/>
                <w:caps/>
                <w:sz w:val="20"/>
                <w:szCs w:val="20"/>
              </w:rPr>
              <w:t>Complete maturation of public health capacity</w:t>
            </w:r>
          </w:p>
        </w:tc>
      </w:tr>
      <w:tr w:rsidR="00E17396" w:rsidRPr="00E17396" w14:paraId="15A317EB" w14:textId="77777777" w:rsidTr="00940494">
        <w:tc>
          <w:tcPr>
            <w:tcW w:w="4673" w:type="dxa"/>
          </w:tcPr>
          <w:p w14:paraId="41C7533A" w14:textId="77777777" w:rsidR="00E17396" w:rsidRPr="00E17396" w:rsidRDefault="00E17396" w:rsidP="00E17396">
            <w:pPr>
              <w:spacing w:before="0" w:after="160" w:line="259" w:lineRule="auto"/>
              <w:ind w:left="357" w:hanging="357"/>
              <w:rPr>
                <w:rFonts w:ascii="Calibri" w:eastAsia="Calibri" w:hAnsi="Calibri" w:cs="Times New Roman"/>
                <w:sz w:val="20"/>
                <w:szCs w:val="20"/>
              </w:rPr>
            </w:pPr>
            <w:r w:rsidRPr="00E17396">
              <w:rPr>
                <w:rFonts w:ascii="Calibri" w:eastAsia="Calibri" w:hAnsi="Calibri" w:cs="Times New Roman"/>
                <w:sz w:val="20"/>
                <w:szCs w:val="20"/>
              </w:rPr>
              <w:t xml:space="preserve">Capacity to conduct testing more broadly </w:t>
            </w:r>
          </w:p>
          <w:p w14:paraId="16D0BBCD" w14:textId="77777777" w:rsidR="00E17396" w:rsidRPr="00E17396" w:rsidRDefault="00E17396" w:rsidP="00E17396">
            <w:pPr>
              <w:spacing w:before="0" w:after="160" w:line="259" w:lineRule="auto"/>
              <w:rPr>
                <w:rFonts w:ascii="Calibri" w:eastAsia="Calibri" w:hAnsi="Calibri" w:cs="Times New Roman"/>
                <w:sz w:val="20"/>
                <w:szCs w:val="20"/>
              </w:rPr>
            </w:pPr>
          </w:p>
        </w:tc>
        <w:tc>
          <w:tcPr>
            <w:tcW w:w="9275" w:type="dxa"/>
            <w:shd w:val="clear" w:color="auto" w:fill="92D050"/>
          </w:tcPr>
          <w:p w14:paraId="60C1783E" w14:textId="7A6A53B5" w:rsidR="00940494" w:rsidRDefault="00E17396" w:rsidP="00940494">
            <w:pPr>
              <w:spacing w:before="0" w:after="160" w:line="259" w:lineRule="auto"/>
              <w:rPr>
                <w:rFonts w:ascii="Calibri" w:eastAsia="Calibri" w:hAnsi="Calibri" w:cs="Times New Roman"/>
                <w:sz w:val="20"/>
                <w:szCs w:val="20"/>
              </w:rPr>
            </w:pPr>
            <w:r w:rsidRPr="00E17396">
              <w:rPr>
                <w:rFonts w:ascii="Calibri" w:eastAsia="Calibri" w:hAnsi="Calibri" w:cs="Times New Roman"/>
                <w:sz w:val="20"/>
                <w:szCs w:val="20"/>
              </w:rPr>
              <w:t xml:space="preserve">Jurisdictions have </w:t>
            </w:r>
            <w:r w:rsidR="00940494">
              <w:rPr>
                <w:rFonts w:ascii="Calibri" w:eastAsia="Calibri" w:hAnsi="Calibri" w:cs="Times New Roman"/>
                <w:sz w:val="20"/>
                <w:szCs w:val="20"/>
              </w:rPr>
              <w:t>already expanded testing.</w:t>
            </w:r>
            <w:r w:rsidR="00980A0F">
              <w:rPr>
                <w:rFonts w:ascii="Calibri" w:eastAsia="Calibri" w:hAnsi="Calibri" w:cs="Times New Roman"/>
                <w:sz w:val="20"/>
                <w:szCs w:val="20"/>
              </w:rPr>
              <w:t xml:space="preserve"> </w:t>
            </w:r>
          </w:p>
          <w:p w14:paraId="792EDB61" w14:textId="6B72D7EC" w:rsidR="00E17396" w:rsidRPr="00E17396" w:rsidRDefault="00940494">
            <w:pPr>
              <w:spacing w:before="0" w:after="160" w:line="259" w:lineRule="auto"/>
              <w:rPr>
                <w:rFonts w:ascii="Calibri" w:eastAsia="Calibri" w:hAnsi="Calibri" w:cs="Times New Roman"/>
                <w:sz w:val="20"/>
                <w:szCs w:val="20"/>
              </w:rPr>
            </w:pPr>
            <w:r>
              <w:rPr>
                <w:rFonts w:ascii="Calibri" w:eastAsia="Calibri" w:hAnsi="Calibri" w:cs="Times New Roman"/>
                <w:sz w:val="20"/>
                <w:szCs w:val="20"/>
              </w:rPr>
              <w:t>As</w:t>
            </w:r>
            <w:r w:rsidR="00E17396" w:rsidRPr="00E17396">
              <w:rPr>
                <w:rFonts w:ascii="Calibri" w:eastAsia="Calibri" w:hAnsi="Calibri" w:cs="Times New Roman"/>
                <w:sz w:val="20"/>
                <w:szCs w:val="20"/>
              </w:rPr>
              <w:t xml:space="preserve"> per the </w:t>
            </w:r>
            <w:r w:rsidR="00E9423C">
              <w:rPr>
                <w:rFonts w:ascii="Calibri" w:eastAsia="Calibri" w:hAnsi="Calibri" w:cs="Times New Roman"/>
                <w:sz w:val="20"/>
                <w:szCs w:val="20"/>
              </w:rPr>
              <w:t xml:space="preserve">COVID-19 </w:t>
            </w:r>
            <w:r w:rsidR="00E17396" w:rsidRPr="00E17396">
              <w:rPr>
                <w:rFonts w:ascii="Calibri" w:eastAsia="Calibri" w:hAnsi="Calibri" w:cs="Times New Roman"/>
                <w:sz w:val="20"/>
                <w:szCs w:val="20"/>
              </w:rPr>
              <w:t xml:space="preserve">Testing </w:t>
            </w:r>
            <w:r w:rsidR="00CC0537">
              <w:rPr>
                <w:rFonts w:ascii="Calibri" w:eastAsia="Calibri" w:hAnsi="Calibri" w:cs="Times New Roman"/>
                <w:sz w:val="20"/>
                <w:szCs w:val="20"/>
              </w:rPr>
              <w:t>Framework</w:t>
            </w:r>
            <w:r w:rsidR="00E17396" w:rsidRPr="00E17396">
              <w:rPr>
                <w:rFonts w:ascii="Calibri" w:eastAsia="Calibri" w:hAnsi="Calibri" w:cs="Times New Roman"/>
                <w:sz w:val="20"/>
                <w:szCs w:val="20"/>
              </w:rPr>
              <w:t xml:space="preserve"> there will be further testing increases. </w:t>
            </w:r>
          </w:p>
        </w:tc>
      </w:tr>
      <w:tr w:rsidR="00E17396" w:rsidRPr="00E17396" w14:paraId="198AD65F" w14:textId="77777777" w:rsidTr="00CD1299">
        <w:tc>
          <w:tcPr>
            <w:tcW w:w="4673" w:type="dxa"/>
          </w:tcPr>
          <w:p w14:paraId="2CD959A1" w14:textId="77777777" w:rsidR="00E17396" w:rsidRPr="00E17396" w:rsidRDefault="00E17396" w:rsidP="00E17396">
            <w:pPr>
              <w:spacing w:before="0" w:after="160" w:line="259" w:lineRule="auto"/>
              <w:ind w:left="357" w:hanging="357"/>
              <w:rPr>
                <w:rFonts w:ascii="Calibri" w:eastAsia="Calibri" w:hAnsi="Calibri" w:cs="Times New Roman"/>
                <w:sz w:val="20"/>
                <w:szCs w:val="20"/>
              </w:rPr>
            </w:pPr>
            <w:r w:rsidRPr="00E17396">
              <w:rPr>
                <w:rFonts w:ascii="Calibri" w:eastAsia="Calibri" w:hAnsi="Calibri" w:cs="Times New Roman"/>
                <w:sz w:val="20"/>
                <w:szCs w:val="20"/>
              </w:rPr>
              <w:t>Public health workforce</w:t>
            </w:r>
          </w:p>
        </w:tc>
        <w:tc>
          <w:tcPr>
            <w:tcW w:w="9275" w:type="dxa"/>
            <w:shd w:val="clear" w:color="auto" w:fill="92D050"/>
          </w:tcPr>
          <w:p w14:paraId="2950455D" w14:textId="77777777" w:rsidR="00407BFE" w:rsidRDefault="00E17396" w:rsidP="00E17396">
            <w:pPr>
              <w:spacing w:before="0" w:after="160" w:line="259" w:lineRule="auto"/>
              <w:rPr>
                <w:rFonts w:ascii="Calibri" w:eastAsia="Calibri" w:hAnsi="Calibri" w:cs="Times New Roman"/>
                <w:sz w:val="20"/>
                <w:szCs w:val="20"/>
              </w:rPr>
            </w:pPr>
            <w:r w:rsidRPr="00E17396">
              <w:rPr>
                <w:rFonts w:ascii="Calibri" w:eastAsia="Calibri" w:hAnsi="Calibri" w:cs="Times New Roman"/>
                <w:sz w:val="20"/>
                <w:szCs w:val="20"/>
              </w:rPr>
              <w:t>Sufficient public health personnel currently to contac</w:t>
            </w:r>
            <w:r w:rsidR="00407BFE">
              <w:rPr>
                <w:rFonts w:ascii="Calibri" w:eastAsia="Calibri" w:hAnsi="Calibri" w:cs="Times New Roman"/>
                <w:sz w:val="20"/>
                <w:szCs w:val="20"/>
              </w:rPr>
              <w:t>t trace quickly and extensively.</w:t>
            </w:r>
            <w:r w:rsidRPr="00E17396">
              <w:rPr>
                <w:rFonts w:ascii="Calibri" w:eastAsia="Calibri" w:hAnsi="Calibri" w:cs="Times New Roman"/>
                <w:sz w:val="20"/>
                <w:szCs w:val="20"/>
              </w:rPr>
              <w:t xml:space="preserve"> </w:t>
            </w:r>
          </w:p>
          <w:p w14:paraId="0781CC64" w14:textId="78EA0242" w:rsidR="00407BFE" w:rsidRPr="00E17396" w:rsidRDefault="00407BFE" w:rsidP="00980A0F">
            <w:pPr>
              <w:spacing w:before="0" w:after="160" w:line="259" w:lineRule="auto"/>
              <w:rPr>
                <w:rFonts w:ascii="Calibri" w:eastAsia="Calibri" w:hAnsi="Calibri" w:cs="Times New Roman"/>
                <w:sz w:val="20"/>
                <w:szCs w:val="20"/>
              </w:rPr>
            </w:pPr>
            <w:r>
              <w:rPr>
                <w:rFonts w:ascii="Calibri" w:eastAsia="Calibri" w:hAnsi="Calibri" w:cs="Times New Roman"/>
                <w:sz w:val="20"/>
                <w:szCs w:val="20"/>
              </w:rPr>
              <w:t>Surge capacity is available, however as case numbers are currently low</w:t>
            </w:r>
            <w:r w:rsidR="000E032B">
              <w:rPr>
                <w:rFonts w:ascii="Calibri" w:eastAsia="Calibri" w:hAnsi="Calibri" w:cs="Times New Roman"/>
                <w:sz w:val="20"/>
                <w:szCs w:val="20"/>
              </w:rPr>
              <w:t>,</w:t>
            </w:r>
            <w:r>
              <w:rPr>
                <w:rFonts w:ascii="Calibri" w:eastAsia="Calibri" w:hAnsi="Calibri" w:cs="Times New Roman"/>
                <w:sz w:val="20"/>
                <w:szCs w:val="20"/>
              </w:rPr>
              <w:t xml:space="preserve"> the workforce has been redistributed.</w:t>
            </w:r>
            <w:r w:rsidR="00980A0F">
              <w:rPr>
                <w:rFonts w:ascii="Calibri" w:eastAsia="Calibri" w:hAnsi="Calibri" w:cs="Times New Roman"/>
                <w:sz w:val="20"/>
                <w:szCs w:val="20"/>
              </w:rPr>
              <w:t xml:space="preserve"> </w:t>
            </w:r>
            <w:r w:rsidR="00BA7260">
              <w:rPr>
                <w:rFonts w:ascii="Calibri" w:eastAsia="Calibri" w:hAnsi="Calibri" w:cs="Times New Roman"/>
                <w:sz w:val="20"/>
                <w:szCs w:val="20"/>
              </w:rPr>
              <w:t>Jurisdictions are confident that the workforce can be rapidly redeployed.</w:t>
            </w:r>
          </w:p>
        </w:tc>
      </w:tr>
      <w:tr w:rsidR="00436EBA" w:rsidRPr="00E17396" w14:paraId="111B6434" w14:textId="77777777" w:rsidTr="00CD1299">
        <w:tc>
          <w:tcPr>
            <w:tcW w:w="4673" w:type="dxa"/>
          </w:tcPr>
          <w:p w14:paraId="7E4EBD45" w14:textId="26EBE9F0" w:rsidR="00436EBA" w:rsidRPr="00E17396" w:rsidRDefault="00C62DE8" w:rsidP="00E17396">
            <w:pPr>
              <w:spacing w:before="0" w:after="160" w:line="259" w:lineRule="auto"/>
              <w:ind w:left="357" w:hanging="357"/>
              <w:rPr>
                <w:rFonts w:ascii="Calibri" w:eastAsia="Calibri" w:hAnsi="Calibri" w:cs="Times New Roman"/>
                <w:sz w:val="20"/>
                <w:szCs w:val="20"/>
              </w:rPr>
            </w:pPr>
            <w:r>
              <w:rPr>
                <w:rFonts w:ascii="Calibri" w:eastAsia="Calibri" w:hAnsi="Calibri" w:cs="Times New Roman"/>
                <w:sz w:val="20"/>
                <w:szCs w:val="20"/>
              </w:rPr>
              <w:t xml:space="preserve">Contact </w:t>
            </w:r>
            <w:r w:rsidR="00436EBA">
              <w:rPr>
                <w:rFonts w:ascii="Calibri" w:eastAsia="Calibri" w:hAnsi="Calibri" w:cs="Times New Roman"/>
                <w:sz w:val="20"/>
                <w:szCs w:val="20"/>
              </w:rPr>
              <w:t>tracing capacity</w:t>
            </w:r>
          </w:p>
        </w:tc>
        <w:tc>
          <w:tcPr>
            <w:tcW w:w="9275" w:type="dxa"/>
            <w:shd w:val="clear" w:color="auto" w:fill="92D050"/>
          </w:tcPr>
          <w:p w14:paraId="2DBFFA33" w14:textId="77777777" w:rsidR="00436EBA" w:rsidRPr="00300E2C" w:rsidRDefault="00436EBA" w:rsidP="00300E2C">
            <w:pPr>
              <w:spacing w:before="0" w:after="0"/>
              <w:jc w:val="both"/>
              <w:rPr>
                <w:sz w:val="20"/>
                <w:szCs w:val="20"/>
              </w:rPr>
            </w:pPr>
            <w:r w:rsidRPr="00300E2C">
              <w:rPr>
                <w:sz w:val="20"/>
                <w:szCs w:val="20"/>
              </w:rPr>
              <w:t>Contact tracing mechanisms are well established in jurisdictions, and the Australian National Disease Surveillance Plan for COVID-19, in conjunction with the Testing Framework detail expansion of disease surveillance and testing.</w:t>
            </w:r>
          </w:p>
          <w:p w14:paraId="38EE535D" w14:textId="03DC27D7" w:rsidR="00436EBA" w:rsidRPr="00300E2C" w:rsidRDefault="00436EBA" w:rsidP="00300E2C">
            <w:pPr>
              <w:spacing w:after="0"/>
              <w:rPr>
                <w:sz w:val="20"/>
                <w:szCs w:val="20"/>
              </w:rPr>
            </w:pPr>
            <w:r w:rsidRPr="00300E2C">
              <w:rPr>
                <w:sz w:val="20"/>
                <w:szCs w:val="20"/>
              </w:rPr>
              <w:t xml:space="preserve">Of note is that testing has already been expanded to include </w:t>
            </w:r>
            <w:r w:rsidR="00AB6E7E">
              <w:rPr>
                <w:sz w:val="20"/>
                <w:szCs w:val="20"/>
              </w:rPr>
              <w:t>people</w:t>
            </w:r>
            <w:r w:rsidR="00AB6E7E" w:rsidRPr="00300E2C">
              <w:rPr>
                <w:sz w:val="20"/>
                <w:szCs w:val="20"/>
              </w:rPr>
              <w:t xml:space="preserve"> </w:t>
            </w:r>
            <w:r w:rsidRPr="00300E2C">
              <w:rPr>
                <w:sz w:val="20"/>
                <w:szCs w:val="20"/>
              </w:rPr>
              <w:t xml:space="preserve">with acute respiratory illness. Further encouragement of </w:t>
            </w:r>
            <w:r w:rsidR="00AB6E7E">
              <w:rPr>
                <w:sz w:val="20"/>
                <w:szCs w:val="20"/>
              </w:rPr>
              <w:t>people</w:t>
            </w:r>
            <w:r w:rsidR="00AB6E7E" w:rsidRPr="00300E2C">
              <w:rPr>
                <w:sz w:val="20"/>
                <w:szCs w:val="20"/>
              </w:rPr>
              <w:t xml:space="preserve"> </w:t>
            </w:r>
            <w:r w:rsidRPr="00300E2C">
              <w:rPr>
                <w:sz w:val="20"/>
                <w:szCs w:val="20"/>
              </w:rPr>
              <w:t xml:space="preserve">who have respiratory symptoms to seek testing is needed, and expansion of contact </w:t>
            </w:r>
            <w:r w:rsidRPr="00300E2C">
              <w:rPr>
                <w:sz w:val="20"/>
                <w:szCs w:val="20"/>
              </w:rPr>
              <w:lastRenderedPageBreak/>
              <w:t xml:space="preserve">tracing and time limited epidemiological </w:t>
            </w:r>
            <w:r w:rsidR="00AB6E7E">
              <w:rPr>
                <w:sz w:val="20"/>
                <w:szCs w:val="20"/>
              </w:rPr>
              <w:t>group</w:t>
            </w:r>
            <w:r w:rsidR="00AB6E7E" w:rsidRPr="00300E2C">
              <w:rPr>
                <w:sz w:val="20"/>
                <w:szCs w:val="20"/>
              </w:rPr>
              <w:t xml:space="preserve"> </w:t>
            </w:r>
            <w:r w:rsidRPr="00300E2C">
              <w:rPr>
                <w:sz w:val="20"/>
                <w:szCs w:val="20"/>
              </w:rPr>
              <w:t xml:space="preserve">studies are being developed. </w:t>
            </w:r>
          </w:p>
          <w:p w14:paraId="2A00F2A6" w14:textId="77777777" w:rsidR="00436EBA" w:rsidRPr="00300E2C" w:rsidRDefault="00436EBA" w:rsidP="00300E2C">
            <w:pPr>
              <w:spacing w:after="0"/>
              <w:rPr>
                <w:sz w:val="20"/>
                <w:szCs w:val="20"/>
              </w:rPr>
            </w:pPr>
            <w:proofErr w:type="spellStart"/>
            <w:r w:rsidRPr="00300E2C">
              <w:rPr>
                <w:sz w:val="20"/>
                <w:szCs w:val="20"/>
              </w:rPr>
              <w:t>Serosurveillance</w:t>
            </w:r>
            <w:proofErr w:type="spellEnd"/>
            <w:r w:rsidRPr="00300E2C">
              <w:rPr>
                <w:sz w:val="20"/>
                <w:szCs w:val="20"/>
              </w:rPr>
              <w:t xml:space="preserve"> is a longer term goal to better understand the predicted immunity status of the Australian population, and requires further funding and consideration.</w:t>
            </w:r>
          </w:p>
          <w:p w14:paraId="0169984F" w14:textId="77777777" w:rsidR="00436EBA" w:rsidRDefault="00436EBA" w:rsidP="00CD69F4">
            <w:pPr>
              <w:spacing w:after="0"/>
              <w:rPr>
                <w:sz w:val="20"/>
                <w:szCs w:val="20"/>
              </w:rPr>
            </w:pPr>
            <w:r w:rsidRPr="00300E2C">
              <w:rPr>
                <w:sz w:val="20"/>
                <w:szCs w:val="20"/>
              </w:rPr>
              <w:t>Jurisdictions currently have the ability to contact trace both quickly and thoroughly, with the ability of this workforce to surge already established through training and upskilling of additional personnel.</w:t>
            </w:r>
          </w:p>
          <w:p w14:paraId="4B04C58C" w14:textId="77777777" w:rsidR="00436EBA" w:rsidRPr="00300E2C" w:rsidRDefault="00436EBA" w:rsidP="00300E2C">
            <w:pPr>
              <w:spacing w:before="0" w:after="0"/>
              <w:jc w:val="both"/>
              <w:rPr>
                <w:sz w:val="20"/>
                <w:szCs w:val="20"/>
              </w:rPr>
            </w:pPr>
          </w:p>
        </w:tc>
      </w:tr>
      <w:tr w:rsidR="00E17396" w:rsidRPr="00E17396" w14:paraId="6FD2154F" w14:textId="77777777" w:rsidTr="00E17396">
        <w:tc>
          <w:tcPr>
            <w:tcW w:w="4673" w:type="dxa"/>
          </w:tcPr>
          <w:p w14:paraId="62DFE3BF" w14:textId="77777777" w:rsidR="00E17396" w:rsidRPr="00E17396" w:rsidRDefault="00E17396" w:rsidP="00E17396">
            <w:pPr>
              <w:spacing w:before="0" w:after="160" w:line="259" w:lineRule="auto"/>
              <w:rPr>
                <w:rFonts w:ascii="Calibri" w:eastAsia="Calibri" w:hAnsi="Calibri" w:cs="Times New Roman"/>
                <w:sz w:val="20"/>
                <w:szCs w:val="20"/>
              </w:rPr>
            </w:pPr>
            <w:r w:rsidRPr="00E17396">
              <w:rPr>
                <w:rFonts w:ascii="Calibri" w:eastAsia="Calibri" w:hAnsi="Calibri" w:cs="Times New Roman"/>
                <w:sz w:val="20"/>
                <w:szCs w:val="20"/>
              </w:rPr>
              <w:lastRenderedPageBreak/>
              <w:t>Technology for contact tracing, data collection and analysis</w:t>
            </w:r>
          </w:p>
        </w:tc>
        <w:tc>
          <w:tcPr>
            <w:tcW w:w="9275" w:type="dxa"/>
            <w:shd w:val="clear" w:color="auto" w:fill="F4B083"/>
          </w:tcPr>
          <w:p w14:paraId="423113D1" w14:textId="77777777" w:rsidR="00E17396" w:rsidRPr="00E17396" w:rsidRDefault="00E17396">
            <w:pPr>
              <w:spacing w:before="0" w:after="160" w:line="259" w:lineRule="auto"/>
              <w:rPr>
                <w:rFonts w:ascii="Calibri" w:eastAsia="Calibri" w:hAnsi="Calibri" w:cs="Times New Roman"/>
                <w:sz w:val="20"/>
                <w:szCs w:val="20"/>
              </w:rPr>
            </w:pPr>
            <w:r w:rsidRPr="00E17396">
              <w:rPr>
                <w:rFonts w:ascii="Calibri" w:eastAsia="Calibri" w:hAnsi="Calibri" w:cs="Times New Roman"/>
                <w:sz w:val="20"/>
                <w:szCs w:val="20"/>
              </w:rPr>
              <w:t xml:space="preserve">The </w:t>
            </w:r>
            <w:proofErr w:type="spellStart"/>
            <w:r w:rsidRPr="00E17396">
              <w:rPr>
                <w:rFonts w:ascii="Calibri" w:eastAsia="Calibri" w:hAnsi="Calibri" w:cs="Times New Roman"/>
                <w:sz w:val="20"/>
                <w:szCs w:val="20"/>
              </w:rPr>
              <w:t>COVIDSafe</w:t>
            </w:r>
            <w:proofErr w:type="spellEnd"/>
            <w:r w:rsidRPr="00E17396">
              <w:rPr>
                <w:rFonts w:ascii="Calibri" w:eastAsia="Calibri" w:hAnsi="Calibri" w:cs="Times New Roman"/>
                <w:sz w:val="20"/>
                <w:szCs w:val="20"/>
              </w:rPr>
              <w:t xml:space="preserve"> App was launched on 27 April 2020, with significant uptake within the first 24 hours (&gt;2 million). </w:t>
            </w:r>
          </w:p>
        </w:tc>
      </w:tr>
      <w:tr w:rsidR="00E17396" w:rsidRPr="00E17396" w14:paraId="33360D0C" w14:textId="77777777" w:rsidTr="00E17396">
        <w:tc>
          <w:tcPr>
            <w:tcW w:w="13948" w:type="dxa"/>
            <w:gridSpan w:val="2"/>
            <w:shd w:val="clear" w:color="auto" w:fill="DEEAF6"/>
          </w:tcPr>
          <w:p w14:paraId="6988767A" w14:textId="6AAE57A2" w:rsidR="00E17396" w:rsidRPr="00E17396" w:rsidRDefault="00E17396" w:rsidP="003F5D8D">
            <w:pPr>
              <w:spacing w:before="0" w:after="160" w:line="259" w:lineRule="auto"/>
              <w:ind w:left="357" w:hanging="357"/>
              <w:rPr>
                <w:rFonts w:ascii="Calibri" w:eastAsia="Calibri" w:hAnsi="Calibri" w:cs="Times New Roman"/>
                <w:sz w:val="16"/>
                <w:szCs w:val="20"/>
              </w:rPr>
            </w:pPr>
            <w:r w:rsidRPr="00E17396">
              <w:rPr>
                <w:rFonts w:ascii="Calibri" w:eastAsia="Calibri" w:hAnsi="Calibri" w:cs="Times New Roman"/>
                <w:b/>
                <w:caps/>
                <w:sz w:val="20"/>
                <w:szCs w:val="20"/>
              </w:rPr>
              <w:t xml:space="preserve">Assurance of adequate health system capacity </w:t>
            </w:r>
          </w:p>
        </w:tc>
      </w:tr>
      <w:tr w:rsidR="00436EBA" w:rsidRPr="00E17396" w14:paraId="4B6C2747" w14:textId="77777777" w:rsidTr="00940494">
        <w:tc>
          <w:tcPr>
            <w:tcW w:w="4673" w:type="dxa"/>
          </w:tcPr>
          <w:p w14:paraId="3B9F6053" w14:textId="77777777" w:rsidR="00436EBA" w:rsidRPr="00E17396" w:rsidRDefault="00436EBA" w:rsidP="00436EBA">
            <w:pPr>
              <w:spacing w:before="0" w:after="160" w:line="259" w:lineRule="auto"/>
              <w:ind w:left="357" w:hanging="357"/>
              <w:rPr>
                <w:rFonts w:ascii="Calibri" w:eastAsia="Calibri" w:hAnsi="Calibri" w:cs="Times New Roman"/>
                <w:sz w:val="20"/>
                <w:szCs w:val="20"/>
              </w:rPr>
            </w:pPr>
            <w:r w:rsidRPr="00E17396">
              <w:rPr>
                <w:rFonts w:ascii="Calibri" w:eastAsia="Calibri" w:hAnsi="Calibri" w:cs="Times New Roman"/>
                <w:sz w:val="20"/>
                <w:szCs w:val="20"/>
              </w:rPr>
              <w:t>Health system status</w:t>
            </w:r>
          </w:p>
        </w:tc>
        <w:tc>
          <w:tcPr>
            <w:tcW w:w="9275" w:type="dxa"/>
            <w:shd w:val="clear" w:color="auto" w:fill="92D050"/>
          </w:tcPr>
          <w:p w14:paraId="6C3F1742" w14:textId="2FF11070" w:rsidR="00436EBA" w:rsidRPr="00E17396" w:rsidRDefault="00436EBA" w:rsidP="00AB6E7E">
            <w:pPr>
              <w:spacing w:before="0" w:after="160" w:line="259" w:lineRule="auto"/>
              <w:rPr>
                <w:rFonts w:ascii="Calibri" w:eastAsia="Calibri" w:hAnsi="Calibri" w:cs="Times New Roman"/>
                <w:sz w:val="20"/>
                <w:szCs w:val="20"/>
              </w:rPr>
            </w:pPr>
            <w:r w:rsidRPr="00E17396">
              <w:rPr>
                <w:rFonts w:ascii="Calibri" w:eastAsia="Calibri" w:hAnsi="Calibri" w:cs="Times New Roman"/>
                <w:sz w:val="20"/>
                <w:szCs w:val="20"/>
              </w:rPr>
              <w:t xml:space="preserve">The health system is currently able to manage usual healthcare needs in addition to </w:t>
            </w:r>
            <w:r>
              <w:rPr>
                <w:rFonts w:ascii="Calibri" w:eastAsia="Calibri" w:hAnsi="Calibri" w:cs="Times New Roman"/>
                <w:sz w:val="20"/>
                <w:szCs w:val="20"/>
              </w:rPr>
              <w:t>current levels of</w:t>
            </w:r>
            <w:r w:rsidRPr="00E17396">
              <w:rPr>
                <w:rFonts w:ascii="Calibri" w:eastAsia="Calibri" w:hAnsi="Calibri" w:cs="Times New Roman"/>
                <w:sz w:val="20"/>
                <w:szCs w:val="20"/>
              </w:rPr>
              <w:t xml:space="preserve"> COVID-</w:t>
            </w:r>
            <w:r w:rsidR="00AB6E7E" w:rsidRPr="00E17396">
              <w:rPr>
                <w:rFonts w:ascii="Calibri" w:eastAsia="Calibri" w:hAnsi="Calibri" w:cs="Times New Roman"/>
                <w:sz w:val="20"/>
                <w:szCs w:val="20"/>
              </w:rPr>
              <w:t>19</w:t>
            </w:r>
            <w:r w:rsidR="00AB6E7E">
              <w:rPr>
                <w:rFonts w:ascii="Calibri" w:eastAsia="Calibri" w:hAnsi="Calibri" w:cs="Times New Roman"/>
                <w:sz w:val="20"/>
                <w:szCs w:val="20"/>
              </w:rPr>
              <w:t>-</w:t>
            </w:r>
            <w:r w:rsidRPr="00E17396">
              <w:rPr>
                <w:rFonts w:ascii="Calibri" w:eastAsia="Calibri" w:hAnsi="Calibri" w:cs="Times New Roman"/>
                <w:sz w:val="20"/>
                <w:szCs w:val="20"/>
              </w:rPr>
              <w:t>related illness</w:t>
            </w:r>
            <w:r>
              <w:rPr>
                <w:rFonts w:ascii="Calibri" w:eastAsia="Calibri" w:hAnsi="Calibri" w:cs="Times New Roman"/>
                <w:sz w:val="20"/>
                <w:szCs w:val="20"/>
              </w:rPr>
              <w:t>.</w:t>
            </w:r>
          </w:p>
        </w:tc>
      </w:tr>
      <w:tr w:rsidR="00E17396" w:rsidRPr="00E17396" w14:paraId="7F7876D0" w14:textId="77777777" w:rsidTr="00940494">
        <w:tc>
          <w:tcPr>
            <w:tcW w:w="4673" w:type="dxa"/>
          </w:tcPr>
          <w:p w14:paraId="0F2BA2A4" w14:textId="4E106E68" w:rsidR="00E17396" w:rsidRPr="00E17396" w:rsidRDefault="00E17396" w:rsidP="00E17396">
            <w:pPr>
              <w:spacing w:before="0" w:after="160" w:line="259" w:lineRule="auto"/>
              <w:ind w:left="357" w:hanging="357"/>
              <w:rPr>
                <w:rFonts w:ascii="Calibri" w:eastAsia="Calibri" w:hAnsi="Calibri" w:cs="Times New Roman"/>
                <w:sz w:val="20"/>
                <w:szCs w:val="20"/>
              </w:rPr>
            </w:pPr>
            <w:r w:rsidRPr="00E17396">
              <w:rPr>
                <w:rFonts w:ascii="Calibri" w:eastAsia="Calibri" w:hAnsi="Calibri" w:cs="Times New Roman"/>
                <w:sz w:val="20"/>
                <w:szCs w:val="20"/>
              </w:rPr>
              <w:t xml:space="preserve">Surge </w:t>
            </w:r>
            <w:r w:rsidR="000E032B">
              <w:rPr>
                <w:rFonts w:ascii="Calibri" w:eastAsia="Calibri" w:hAnsi="Calibri" w:cs="Times New Roman"/>
                <w:sz w:val="20"/>
                <w:szCs w:val="20"/>
              </w:rPr>
              <w:t>c</w:t>
            </w:r>
            <w:r w:rsidR="00436EBA">
              <w:rPr>
                <w:rFonts w:ascii="Calibri" w:eastAsia="Calibri" w:hAnsi="Calibri" w:cs="Times New Roman"/>
                <w:sz w:val="20"/>
                <w:szCs w:val="20"/>
              </w:rPr>
              <w:t>apacity</w:t>
            </w:r>
          </w:p>
        </w:tc>
        <w:tc>
          <w:tcPr>
            <w:tcW w:w="9275" w:type="dxa"/>
            <w:shd w:val="clear" w:color="auto" w:fill="92D050"/>
          </w:tcPr>
          <w:p w14:paraId="180B2ADF" w14:textId="77777777" w:rsidR="00E17396" w:rsidRPr="00E17396" w:rsidRDefault="00E17396">
            <w:pPr>
              <w:spacing w:before="0" w:after="160" w:line="259" w:lineRule="auto"/>
              <w:rPr>
                <w:rFonts w:ascii="Calibri" w:eastAsia="Calibri" w:hAnsi="Calibri" w:cs="Times New Roman"/>
                <w:sz w:val="20"/>
                <w:szCs w:val="20"/>
              </w:rPr>
            </w:pPr>
            <w:r w:rsidRPr="00E17396">
              <w:rPr>
                <w:rFonts w:ascii="Calibri" w:eastAsia="Calibri" w:hAnsi="Calibri" w:cs="Times New Roman"/>
                <w:sz w:val="20"/>
                <w:szCs w:val="20"/>
              </w:rPr>
              <w:t>The health system currently has the ability to surge.</w:t>
            </w:r>
          </w:p>
        </w:tc>
      </w:tr>
      <w:tr w:rsidR="00E17396" w:rsidRPr="00E17396" w14:paraId="18C52278" w14:textId="77777777" w:rsidTr="00940494">
        <w:tc>
          <w:tcPr>
            <w:tcW w:w="4673" w:type="dxa"/>
          </w:tcPr>
          <w:p w14:paraId="4B73068B" w14:textId="67685DD3" w:rsidR="00E17396" w:rsidRPr="00E17396" w:rsidRDefault="00E17396" w:rsidP="00E17396">
            <w:pPr>
              <w:spacing w:before="0" w:after="160" w:line="259" w:lineRule="auto"/>
              <w:rPr>
                <w:rFonts w:ascii="Calibri" w:eastAsia="Calibri" w:hAnsi="Calibri" w:cs="Times New Roman"/>
                <w:sz w:val="20"/>
                <w:szCs w:val="20"/>
              </w:rPr>
            </w:pPr>
            <w:r w:rsidRPr="00E17396">
              <w:rPr>
                <w:rFonts w:ascii="Calibri" w:eastAsia="Calibri" w:hAnsi="Calibri" w:cs="Times New Roman"/>
                <w:sz w:val="20"/>
                <w:szCs w:val="20"/>
              </w:rPr>
              <w:t>Hospital beds/</w:t>
            </w:r>
            <w:r w:rsidR="000E032B">
              <w:rPr>
                <w:rFonts w:ascii="Calibri" w:eastAsia="Calibri" w:hAnsi="Calibri" w:cs="Times New Roman"/>
                <w:sz w:val="20"/>
                <w:szCs w:val="20"/>
              </w:rPr>
              <w:t>v</w:t>
            </w:r>
            <w:r w:rsidRPr="00E17396">
              <w:rPr>
                <w:rFonts w:ascii="Calibri" w:eastAsia="Calibri" w:hAnsi="Calibri" w:cs="Times New Roman"/>
                <w:sz w:val="20"/>
                <w:szCs w:val="20"/>
              </w:rPr>
              <w:t>entilators</w:t>
            </w:r>
          </w:p>
        </w:tc>
        <w:tc>
          <w:tcPr>
            <w:tcW w:w="9275" w:type="dxa"/>
            <w:shd w:val="clear" w:color="auto" w:fill="92D050"/>
          </w:tcPr>
          <w:p w14:paraId="16CEDB70" w14:textId="77777777" w:rsidR="00E17396" w:rsidRPr="00E17396" w:rsidRDefault="00E17396" w:rsidP="00E17396">
            <w:pPr>
              <w:spacing w:before="0" w:after="160" w:line="259" w:lineRule="auto"/>
              <w:rPr>
                <w:rFonts w:ascii="Calibri" w:eastAsia="Calibri" w:hAnsi="Calibri" w:cs="Times New Roman"/>
                <w:sz w:val="20"/>
                <w:szCs w:val="20"/>
              </w:rPr>
            </w:pPr>
            <w:r w:rsidRPr="00E17396">
              <w:rPr>
                <w:rFonts w:ascii="Calibri" w:eastAsia="Calibri" w:hAnsi="Calibri" w:cs="Times New Roman"/>
                <w:sz w:val="20"/>
                <w:szCs w:val="20"/>
              </w:rPr>
              <w:t>Jurisdictions provide daily updates on bed states, including ICU beds and patients requiring ventilation/ECMO. Current status: has capacity, and surge abilities</w:t>
            </w:r>
            <w:r w:rsidR="0091302F">
              <w:rPr>
                <w:rFonts w:ascii="Calibri" w:eastAsia="Calibri" w:hAnsi="Calibri" w:cs="Times New Roman"/>
                <w:sz w:val="20"/>
                <w:szCs w:val="20"/>
              </w:rPr>
              <w:t>.</w:t>
            </w:r>
          </w:p>
        </w:tc>
      </w:tr>
      <w:tr w:rsidR="00436EBA" w:rsidRPr="00E17396" w14:paraId="1855F5BF" w14:textId="77777777" w:rsidTr="00300E2C">
        <w:tc>
          <w:tcPr>
            <w:tcW w:w="4673" w:type="dxa"/>
          </w:tcPr>
          <w:p w14:paraId="5DC813B5" w14:textId="77777777" w:rsidR="00436EBA" w:rsidRDefault="00436EBA" w:rsidP="00436EBA">
            <w:pPr>
              <w:spacing w:before="0" w:after="160" w:line="259" w:lineRule="auto"/>
              <w:ind w:left="-43"/>
              <w:rPr>
                <w:rFonts w:ascii="Calibri" w:eastAsia="Calibri" w:hAnsi="Calibri" w:cs="Times New Roman"/>
                <w:sz w:val="20"/>
                <w:szCs w:val="20"/>
              </w:rPr>
            </w:pPr>
            <w:r w:rsidRPr="00E17396">
              <w:rPr>
                <w:rFonts w:ascii="Calibri" w:eastAsia="Calibri" w:hAnsi="Calibri" w:cs="Times New Roman"/>
                <w:sz w:val="20"/>
                <w:szCs w:val="20"/>
              </w:rPr>
              <w:t xml:space="preserve">Stocks of </w:t>
            </w:r>
            <w:r>
              <w:rPr>
                <w:rFonts w:ascii="Calibri" w:eastAsia="Calibri" w:hAnsi="Calibri" w:cs="Times New Roman"/>
                <w:sz w:val="20"/>
                <w:szCs w:val="20"/>
              </w:rPr>
              <w:t xml:space="preserve">PPE – Masks </w:t>
            </w:r>
          </w:p>
        </w:tc>
        <w:tc>
          <w:tcPr>
            <w:tcW w:w="9275" w:type="dxa"/>
            <w:shd w:val="clear" w:color="auto" w:fill="92D050"/>
          </w:tcPr>
          <w:p w14:paraId="5FA8F6D8" w14:textId="77777777" w:rsidR="00436EBA" w:rsidRDefault="00436EBA" w:rsidP="00436EBA">
            <w:pPr>
              <w:spacing w:before="0" w:after="160" w:line="259" w:lineRule="auto"/>
              <w:rPr>
                <w:rFonts w:ascii="Calibri" w:eastAsia="Calibri" w:hAnsi="Calibri" w:cs="Times New Roman"/>
                <w:sz w:val="20"/>
                <w:szCs w:val="20"/>
              </w:rPr>
            </w:pPr>
            <w:r w:rsidRPr="00E17396">
              <w:rPr>
                <w:rFonts w:ascii="Calibri" w:eastAsia="Calibri" w:hAnsi="Calibri" w:cs="Times New Roman"/>
                <w:sz w:val="20"/>
                <w:szCs w:val="20"/>
              </w:rPr>
              <w:t xml:space="preserve">The National Medical Stockpile </w:t>
            </w:r>
            <w:r w:rsidR="005810B0">
              <w:rPr>
                <w:rFonts w:ascii="Calibri" w:eastAsia="Calibri" w:hAnsi="Calibri" w:cs="Times New Roman"/>
                <w:sz w:val="20"/>
                <w:szCs w:val="20"/>
              </w:rPr>
              <w:t xml:space="preserve">(NMS) </w:t>
            </w:r>
            <w:r w:rsidRPr="00E17396">
              <w:rPr>
                <w:rFonts w:ascii="Calibri" w:eastAsia="Calibri" w:hAnsi="Calibri" w:cs="Times New Roman"/>
                <w:sz w:val="20"/>
                <w:szCs w:val="20"/>
              </w:rPr>
              <w:t>details PPE stores in Australia</w:t>
            </w:r>
            <w:r>
              <w:rPr>
                <w:rFonts w:ascii="Calibri" w:eastAsia="Calibri" w:hAnsi="Calibri" w:cs="Times New Roman"/>
                <w:sz w:val="20"/>
                <w:szCs w:val="20"/>
              </w:rPr>
              <w:t>.</w:t>
            </w:r>
          </w:p>
          <w:p w14:paraId="7012B27A" w14:textId="0B01AA8F" w:rsidR="00436EBA" w:rsidRDefault="00436EBA" w:rsidP="00AB6E7E">
            <w:pPr>
              <w:spacing w:before="0" w:after="160" w:line="259" w:lineRule="auto"/>
              <w:rPr>
                <w:rFonts w:ascii="Calibri" w:eastAsia="Calibri" w:hAnsi="Calibri" w:cs="Times New Roman"/>
                <w:sz w:val="20"/>
                <w:szCs w:val="20"/>
              </w:rPr>
            </w:pPr>
            <w:r w:rsidRPr="00E9423C">
              <w:rPr>
                <w:rFonts w:ascii="Calibri" w:eastAsia="Calibri" w:hAnsi="Calibri" w:cs="Times New Roman"/>
                <w:sz w:val="20"/>
                <w:szCs w:val="20"/>
              </w:rPr>
              <w:t xml:space="preserve">NMS has capacity to meet 8 week mask demand for </w:t>
            </w:r>
            <w:r w:rsidR="00AB6E7E">
              <w:rPr>
                <w:rFonts w:ascii="Calibri" w:eastAsia="Calibri" w:hAnsi="Calibri" w:cs="Times New Roman"/>
                <w:sz w:val="20"/>
                <w:szCs w:val="20"/>
              </w:rPr>
              <w:t>jurisdictions</w:t>
            </w:r>
            <w:r w:rsidRPr="00E9423C">
              <w:rPr>
                <w:rFonts w:ascii="Calibri" w:eastAsia="Calibri" w:hAnsi="Calibri" w:cs="Times New Roman"/>
                <w:sz w:val="20"/>
                <w:szCs w:val="20"/>
              </w:rPr>
              <w:t xml:space="preserve"> and </w:t>
            </w:r>
            <w:r w:rsidR="00AB6E7E" w:rsidRPr="00E9423C">
              <w:rPr>
                <w:rFonts w:ascii="Calibri" w:eastAsia="Calibri" w:hAnsi="Calibri" w:cs="Times New Roman"/>
                <w:sz w:val="20"/>
                <w:szCs w:val="20"/>
              </w:rPr>
              <w:t>P</w:t>
            </w:r>
            <w:r w:rsidR="00AB6E7E">
              <w:rPr>
                <w:rFonts w:ascii="Calibri" w:eastAsia="Calibri" w:hAnsi="Calibri" w:cs="Times New Roman"/>
                <w:sz w:val="20"/>
                <w:szCs w:val="20"/>
              </w:rPr>
              <w:t>rimary Health Network</w:t>
            </w:r>
            <w:r w:rsidR="00AB6E7E" w:rsidRPr="00E9423C">
              <w:rPr>
                <w:rFonts w:ascii="Calibri" w:eastAsia="Calibri" w:hAnsi="Calibri" w:cs="Times New Roman"/>
                <w:sz w:val="20"/>
                <w:szCs w:val="20"/>
              </w:rPr>
              <w:t xml:space="preserve"> </w:t>
            </w:r>
            <w:r w:rsidRPr="00E9423C">
              <w:rPr>
                <w:rFonts w:ascii="Calibri" w:eastAsia="Calibri" w:hAnsi="Calibri" w:cs="Times New Roman"/>
                <w:sz w:val="20"/>
                <w:szCs w:val="20"/>
              </w:rPr>
              <w:t>distributions, until end December 2020 (at current usage rates).</w:t>
            </w:r>
            <w:r w:rsidR="00980A0F">
              <w:rPr>
                <w:rFonts w:ascii="Calibri" w:eastAsia="Calibri" w:hAnsi="Calibri" w:cs="Times New Roman"/>
                <w:sz w:val="20"/>
                <w:szCs w:val="20"/>
              </w:rPr>
              <w:t xml:space="preserve"> </w:t>
            </w:r>
            <w:r w:rsidR="0080142F" w:rsidRPr="0080142F">
              <w:rPr>
                <w:rFonts w:ascii="Calibri" w:eastAsia="Calibri" w:hAnsi="Calibri" w:cs="Times New Roman"/>
                <w:sz w:val="20"/>
                <w:szCs w:val="20"/>
              </w:rPr>
              <w:t>Significant additional orders are still to come and local manufacturing capability is developing</w:t>
            </w:r>
            <w:r w:rsidR="0080142F">
              <w:rPr>
                <w:rFonts w:ascii="Calibri" w:eastAsia="Calibri" w:hAnsi="Calibri" w:cs="Times New Roman"/>
                <w:sz w:val="20"/>
                <w:szCs w:val="20"/>
              </w:rPr>
              <w:t>.</w:t>
            </w:r>
          </w:p>
        </w:tc>
      </w:tr>
      <w:tr w:rsidR="00436EBA" w:rsidRPr="00E17396" w14:paraId="5A700571" w14:textId="77777777" w:rsidTr="00E17396">
        <w:tc>
          <w:tcPr>
            <w:tcW w:w="4673" w:type="dxa"/>
          </w:tcPr>
          <w:p w14:paraId="34C16AF1" w14:textId="77777777" w:rsidR="00436EBA" w:rsidRPr="00E17396" w:rsidRDefault="00436EBA" w:rsidP="00436EBA">
            <w:pPr>
              <w:spacing w:before="0" w:after="160" w:line="259" w:lineRule="auto"/>
              <w:ind w:left="-43"/>
              <w:rPr>
                <w:rFonts w:ascii="Calibri" w:eastAsia="Calibri" w:hAnsi="Calibri" w:cs="Times New Roman"/>
                <w:sz w:val="20"/>
                <w:szCs w:val="20"/>
              </w:rPr>
            </w:pPr>
            <w:r>
              <w:rPr>
                <w:rFonts w:ascii="Calibri" w:eastAsia="Calibri" w:hAnsi="Calibri" w:cs="Times New Roman"/>
                <w:sz w:val="20"/>
                <w:szCs w:val="20"/>
              </w:rPr>
              <w:t>Stocks of PPE – Gowns and gloves</w:t>
            </w:r>
          </w:p>
        </w:tc>
        <w:tc>
          <w:tcPr>
            <w:tcW w:w="9275" w:type="dxa"/>
            <w:shd w:val="clear" w:color="auto" w:fill="F4B083"/>
          </w:tcPr>
          <w:p w14:paraId="7B306F1F" w14:textId="477AC021" w:rsidR="00436EBA" w:rsidRPr="00E9423C" w:rsidRDefault="00436EBA" w:rsidP="00436EBA">
            <w:pPr>
              <w:spacing w:before="0" w:after="160" w:line="259" w:lineRule="auto"/>
              <w:rPr>
                <w:rFonts w:ascii="Calibri" w:eastAsia="Calibri" w:hAnsi="Calibri" w:cs="Times New Roman"/>
                <w:sz w:val="20"/>
                <w:szCs w:val="20"/>
              </w:rPr>
            </w:pPr>
            <w:r w:rsidRPr="00E9423C">
              <w:rPr>
                <w:rFonts w:ascii="Calibri" w:eastAsia="Calibri" w:hAnsi="Calibri" w:cs="Times New Roman"/>
                <w:sz w:val="20"/>
                <w:szCs w:val="20"/>
              </w:rPr>
              <w:t xml:space="preserve">Status of all holdings </w:t>
            </w:r>
            <w:r>
              <w:rPr>
                <w:rFonts w:ascii="Calibri" w:eastAsia="Calibri" w:hAnsi="Calibri" w:cs="Times New Roman"/>
                <w:sz w:val="20"/>
                <w:szCs w:val="20"/>
              </w:rPr>
              <w:t xml:space="preserve">of gowns and gloves </w:t>
            </w:r>
            <w:r w:rsidRPr="00E9423C">
              <w:rPr>
                <w:rFonts w:ascii="Calibri" w:eastAsia="Calibri" w:hAnsi="Calibri" w:cs="Times New Roman"/>
                <w:sz w:val="20"/>
                <w:szCs w:val="20"/>
              </w:rPr>
              <w:t xml:space="preserve">in the </w:t>
            </w:r>
            <w:r w:rsidR="00AB6E7E">
              <w:rPr>
                <w:rFonts w:ascii="Calibri" w:eastAsia="Calibri" w:hAnsi="Calibri" w:cs="Times New Roman"/>
                <w:sz w:val="20"/>
                <w:szCs w:val="20"/>
              </w:rPr>
              <w:t>jurisdictions</w:t>
            </w:r>
            <w:r w:rsidRPr="00E9423C">
              <w:rPr>
                <w:rFonts w:ascii="Calibri" w:eastAsia="Calibri" w:hAnsi="Calibri" w:cs="Times New Roman"/>
                <w:sz w:val="20"/>
                <w:szCs w:val="20"/>
              </w:rPr>
              <w:t xml:space="preserve"> requires confirmation.</w:t>
            </w:r>
          </w:p>
          <w:p w14:paraId="0C23F4B9" w14:textId="4B299EEF" w:rsidR="00436EBA" w:rsidRPr="00E17396" w:rsidRDefault="00436EBA" w:rsidP="00AB6E7E">
            <w:pPr>
              <w:spacing w:before="0" w:after="160" w:line="259" w:lineRule="auto"/>
              <w:rPr>
                <w:rFonts w:ascii="Calibri" w:eastAsia="Calibri" w:hAnsi="Calibri" w:cs="Times New Roman"/>
                <w:sz w:val="20"/>
                <w:szCs w:val="20"/>
              </w:rPr>
            </w:pPr>
            <w:r w:rsidRPr="00E17396">
              <w:rPr>
                <w:rFonts w:ascii="Calibri" w:eastAsia="Calibri" w:hAnsi="Calibri" w:cs="Times New Roman"/>
                <w:sz w:val="20"/>
                <w:szCs w:val="20"/>
              </w:rPr>
              <w:t xml:space="preserve">Further modelling and </w:t>
            </w:r>
            <w:r>
              <w:rPr>
                <w:rFonts w:ascii="Calibri" w:eastAsia="Calibri" w:hAnsi="Calibri" w:cs="Times New Roman"/>
                <w:sz w:val="20"/>
                <w:szCs w:val="20"/>
              </w:rPr>
              <w:t xml:space="preserve">an </w:t>
            </w:r>
            <w:r w:rsidRPr="00E17396">
              <w:rPr>
                <w:rFonts w:ascii="Calibri" w:eastAsia="Calibri" w:hAnsi="Calibri" w:cs="Times New Roman"/>
                <w:sz w:val="20"/>
                <w:szCs w:val="20"/>
              </w:rPr>
              <w:t>assessment on the security of supply lines are needed.</w:t>
            </w:r>
          </w:p>
        </w:tc>
      </w:tr>
      <w:tr w:rsidR="00E17396" w:rsidRPr="00E17396" w14:paraId="2CEC489B" w14:textId="77777777" w:rsidTr="00300E2C">
        <w:tc>
          <w:tcPr>
            <w:tcW w:w="4673" w:type="dxa"/>
          </w:tcPr>
          <w:p w14:paraId="168DAEA6" w14:textId="77777777" w:rsidR="00E17396" w:rsidRPr="00E17396" w:rsidRDefault="00436EBA" w:rsidP="00E17396">
            <w:pPr>
              <w:spacing w:before="0" w:after="160" w:line="259" w:lineRule="auto"/>
              <w:ind w:left="-43"/>
              <w:rPr>
                <w:rFonts w:ascii="Calibri" w:eastAsia="Calibri" w:hAnsi="Calibri" w:cs="Times New Roman"/>
                <w:sz w:val="20"/>
                <w:szCs w:val="20"/>
              </w:rPr>
            </w:pPr>
            <w:r>
              <w:rPr>
                <w:rFonts w:ascii="Calibri" w:eastAsia="Calibri" w:hAnsi="Calibri" w:cs="Times New Roman"/>
                <w:sz w:val="20"/>
                <w:szCs w:val="20"/>
              </w:rPr>
              <w:t xml:space="preserve">Stocks of </w:t>
            </w:r>
            <w:r w:rsidR="00E17396" w:rsidRPr="00E17396">
              <w:rPr>
                <w:rFonts w:ascii="Calibri" w:eastAsia="Calibri" w:hAnsi="Calibri" w:cs="Times New Roman"/>
                <w:sz w:val="20"/>
                <w:szCs w:val="20"/>
              </w:rPr>
              <w:t>healthcare consumables</w:t>
            </w:r>
          </w:p>
        </w:tc>
        <w:tc>
          <w:tcPr>
            <w:tcW w:w="9275" w:type="dxa"/>
            <w:shd w:val="clear" w:color="auto" w:fill="92D050"/>
          </w:tcPr>
          <w:p w14:paraId="5471CDAD" w14:textId="3BFA7A72" w:rsidR="00E17396" w:rsidRPr="00E17396" w:rsidRDefault="00AB6E7E" w:rsidP="00AB6E7E">
            <w:pPr>
              <w:spacing w:before="0" w:after="160" w:line="259" w:lineRule="auto"/>
              <w:rPr>
                <w:rFonts w:ascii="Calibri" w:eastAsia="Calibri" w:hAnsi="Calibri" w:cs="Times New Roman"/>
                <w:sz w:val="20"/>
                <w:szCs w:val="20"/>
              </w:rPr>
            </w:pPr>
            <w:r w:rsidRPr="00E17396">
              <w:rPr>
                <w:rFonts w:ascii="Calibri" w:eastAsia="Calibri" w:hAnsi="Calibri" w:cs="Times New Roman"/>
                <w:sz w:val="20"/>
                <w:szCs w:val="20"/>
              </w:rPr>
              <w:t>T</w:t>
            </w:r>
            <w:r>
              <w:rPr>
                <w:rFonts w:ascii="Calibri" w:eastAsia="Calibri" w:hAnsi="Calibri" w:cs="Times New Roman"/>
                <w:sz w:val="20"/>
                <w:szCs w:val="20"/>
              </w:rPr>
              <w:t>herapeutic Goods Administration</w:t>
            </w:r>
            <w:r w:rsidRPr="00E17396">
              <w:rPr>
                <w:rFonts w:ascii="Calibri" w:eastAsia="Calibri" w:hAnsi="Calibri" w:cs="Times New Roman"/>
                <w:sz w:val="20"/>
                <w:szCs w:val="20"/>
              </w:rPr>
              <w:t xml:space="preserve"> </w:t>
            </w:r>
            <w:r w:rsidR="00E17396" w:rsidRPr="00E17396">
              <w:rPr>
                <w:rFonts w:ascii="Calibri" w:eastAsia="Calibri" w:hAnsi="Calibri" w:cs="Times New Roman"/>
                <w:sz w:val="20"/>
                <w:szCs w:val="20"/>
              </w:rPr>
              <w:t xml:space="preserve">monitors drug </w:t>
            </w:r>
            <w:r w:rsidR="002D068B">
              <w:rPr>
                <w:rFonts w:ascii="Calibri" w:eastAsia="Calibri" w:hAnsi="Calibri" w:cs="Times New Roman"/>
                <w:sz w:val="20"/>
                <w:szCs w:val="20"/>
              </w:rPr>
              <w:t xml:space="preserve">and </w:t>
            </w:r>
            <w:r w:rsidR="005810B0" w:rsidRPr="005810B0">
              <w:rPr>
                <w:rFonts w:ascii="Calibri" w:eastAsia="Calibri" w:hAnsi="Calibri" w:cs="Times New Roman"/>
                <w:sz w:val="20"/>
                <w:szCs w:val="20"/>
              </w:rPr>
              <w:t xml:space="preserve">Australian Register of Therapeutic Goods </w:t>
            </w:r>
            <w:r w:rsidR="002D068B">
              <w:rPr>
                <w:rFonts w:ascii="Calibri" w:eastAsia="Calibri" w:hAnsi="Calibri" w:cs="Times New Roman"/>
                <w:sz w:val="20"/>
                <w:szCs w:val="20"/>
              </w:rPr>
              <w:t xml:space="preserve">registered consumable shortages. </w:t>
            </w:r>
            <w:r w:rsidR="00436EBA">
              <w:rPr>
                <w:rFonts w:ascii="Calibri" w:eastAsia="Calibri" w:hAnsi="Calibri" w:cs="Times New Roman"/>
                <w:sz w:val="20"/>
                <w:szCs w:val="20"/>
              </w:rPr>
              <w:t>There are currently no reported shortages.</w:t>
            </w:r>
          </w:p>
        </w:tc>
      </w:tr>
      <w:tr w:rsidR="00E17396" w:rsidRPr="00E17396" w14:paraId="0F15422C" w14:textId="77777777" w:rsidTr="00300E2C">
        <w:tc>
          <w:tcPr>
            <w:tcW w:w="4673" w:type="dxa"/>
          </w:tcPr>
          <w:p w14:paraId="7FAA2537" w14:textId="77777777" w:rsidR="00E17396" w:rsidRPr="00E17396" w:rsidRDefault="00E17396" w:rsidP="00E17396">
            <w:pPr>
              <w:spacing w:before="0" w:after="160" w:line="259" w:lineRule="auto"/>
              <w:rPr>
                <w:rFonts w:ascii="Calibri" w:eastAsia="Calibri" w:hAnsi="Calibri" w:cs="Times New Roman"/>
                <w:sz w:val="20"/>
                <w:szCs w:val="20"/>
              </w:rPr>
            </w:pPr>
            <w:r w:rsidRPr="00E17396">
              <w:rPr>
                <w:rFonts w:ascii="Calibri" w:eastAsia="Calibri" w:hAnsi="Calibri" w:cs="Times New Roman"/>
                <w:sz w:val="20"/>
                <w:szCs w:val="20"/>
              </w:rPr>
              <w:t>Ongoing workforce training</w:t>
            </w:r>
          </w:p>
        </w:tc>
        <w:tc>
          <w:tcPr>
            <w:tcW w:w="9275" w:type="dxa"/>
            <w:shd w:val="clear" w:color="auto" w:fill="92D050"/>
          </w:tcPr>
          <w:p w14:paraId="3D62B70D" w14:textId="133849DF" w:rsidR="00E17396" w:rsidRPr="00E17396" w:rsidRDefault="00E17396" w:rsidP="00AB6E7E">
            <w:pPr>
              <w:spacing w:before="0" w:after="160" w:line="259" w:lineRule="auto"/>
              <w:rPr>
                <w:rFonts w:ascii="Calibri" w:eastAsia="Calibri" w:hAnsi="Calibri" w:cs="Times New Roman"/>
                <w:sz w:val="20"/>
                <w:szCs w:val="20"/>
              </w:rPr>
            </w:pPr>
            <w:r w:rsidRPr="00E17396">
              <w:rPr>
                <w:rFonts w:ascii="Calibri" w:eastAsia="Calibri" w:hAnsi="Calibri" w:cs="Times New Roman"/>
                <w:sz w:val="20"/>
                <w:szCs w:val="20"/>
              </w:rPr>
              <w:t xml:space="preserve">Workforce training to upskill and expand employee training has already occurred. There are currently enough workforce personnel (with surge capabilities able to be </w:t>
            </w:r>
            <w:r w:rsidR="00AB6E7E" w:rsidRPr="00E17396">
              <w:rPr>
                <w:rFonts w:ascii="Calibri" w:eastAsia="Calibri" w:hAnsi="Calibri" w:cs="Times New Roman"/>
                <w:sz w:val="20"/>
                <w:szCs w:val="20"/>
              </w:rPr>
              <w:t>u</w:t>
            </w:r>
            <w:r w:rsidR="00AB6E7E">
              <w:rPr>
                <w:rFonts w:ascii="Calibri" w:eastAsia="Calibri" w:hAnsi="Calibri" w:cs="Times New Roman"/>
                <w:sz w:val="20"/>
                <w:szCs w:val="20"/>
              </w:rPr>
              <w:t>sed</w:t>
            </w:r>
            <w:r w:rsidR="00AB6E7E" w:rsidRPr="00E17396">
              <w:rPr>
                <w:rFonts w:ascii="Calibri" w:eastAsia="Calibri" w:hAnsi="Calibri" w:cs="Times New Roman"/>
                <w:sz w:val="20"/>
                <w:szCs w:val="20"/>
              </w:rPr>
              <w:t xml:space="preserve"> </w:t>
            </w:r>
            <w:r w:rsidRPr="00E17396">
              <w:rPr>
                <w:rFonts w:ascii="Calibri" w:eastAsia="Calibri" w:hAnsi="Calibri" w:cs="Times New Roman"/>
                <w:sz w:val="20"/>
                <w:szCs w:val="20"/>
              </w:rPr>
              <w:t xml:space="preserve">if required). Ongoing training </w:t>
            </w:r>
            <w:r w:rsidR="0080142F">
              <w:rPr>
                <w:rFonts w:ascii="Calibri" w:eastAsia="Calibri" w:hAnsi="Calibri" w:cs="Times New Roman"/>
                <w:sz w:val="20"/>
                <w:szCs w:val="20"/>
              </w:rPr>
              <w:t>for critical care nurses would be required if an ICU surge occurred</w:t>
            </w:r>
            <w:r w:rsidR="0080142F" w:rsidRPr="00E17396">
              <w:rPr>
                <w:rFonts w:ascii="Calibri" w:eastAsia="Calibri" w:hAnsi="Calibri" w:cs="Times New Roman"/>
                <w:sz w:val="20"/>
                <w:szCs w:val="20"/>
              </w:rPr>
              <w:t>.</w:t>
            </w:r>
          </w:p>
        </w:tc>
      </w:tr>
    </w:tbl>
    <w:p w14:paraId="4E53FF5C" w14:textId="0AFFAC26" w:rsidR="004724F2" w:rsidRPr="003F5D8D" w:rsidRDefault="004724F2" w:rsidP="003F5D8D">
      <w:pPr>
        <w:spacing w:before="0" w:after="200" w:line="276" w:lineRule="auto"/>
        <w:rPr>
          <w:b/>
          <w:szCs w:val="24"/>
          <w:lang w:val="en"/>
        </w:rPr>
      </w:pPr>
    </w:p>
    <w:sectPr w:rsidR="004724F2" w:rsidRPr="003F5D8D" w:rsidSect="00B05B37">
      <w:footerReference w:type="default" r:id="rId15"/>
      <w:pgSz w:w="11906" w:h="16838" w:code="9"/>
      <w:pgMar w:top="992" w:right="1135" w:bottom="1440" w:left="993" w:header="709" w:footer="709" w:gutter="0"/>
      <w:pgNumType w:start="1"/>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A1A2D7B" w16cex:dateUtc="2020-04-28T19:31:27.716Z"/>
  <w16cex:commentExtensible w16cex:durableId="69B237B0" w16cex:dateUtc="2020-04-28T19:31:58.863Z"/>
  <w16cex:commentExtensible w16cex:durableId="34BFD9EA" w16cex:dateUtc="2020-04-28T19:40:54.874Z"/>
  <w16cex:commentExtensible w16cex:durableId="16D37423" w16cex:dateUtc="2020-04-28T19:41:35.037Z"/>
  <w16cex:commentExtensible w16cex:durableId="0F2F880F" w16cex:dateUtc="2020-04-28T19:44:11.139Z"/>
  <w16cex:commentExtensible w16cex:durableId="3259A2C9" w16cex:dateUtc="2020-04-28T19:47:45.538Z"/>
  <w16cex:commentExtensible w16cex:durableId="3B5552D9" w16cex:dateUtc="2020-04-28T19:48:07.146Z"/>
</w16cex:commentsExtensible>
</file>

<file path=word/commentsIds.xml><?xml version="1.0" encoding="utf-8"?>
<w16cid:commentsIds xmlns:mc="http://schemas.openxmlformats.org/markup-compatibility/2006" xmlns:w16cid="http://schemas.microsoft.com/office/word/2016/wordml/cid" mc:Ignorable="w16cid">
  <w16cid:commentId w16cid:paraId="2F86B73F" w16cid:durableId="3EBD6FE6"/>
  <w16cid:commentId w16cid:paraId="3326DFEC" w16cid:durableId="1CB7308A"/>
  <w16cid:commentId w16cid:paraId="3B3920D3" w16cid:durableId="066B0C64"/>
  <w16cid:commentId w16cid:paraId="774F97F1" w16cid:durableId="3D2DE292"/>
  <w16cid:commentId w16cid:paraId="53AB79CB" w16cid:durableId="11C1A5F5"/>
  <w16cid:commentId w16cid:paraId="266D3053" w16cid:durableId="4A6FBD6B"/>
  <w16cid:commentId w16cid:paraId="71784F97" w16cid:durableId="2A1A2D7B"/>
  <w16cid:commentId w16cid:paraId="66223BDB" w16cid:durableId="69B237B0"/>
  <w16cid:commentId w16cid:paraId="5182D582" w16cid:durableId="34BFD9EA"/>
  <w16cid:commentId w16cid:paraId="2983C568" w16cid:durableId="16D37423"/>
  <w16cid:commentId w16cid:paraId="5B0BA182" w16cid:durableId="0F2F880F"/>
  <w16cid:commentId w16cid:paraId="2E527C83" w16cid:durableId="3259A2C9"/>
  <w16cid:commentId w16cid:paraId="24775777" w16cid:durableId="3B5552D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C77C4" w14:textId="77777777" w:rsidR="00E20305" w:rsidRDefault="00E20305" w:rsidP="00003580">
      <w:pPr>
        <w:spacing w:after="0"/>
      </w:pPr>
      <w:r>
        <w:separator/>
      </w:r>
    </w:p>
  </w:endnote>
  <w:endnote w:type="continuationSeparator" w:id="0">
    <w:p w14:paraId="632A1D4D" w14:textId="77777777" w:rsidR="00E20305" w:rsidRDefault="00E20305" w:rsidP="00003580">
      <w:pPr>
        <w:spacing w:after="0"/>
      </w:pPr>
      <w:r>
        <w:continuationSeparator/>
      </w:r>
    </w:p>
  </w:endnote>
  <w:endnote w:type="continuationNotice" w:id="1">
    <w:p w14:paraId="2BBD3080" w14:textId="77777777" w:rsidR="00E20305" w:rsidRDefault="00E2030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0717799"/>
      <w:docPartObj>
        <w:docPartGallery w:val="Page Numbers (Bottom of Page)"/>
        <w:docPartUnique/>
      </w:docPartObj>
    </w:sdtPr>
    <w:sdtEndPr>
      <w:rPr>
        <w:noProof/>
      </w:rPr>
    </w:sdtEndPr>
    <w:sdtContent>
      <w:p w14:paraId="111E4519" w14:textId="51B9256E" w:rsidR="00E20305" w:rsidRDefault="00E20305">
        <w:pPr>
          <w:pStyle w:val="Footer"/>
          <w:jc w:val="center"/>
        </w:pPr>
        <w:r>
          <w:fldChar w:fldCharType="begin"/>
        </w:r>
        <w:r>
          <w:instrText xml:space="preserve"> PAGE   \* MERGEFORMAT </w:instrText>
        </w:r>
        <w:r>
          <w:fldChar w:fldCharType="separate"/>
        </w:r>
        <w:r w:rsidR="00A83BEF">
          <w:rPr>
            <w:noProof/>
          </w:rPr>
          <w:t>1</w:t>
        </w:r>
        <w:r>
          <w:rPr>
            <w:noProof/>
          </w:rPr>
          <w:fldChar w:fldCharType="end"/>
        </w:r>
      </w:p>
    </w:sdtContent>
  </w:sdt>
  <w:p w14:paraId="514D9936" w14:textId="77777777" w:rsidR="00E20305" w:rsidRPr="00710249" w:rsidRDefault="00E20305" w:rsidP="00B05B37">
    <w:pPr>
      <w:pStyle w:val="Header"/>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6F68A" w14:textId="77777777" w:rsidR="00E20305" w:rsidRDefault="00E20305" w:rsidP="00003580">
      <w:pPr>
        <w:spacing w:after="0"/>
      </w:pPr>
      <w:r>
        <w:separator/>
      </w:r>
    </w:p>
  </w:footnote>
  <w:footnote w:type="continuationSeparator" w:id="0">
    <w:p w14:paraId="48C56E24" w14:textId="77777777" w:rsidR="00E20305" w:rsidRDefault="00E20305" w:rsidP="00003580">
      <w:pPr>
        <w:spacing w:after="0"/>
      </w:pPr>
      <w:r>
        <w:continuationSeparator/>
      </w:r>
    </w:p>
  </w:footnote>
  <w:footnote w:type="continuationNotice" w:id="1">
    <w:p w14:paraId="1EC4DB75" w14:textId="77777777" w:rsidR="00E20305" w:rsidRDefault="00E2030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50B8A" w14:textId="1734556B" w:rsidR="00E20305" w:rsidRPr="00381463" w:rsidRDefault="00E20305" w:rsidP="00381463">
    <w:pPr>
      <w:pStyle w:val="Header"/>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A71"/>
    <w:multiLevelType w:val="hybridMultilevel"/>
    <w:tmpl w:val="A79A6302"/>
    <w:lvl w:ilvl="0" w:tplc="0C09000F">
      <w:start w:val="1"/>
      <w:numFmt w:val="decimal"/>
      <w:lvlText w:val="%1."/>
      <w:lvlJc w:val="left"/>
      <w:pPr>
        <w:ind w:left="2058" w:hanging="357"/>
      </w:pPr>
      <w:rPr>
        <w:rFonts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 w15:restartNumberingAfterBreak="0">
    <w:nsid w:val="01EE3029"/>
    <w:multiLevelType w:val="hybridMultilevel"/>
    <w:tmpl w:val="E640BA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974050"/>
    <w:multiLevelType w:val="multilevel"/>
    <w:tmpl w:val="F1C0EF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B32016"/>
    <w:multiLevelType w:val="hybridMultilevel"/>
    <w:tmpl w:val="45509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615886"/>
    <w:multiLevelType w:val="hybridMultilevel"/>
    <w:tmpl w:val="526EDE1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273974"/>
    <w:multiLevelType w:val="hybridMultilevel"/>
    <w:tmpl w:val="DF74E61E"/>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E32C9A"/>
    <w:multiLevelType w:val="multilevel"/>
    <w:tmpl w:val="24FC536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ED7455"/>
    <w:multiLevelType w:val="hybridMultilevel"/>
    <w:tmpl w:val="8A1AB3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DC1152"/>
    <w:multiLevelType w:val="hybridMultilevel"/>
    <w:tmpl w:val="F6AA78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7F971F5"/>
    <w:multiLevelType w:val="multilevel"/>
    <w:tmpl w:val="12DCD1C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98F2A72"/>
    <w:multiLevelType w:val="hybridMultilevel"/>
    <w:tmpl w:val="3BB87296"/>
    <w:lvl w:ilvl="0" w:tplc="E47272E0">
      <w:start w:val="1"/>
      <w:numFmt w:val="bullet"/>
      <w:lvlText w:val="-"/>
      <w:lvlJc w:val="left"/>
      <w:pPr>
        <w:ind w:left="720" w:hanging="360"/>
      </w:pPr>
      <w:rPr>
        <w:rFonts w:ascii="Times New Roman" w:eastAsiaTheme="minorHAnsi" w:hAnsi="Times New Roman" w:cs="Times New Roman"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20D0383"/>
    <w:multiLevelType w:val="hybridMultilevel"/>
    <w:tmpl w:val="634240E4"/>
    <w:lvl w:ilvl="0" w:tplc="E47272E0">
      <w:start w:val="1"/>
      <w:numFmt w:val="bullet"/>
      <w:lvlText w:val="-"/>
      <w:lvlJc w:val="left"/>
      <w:pPr>
        <w:ind w:left="360" w:hanging="360"/>
      </w:pPr>
      <w:rPr>
        <w:rFonts w:ascii="Times New Roman" w:eastAsiaTheme="minorHAnsi"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28046C6"/>
    <w:multiLevelType w:val="hybridMultilevel"/>
    <w:tmpl w:val="A4862FBE"/>
    <w:lvl w:ilvl="0" w:tplc="9D50A3B0">
      <w:numFmt w:val="bullet"/>
      <w:lvlText w:val=""/>
      <w:lvlJc w:val="left"/>
      <w:pPr>
        <w:ind w:left="36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4027D5"/>
    <w:multiLevelType w:val="hybridMultilevel"/>
    <w:tmpl w:val="87D0D5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3815D4"/>
    <w:multiLevelType w:val="multilevel"/>
    <w:tmpl w:val="9006E168"/>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4956DF5"/>
    <w:multiLevelType w:val="multilevel"/>
    <w:tmpl w:val="5A4474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7A50409"/>
    <w:multiLevelType w:val="hybridMultilevel"/>
    <w:tmpl w:val="208E496C"/>
    <w:lvl w:ilvl="0" w:tplc="D7DA556E">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4A0FC7"/>
    <w:multiLevelType w:val="multilevel"/>
    <w:tmpl w:val="9006E16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01B19F5"/>
    <w:multiLevelType w:val="multilevel"/>
    <w:tmpl w:val="24FC53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08870B7"/>
    <w:multiLevelType w:val="hybridMultilevel"/>
    <w:tmpl w:val="EB944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775041"/>
    <w:multiLevelType w:val="hybridMultilevel"/>
    <w:tmpl w:val="BF466A3A"/>
    <w:lvl w:ilvl="0" w:tplc="EE443F60">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3F111C"/>
    <w:multiLevelType w:val="hybridMultilevel"/>
    <w:tmpl w:val="42C4D102"/>
    <w:lvl w:ilvl="0" w:tplc="9D50A3B0">
      <w:numFmt w:val="bullet"/>
      <w:lvlText w:val=""/>
      <w:lvlJc w:val="left"/>
      <w:pPr>
        <w:ind w:left="36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AD463F"/>
    <w:multiLevelType w:val="multilevel"/>
    <w:tmpl w:val="24FC536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4824B92"/>
    <w:multiLevelType w:val="hybridMultilevel"/>
    <w:tmpl w:val="C6D09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B267DE"/>
    <w:multiLevelType w:val="hybridMultilevel"/>
    <w:tmpl w:val="D60AECF4"/>
    <w:lvl w:ilvl="0" w:tplc="FF74890E">
      <w:start w:val="1"/>
      <w:numFmt w:val="bullet"/>
      <w:lvlText w:val="-"/>
      <w:lvlJc w:val="left"/>
      <w:pPr>
        <w:ind w:left="720" w:hanging="360"/>
      </w:pPr>
      <w:rPr>
        <w:rFonts w:ascii="Times New Roman" w:hAnsi="Times New Roman" w:hint="default"/>
      </w:rPr>
    </w:lvl>
    <w:lvl w:ilvl="1" w:tplc="64B267C2">
      <w:start w:val="1"/>
      <w:numFmt w:val="bullet"/>
      <w:lvlText w:val="o"/>
      <w:lvlJc w:val="left"/>
      <w:pPr>
        <w:ind w:left="1440" w:hanging="360"/>
      </w:pPr>
      <w:rPr>
        <w:rFonts w:ascii="Courier New" w:hAnsi="Courier New" w:hint="default"/>
      </w:rPr>
    </w:lvl>
    <w:lvl w:ilvl="2" w:tplc="1D5EF346">
      <w:start w:val="1"/>
      <w:numFmt w:val="bullet"/>
      <w:lvlText w:val=""/>
      <w:lvlJc w:val="left"/>
      <w:pPr>
        <w:ind w:left="2160" w:hanging="360"/>
      </w:pPr>
      <w:rPr>
        <w:rFonts w:ascii="Wingdings" w:hAnsi="Wingdings" w:hint="default"/>
      </w:rPr>
    </w:lvl>
    <w:lvl w:ilvl="3" w:tplc="5942C3FC">
      <w:start w:val="1"/>
      <w:numFmt w:val="bullet"/>
      <w:lvlText w:val=""/>
      <w:lvlJc w:val="left"/>
      <w:pPr>
        <w:ind w:left="2880" w:hanging="360"/>
      </w:pPr>
      <w:rPr>
        <w:rFonts w:ascii="Symbol" w:hAnsi="Symbol" w:hint="default"/>
      </w:rPr>
    </w:lvl>
    <w:lvl w:ilvl="4" w:tplc="57A83480">
      <w:start w:val="1"/>
      <w:numFmt w:val="bullet"/>
      <w:lvlText w:val="o"/>
      <w:lvlJc w:val="left"/>
      <w:pPr>
        <w:ind w:left="3600" w:hanging="360"/>
      </w:pPr>
      <w:rPr>
        <w:rFonts w:ascii="Courier New" w:hAnsi="Courier New" w:hint="default"/>
      </w:rPr>
    </w:lvl>
    <w:lvl w:ilvl="5" w:tplc="62AA8928">
      <w:start w:val="1"/>
      <w:numFmt w:val="bullet"/>
      <w:lvlText w:val=""/>
      <w:lvlJc w:val="left"/>
      <w:pPr>
        <w:ind w:left="4320" w:hanging="360"/>
      </w:pPr>
      <w:rPr>
        <w:rFonts w:ascii="Wingdings" w:hAnsi="Wingdings" w:hint="default"/>
      </w:rPr>
    </w:lvl>
    <w:lvl w:ilvl="6" w:tplc="3E2EDEB2">
      <w:start w:val="1"/>
      <w:numFmt w:val="bullet"/>
      <w:lvlText w:val=""/>
      <w:lvlJc w:val="left"/>
      <w:pPr>
        <w:ind w:left="5040" w:hanging="360"/>
      </w:pPr>
      <w:rPr>
        <w:rFonts w:ascii="Symbol" w:hAnsi="Symbol" w:hint="default"/>
      </w:rPr>
    </w:lvl>
    <w:lvl w:ilvl="7" w:tplc="0C2A0768">
      <w:start w:val="1"/>
      <w:numFmt w:val="bullet"/>
      <w:lvlText w:val="o"/>
      <w:lvlJc w:val="left"/>
      <w:pPr>
        <w:ind w:left="5760" w:hanging="360"/>
      </w:pPr>
      <w:rPr>
        <w:rFonts w:ascii="Courier New" w:hAnsi="Courier New" w:hint="default"/>
      </w:rPr>
    </w:lvl>
    <w:lvl w:ilvl="8" w:tplc="6C28B01C">
      <w:start w:val="1"/>
      <w:numFmt w:val="bullet"/>
      <w:lvlText w:val=""/>
      <w:lvlJc w:val="left"/>
      <w:pPr>
        <w:ind w:left="6480" w:hanging="360"/>
      </w:pPr>
      <w:rPr>
        <w:rFonts w:ascii="Wingdings" w:hAnsi="Wingdings" w:hint="default"/>
      </w:rPr>
    </w:lvl>
  </w:abstractNum>
  <w:abstractNum w:abstractNumId="25" w15:restartNumberingAfterBreak="0">
    <w:nsid w:val="57186FE2"/>
    <w:multiLevelType w:val="hybridMultilevel"/>
    <w:tmpl w:val="EA6E275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B6357F"/>
    <w:multiLevelType w:val="hybridMultilevel"/>
    <w:tmpl w:val="F752AC00"/>
    <w:lvl w:ilvl="0" w:tplc="9D50A3B0">
      <w:numFmt w:val="bullet"/>
      <w:lvlText w:val=""/>
      <w:lvlJc w:val="left"/>
      <w:pPr>
        <w:ind w:left="36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0742EC"/>
    <w:multiLevelType w:val="multilevel"/>
    <w:tmpl w:val="24FC53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87550CA"/>
    <w:multiLevelType w:val="hybridMultilevel"/>
    <w:tmpl w:val="C1F465AC"/>
    <w:lvl w:ilvl="0" w:tplc="E47272E0">
      <w:start w:val="1"/>
      <w:numFmt w:val="bullet"/>
      <w:lvlText w:val="-"/>
      <w:lvlJc w:val="left"/>
      <w:pPr>
        <w:ind w:left="720" w:hanging="360"/>
      </w:pPr>
      <w:rPr>
        <w:rFonts w:ascii="Times New Roman" w:eastAsiaTheme="minorHAnsi" w:hAnsi="Times New Roman" w:cs="Times New Roman" w:hint="default"/>
      </w:rPr>
    </w:lvl>
    <w:lvl w:ilvl="1" w:tplc="C5C2452E">
      <w:start w:val="1"/>
      <w:numFmt w:val="bullet"/>
      <w:lvlText w:val="o"/>
      <w:lvlJc w:val="left"/>
      <w:pPr>
        <w:ind w:left="1440" w:hanging="360"/>
      </w:pPr>
      <w:rPr>
        <w:rFonts w:ascii="Courier New" w:hAnsi="Courier New" w:hint="default"/>
      </w:rPr>
    </w:lvl>
    <w:lvl w:ilvl="2" w:tplc="81BA42F6">
      <w:start w:val="1"/>
      <w:numFmt w:val="bullet"/>
      <w:lvlText w:val=""/>
      <w:lvlJc w:val="left"/>
      <w:pPr>
        <w:ind w:left="2160" w:hanging="360"/>
      </w:pPr>
      <w:rPr>
        <w:rFonts w:ascii="Wingdings" w:hAnsi="Wingdings" w:hint="default"/>
      </w:rPr>
    </w:lvl>
    <w:lvl w:ilvl="3" w:tplc="668C7CB8">
      <w:start w:val="1"/>
      <w:numFmt w:val="bullet"/>
      <w:lvlText w:val=""/>
      <w:lvlJc w:val="left"/>
      <w:pPr>
        <w:ind w:left="2880" w:hanging="360"/>
      </w:pPr>
      <w:rPr>
        <w:rFonts w:ascii="Symbol" w:hAnsi="Symbol" w:hint="default"/>
      </w:rPr>
    </w:lvl>
    <w:lvl w:ilvl="4" w:tplc="38AC7176">
      <w:start w:val="1"/>
      <w:numFmt w:val="bullet"/>
      <w:lvlText w:val="o"/>
      <w:lvlJc w:val="left"/>
      <w:pPr>
        <w:ind w:left="3600" w:hanging="360"/>
      </w:pPr>
      <w:rPr>
        <w:rFonts w:ascii="Courier New" w:hAnsi="Courier New" w:hint="default"/>
      </w:rPr>
    </w:lvl>
    <w:lvl w:ilvl="5" w:tplc="527A8E78">
      <w:start w:val="1"/>
      <w:numFmt w:val="bullet"/>
      <w:lvlText w:val=""/>
      <w:lvlJc w:val="left"/>
      <w:pPr>
        <w:ind w:left="4320" w:hanging="360"/>
      </w:pPr>
      <w:rPr>
        <w:rFonts w:ascii="Wingdings" w:hAnsi="Wingdings" w:hint="default"/>
      </w:rPr>
    </w:lvl>
    <w:lvl w:ilvl="6" w:tplc="23224170">
      <w:start w:val="1"/>
      <w:numFmt w:val="bullet"/>
      <w:lvlText w:val=""/>
      <w:lvlJc w:val="left"/>
      <w:pPr>
        <w:ind w:left="5040" w:hanging="360"/>
      </w:pPr>
      <w:rPr>
        <w:rFonts w:ascii="Symbol" w:hAnsi="Symbol" w:hint="default"/>
      </w:rPr>
    </w:lvl>
    <w:lvl w:ilvl="7" w:tplc="B5D075EC">
      <w:start w:val="1"/>
      <w:numFmt w:val="bullet"/>
      <w:lvlText w:val="o"/>
      <w:lvlJc w:val="left"/>
      <w:pPr>
        <w:ind w:left="5760" w:hanging="360"/>
      </w:pPr>
      <w:rPr>
        <w:rFonts w:ascii="Courier New" w:hAnsi="Courier New" w:hint="default"/>
      </w:rPr>
    </w:lvl>
    <w:lvl w:ilvl="8" w:tplc="7A70BBD0">
      <w:start w:val="1"/>
      <w:numFmt w:val="bullet"/>
      <w:lvlText w:val=""/>
      <w:lvlJc w:val="left"/>
      <w:pPr>
        <w:ind w:left="6480" w:hanging="360"/>
      </w:pPr>
      <w:rPr>
        <w:rFonts w:ascii="Wingdings" w:hAnsi="Wingdings" w:hint="default"/>
      </w:rPr>
    </w:lvl>
  </w:abstractNum>
  <w:abstractNum w:abstractNumId="29" w15:restartNumberingAfterBreak="0">
    <w:nsid w:val="5BF054FB"/>
    <w:multiLevelType w:val="hybridMultilevel"/>
    <w:tmpl w:val="DCF6815C"/>
    <w:lvl w:ilvl="0" w:tplc="E47272E0">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F33B54"/>
    <w:multiLevelType w:val="multilevel"/>
    <w:tmpl w:val="920695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30169CD"/>
    <w:multiLevelType w:val="hybridMultilevel"/>
    <w:tmpl w:val="EE26A6F8"/>
    <w:lvl w:ilvl="0" w:tplc="842274F2">
      <w:start w:val="1"/>
      <w:numFmt w:val="decimal"/>
      <w:pStyle w:val="NoSpacing"/>
      <w:lvlText w:val="%1."/>
      <w:lvlJc w:val="left"/>
      <w:pPr>
        <w:ind w:left="360" w:hanging="360"/>
      </w:pPr>
      <w:rPr>
        <w:rFonts w:hint="default"/>
        <w:sz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4A71A74"/>
    <w:multiLevelType w:val="hybridMultilevel"/>
    <w:tmpl w:val="339A05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61C7B9C"/>
    <w:multiLevelType w:val="hybridMultilevel"/>
    <w:tmpl w:val="FDB6B1A8"/>
    <w:lvl w:ilvl="0" w:tplc="9D50A3B0">
      <w:numFmt w:val="bullet"/>
      <w:lvlText w:val=""/>
      <w:lvlJc w:val="left"/>
      <w:pPr>
        <w:ind w:left="360" w:hanging="360"/>
      </w:pPr>
      <w:rPr>
        <w:rFonts w:ascii="Symbol" w:eastAsiaTheme="minorHAnsi" w:hAnsi="Symbol"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9F7BE3"/>
    <w:multiLevelType w:val="hybridMultilevel"/>
    <w:tmpl w:val="E6969D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A495302"/>
    <w:multiLevelType w:val="hybridMultilevel"/>
    <w:tmpl w:val="7706A520"/>
    <w:lvl w:ilvl="0" w:tplc="032AA5C8">
      <w:start w:val="1"/>
      <w:numFmt w:val="bullet"/>
      <w:lvlText w:val="-"/>
      <w:lvlJc w:val="left"/>
      <w:pPr>
        <w:ind w:left="643" w:hanging="360"/>
      </w:pPr>
      <w:rPr>
        <w:rFonts w:ascii="Calibri" w:eastAsiaTheme="minorHAnsi" w:hAnsi="Calibri" w:cs="Calibri" w:hint="default"/>
        <w:color w:val="auto"/>
        <w:sz w:val="24"/>
      </w:rPr>
    </w:lvl>
    <w:lvl w:ilvl="1" w:tplc="0C090003" w:tentative="1">
      <w:start w:val="1"/>
      <w:numFmt w:val="bullet"/>
      <w:lvlText w:val="o"/>
      <w:lvlJc w:val="left"/>
      <w:pPr>
        <w:ind w:left="1395" w:hanging="360"/>
      </w:pPr>
      <w:rPr>
        <w:rFonts w:ascii="Courier New" w:hAnsi="Courier New" w:cs="Courier New" w:hint="default"/>
      </w:rPr>
    </w:lvl>
    <w:lvl w:ilvl="2" w:tplc="0C090005" w:tentative="1">
      <w:start w:val="1"/>
      <w:numFmt w:val="bullet"/>
      <w:lvlText w:val=""/>
      <w:lvlJc w:val="left"/>
      <w:pPr>
        <w:ind w:left="2115" w:hanging="360"/>
      </w:pPr>
      <w:rPr>
        <w:rFonts w:ascii="Wingdings" w:hAnsi="Wingdings" w:hint="default"/>
      </w:rPr>
    </w:lvl>
    <w:lvl w:ilvl="3" w:tplc="0C090001" w:tentative="1">
      <w:start w:val="1"/>
      <w:numFmt w:val="bullet"/>
      <w:lvlText w:val=""/>
      <w:lvlJc w:val="left"/>
      <w:pPr>
        <w:ind w:left="2835" w:hanging="360"/>
      </w:pPr>
      <w:rPr>
        <w:rFonts w:ascii="Symbol" w:hAnsi="Symbol" w:hint="default"/>
      </w:rPr>
    </w:lvl>
    <w:lvl w:ilvl="4" w:tplc="0C090003" w:tentative="1">
      <w:start w:val="1"/>
      <w:numFmt w:val="bullet"/>
      <w:lvlText w:val="o"/>
      <w:lvlJc w:val="left"/>
      <w:pPr>
        <w:ind w:left="3555" w:hanging="360"/>
      </w:pPr>
      <w:rPr>
        <w:rFonts w:ascii="Courier New" w:hAnsi="Courier New" w:cs="Courier New" w:hint="default"/>
      </w:rPr>
    </w:lvl>
    <w:lvl w:ilvl="5" w:tplc="0C090005" w:tentative="1">
      <w:start w:val="1"/>
      <w:numFmt w:val="bullet"/>
      <w:lvlText w:val=""/>
      <w:lvlJc w:val="left"/>
      <w:pPr>
        <w:ind w:left="4275" w:hanging="360"/>
      </w:pPr>
      <w:rPr>
        <w:rFonts w:ascii="Wingdings" w:hAnsi="Wingdings" w:hint="default"/>
      </w:rPr>
    </w:lvl>
    <w:lvl w:ilvl="6" w:tplc="0C090001" w:tentative="1">
      <w:start w:val="1"/>
      <w:numFmt w:val="bullet"/>
      <w:lvlText w:val=""/>
      <w:lvlJc w:val="left"/>
      <w:pPr>
        <w:ind w:left="4995" w:hanging="360"/>
      </w:pPr>
      <w:rPr>
        <w:rFonts w:ascii="Symbol" w:hAnsi="Symbol" w:hint="default"/>
      </w:rPr>
    </w:lvl>
    <w:lvl w:ilvl="7" w:tplc="0C090003" w:tentative="1">
      <w:start w:val="1"/>
      <w:numFmt w:val="bullet"/>
      <w:lvlText w:val="o"/>
      <w:lvlJc w:val="left"/>
      <w:pPr>
        <w:ind w:left="5715" w:hanging="360"/>
      </w:pPr>
      <w:rPr>
        <w:rFonts w:ascii="Courier New" w:hAnsi="Courier New" w:cs="Courier New" w:hint="default"/>
      </w:rPr>
    </w:lvl>
    <w:lvl w:ilvl="8" w:tplc="0C090005" w:tentative="1">
      <w:start w:val="1"/>
      <w:numFmt w:val="bullet"/>
      <w:lvlText w:val=""/>
      <w:lvlJc w:val="left"/>
      <w:pPr>
        <w:ind w:left="6435" w:hanging="360"/>
      </w:pPr>
      <w:rPr>
        <w:rFonts w:ascii="Wingdings" w:hAnsi="Wingdings" w:hint="default"/>
      </w:rPr>
    </w:lvl>
  </w:abstractNum>
  <w:abstractNum w:abstractNumId="36" w15:restartNumberingAfterBreak="0">
    <w:nsid w:val="719244C8"/>
    <w:multiLevelType w:val="hybridMultilevel"/>
    <w:tmpl w:val="CC30FB54"/>
    <w:lvl w:ilvl="0" w:tplc="E47272E0">
      <w:start w:val="1"/>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0952D2"/>
    <w:multiLevelType w:val="hybridMultilevel"/>
    <w:tmpl w:val="B2D2AD3C"/>
    <w:lvl w:ilvl="0" w:tplc="D23AA0F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81D3C27"/>
    <w:multiLevelType w:val="hybridMultilevel"/>
    <w:tmpl w:val="F5BAAB14"/>
    <w:lvl w:ilvl="0" w:tplc="0C09000F">
      <w:start w:val="1"/>
      <w:numFmt w:val="decimal"/>
      <w:lvlText w:val="%1."/>
      <w:lvlJc w:val="left"/>
      <w:pPr>
        <w:ind w:left="720" w:hanging="360"/>
      </w:pPr>
      <w:rPr>
        <w:rFonts w:hint="default"/>
      </w:rPr>
    </w:lvl>
    <w:lvl w:ilvl="1" w:tplc="AD6A297A">
      <w:numFmt w:val="bullet"/>
      <w:lvlText w:val="•"/>
      <w:lvlJc w:val="left"/>
      <w:pPr>
        <w:ind w:left="1440" w:hanging="360"/>
      </w:pPr>
      <w:rPr>
        <w:rFonts w:asciiTheme="minorHAnsi" w:eastAsiaTheme="minorHAnsi" w:hAnsiTheme="minorHAnsi"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9092D96"/>
    <w:multiLevelType w:val="hybridMultilevel"/>
    <w:tmpl w:val="0D2A50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D347C79"/>
    <w:multiLevelType w:val="multilevel"/>
    <w:tmpl w:val="24FC536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F9121F2"/>
    <w:multiLevelType w:val="hybridMultilevel"/>
    <w:tmpl w:val="F5DA43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8"/>
  </w:num>
  <w:num w:numId="2">
    <w:abstractNumId w:val="31"/>
  </w:num>
  <w:num w:numId="3">
    <w:abstractNumId w:val="37"/>
  </w:num>
  <w:num w:numId="4">
    <w:abstractNumId w:val="34"/>
  </w:num>
  <w:num w:numId="5">
    <w:abstractNumId w:val="4"/>
  </w:num>
  <w:num w:numId="6">
    <w:abstractNumId w:val="1"/>
  </w:num>
  <w:num w:numId="7">
    <w:abstractNumId w:val="20"/>
  </w:num>
  <w:num w:numId="8">
    <w:abstractNumId w:val="11"/>
  </w:num>
  <w:num w:numId="9">
    <w:abstractNumId w:val="10"/>
  </w:num>
  <w:num w:numId="10">
    <w:abstractNumId w:val="0"/>
  </w:num>
  <w:num w:numId="11">
    <w:abstractNumId w:val="7"/>
  </w:num>
  <w:num w:numId="12">
    <w:abstractNumId w:val="35"/>
  </w:num>
  <w:num w:numId="13">
    <w:abstractNumId w:val="36"/>
  </w:num>
  <w:num w:numId="14">
    <w:abstractNumId w:val="29"/>
  </w:num>
  <w:num w:numId="15">
    <w:abstractNumId w:val="41"/>
  </w:num>
  <w:num w:numId="16">
    <w:abstractNumId w:val="32"/>
  </w:num>
  <w:num w:numId="17">
    <w:abstractNumId w:val="39"/>
  </w:num>
  <w:num w:numId="18">
    <w:abstractNumId w:val="13"/>
  </w:num>
  <w:num w:numId="19">
    <w:abstractNumId w:val="5"/>
  </w:num>
  <w:num w:numId="20">
    <w:abstractNumId w:val="19"/>
  </w:num>
  <w:num w:numId="21">
    <w:abstractNumId w:val="24"/>
  </w:num>
  <w:num w:numId="22">
    <w:abstractNumId w:val="16"/>
  </w:num>
  <w:num w:numId="23">
    <w:abstractNumId w:val="8"/>
  </w:num>
  <w:num w:numId="24">
    <w:abstractNumId w:val="3"/>
  </w:num>
  <w:num w:numId="25">
    <w:abstractNumId w:val="27"/>
  </w:num>
  <w:num w:numId="26">
    <w:abstractNumId w:val="33"/>
  </w:num>
  <w:num w:numId="27">
    <w:abstractNumId w:val="12"/>
  </w:num>
  <w:num w:numId="28">
    <w:abstractNumId w:val="38"/>
  </w:num>
  <w:num w:numId="29">
    <w:abstractNumId w:val="26"/>
  </w:num>
  <w:num w:numId="30">
    <w:abstractNumId w:val="21"/>
  </w:num>
  <w:num w:numId="31">
    <w:abstractNumId w:val="2"/>
  </w:num>
  <w:num w:numId="32">
    <w:abstractNumId w:val="30"/>
  </w:num>
  <w:num w:numId="33">
    <w:abstractNumId w:val="15"/>
  </w:num>
  <w:num w:numId="34">
    <w:abstractNumId w:val="6"/>
  </w:num>
  <w:num w:numId="35">
    <w:abstractNumId w:val="9"/>
  </w:num>
  <w:num w:numId="36">
    <w:abstractNumId w:val="40"/>
  </w:num>
  <w:num w:numId="37">
    <w:abstractNumId w:val="18"/>
  </w:num>
  <w:num w:numId="38">
    <w:abstractNumId w:val="22"/>
  </w:num>
  <w:num w:numId="39">
    <w:abstractNumId w:val="25"/>
  </w:num>
  <w:num w:numId="40">
    <w:abstractNumId w:val="17"/>
  </w:num>
  <w:num w:numId="41">
    <w:abstractNumId w:val="14"/>
  </w:num>
  <w:num w:numId="42">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GrammaticalErrors/>
  <w:proofState w:spelling="clean" w:grammar="clean"/>
  <w:documentProtection w:formatting="1" w:enforcement="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22D"/>
    <w:rsid w:val="00003580"/>
    <w:rsid w:val="00007220"/>
    <w:rsid w:val="00007394"/>
    <w:rsid w:val="00014FCE"/>
    <w:rsid w:val="00015F50"/>
    <w:rsid w:val="0001754B"/>
    <w:rsid w:val="0002003A"/>
    <w:rsid w:val="00023991"/>
    <w:rsid w:val="00027CF4"/>
    <w:rsid w:val="00035BD0"/>
    <w:rsid w:val="000374B7"/>
    <w:rsid w:val="00037E7C"/>
    <w:rsid w:val="000417AC"/>
    <w:rsid w:val="00044760"/>
    <w:rsid w:val="00050022"/>
    <w:rsid w:val="0005274C"/>
    <w:rsid w:val="00054EF3"/>
    <w:rsid w:val="000566D2"/>
    <w:rsid w:val="000613BF"/>
    <w:rsid w:val="00065943"/>
    <w:rsid w:val="00070564"/>
    <w:rsid w:val="00070B8C"/>
    <w:rsid w:val="00073C81"/>
    <w:rsid w:val="00080F17"/>
    <w:rsid w:val="000844FC"/>
    <w:rsid w:val="00087327"/>
    <w:rsid w:val="0009169A"/>
    <w:rsid w:val="00092710"/>
    <w:rsid w:val="00093382"/>
    <w:rsid w:val="00093FAF"/>
    <w:rsid w:val="00095EF0"/>
    <w:rsid w:val="000964DC"/>
    <w:rsid w:val="000A1811"/>
    <w:rsid w:val="000A1A21"/>
    <w:rsid w:val="000A1E6C"/>
    <w:rsid w:val="000A20A9"/>
    <w:rsid w:val="000A20F0"/>
    <w:rsid w:val="000B03CC"/>
    <w:rsid w:val="000B0E11"/>
    <w:rsid w:val="000B6858"/>
    <w:rsid w:val="000B7D51"/>
    <w:rsid w:val="000C5F48"/>
    <w:rsid w:val="000C74BD"/>
    <w:rsid w:val="000D3D3B"/>
    <w:rsid w:val="000D5019"/>
    <w:rsid w:val="000E032B"/>
    <w:rsid w:val="000E219D"/>
    <w:rsid w:val="000E27B8"/>
    <w:rsid w:val="000E2932"/>
    <w:rsid w:val="000E4FAC"/>
    <w:rsid w:val="000F3F97"/>
    <w:rsid w:val="000F43C5"/>
    <w:rsid w:val="000F5006"/>
    <w:rsid w:val="000F513A"/>
    <w:rsid w:val="000F54EF"/>
    <w:rsid w:val="000F73CF"/>
    <w:rsid w:val="0010004E"/>
    <w:rsid w:val="001058B7"/>
    <w:rsid w:val="00105F18"/>
    <w:rsid w:val="00111521"/>
    <w:rsid w:val="00111854"/>
    <w:rsid w:val="00113B2B"/>
    <w:rsid w:val="00114A32"/>
    <w:rsid w:val="00116A30"/>
    <w:rsid w:val="00123FF9"/>
    <w:rsid w:val="0012688C"/>
    <w:rsid w:val="00130BC7"/>
    <w:rsid w:val="0013552E"/>
    <w:rsid w:val="00140185"/>
    <w:rsid w:val="00140C01"/>
    <w:rsid w:val="00141207"/>
    <w:rsid w:val="001420E1"/>
    <w:rsid w:val="00142FE6"/>
    <w:rsid w:val="0014362E"/>
    <w:rsid w:val="00145C3E"/>
    <w:rsid w:val="001461B4"/>
    <w:rsid w:val="00156D62"/>
    <w:rsid w:val="00157367"/>
    <w:rsid w:val="00160C98"/>
    <w:rsid w:val="0016206C"/>
    <w:rsid w:val="00166737"/>
    <w:rsid w:val="00173609"/>
    <w:rsid w:val="00173F64"/>
    <w:rsid w:val="00176669"/>
    <w:rsid w:val="001771A8"/>
    <w:rsid w:val="001906D9"/>
    <w:rsid w:val="0019164E"/>
    <w:rsid w:val="00192E3D"/>
    <w:rsid w:val="00196158"/>
    <w:rsid w:val="001A2F27"/>
    <w:rsid w:val="001A3288"/>
    <w:rsid w:val="001B6C4B"/>
    <w:rsid w:val="001C63A9"/>
    <w:rsid w:val="001D1627"/>
    <w:rsid w:val="001D3303"/>
    <w:rsid w:val="001D7E0B"/>
    <w:rsid w:val="001E358A"/>
    <w:rsid w:val="001E53D4"/>
    <w:rsid w:val="001E5EED"/>
    <w:rsid w:val="001E7D7B"/>
    <w:rsid w:val="001F78EE"/>
    <w:rsid w:val="00204B60"/>
    <w:rsid w:val="0020553B"/>
    <w:rsid w:val="00206709"/>
    <w:rsid w:val="00213451"/>
    <w:rsid w:val="0021360F"/>
    <w:rsid w:val="00213AAE"/>
    <w:rsid w:val="00215213"/>
    <w:rsid w:val="00217896"/>
    <w:rsid w:val="00221395"/>
    <w:rsid w:val="00224193"/>
    <w:rsid w:val="00224755"/>
    <w:rsid w:val="002270B4"/>
    <w:rsid w:val="002370D5"/>
    <w:rsid w:val="00237929"/>
    <w:rsid w:val="00237C5B"/>
    <w:rsid w:val="00240508"/>
    <w:rsid w:val="00241AE1"/>
    <w:rsid w:val="002424DF"/>
    <w:rsid w:val="0024250A"/>
    <w:rsid w:val="00243790"/>
    <w:rsid w:val="002469A1"/>
    <w:rsid w:val="00250CB0"/>
    <w:rsid w:val="00261E60"/>
    <w:rsid w:val="00261EBF"/>
    <w:rsid w:val="002707F0"/>
    <w:rsid w:val="0027135C"/>
    <w:rsid w:val="00275DF5"/>
    <w:rsid w:val="002760A0"/>
    <w:rsid w:val="00277110"/>
    <w:rsid w:val="0027772B"/>
    <w:rsid w:val="002809C6"/>
    <w:rsid w:val="002809CE"/>
    <w:rsid w:val="00280DB3"/>
    <w:rsid w:val="00281B28"/>
    <w:rsid w:val="002854A4"/>
    <w:rsid w:val="0028655A"/>
    <w:rsid w:val="00287C37"/>
    <w:rsid w:val="00290099"/>
    <w:rsid w:val="00294307"/>
    <w:rsid w:val="00297CD8"/>
    <w:rsid w:val="002A0A00"/>
    <w:rsid w:val="002A25C0"/>
    <w:rsid w:val="002A4FD2"/>
    <w:rsid w:val="002A5C97"/>
    <w:rsid w:val="002A612E"/>
    <w:rsid w:val="002A72E7"/>
    <w:rsid w:val="002C10DC"/>
    <w:rsid w:val="002C1639"/>
    <w:rsid w:val="002C2195"/>
    <w:rsid w:val="002C38E2"/>
    <w:rsid w:val="002C3A66"/>
    <w:rsid w:val="002C5702"/>
    <w:rsid w:val="002C5A63"/>
    <w:rsid w:val="002D068B"/>
    <w:rsid w:val="002D1597"/>
    <w:rsid w:val="002D2F02"/>
    <w:rsid w:val="002D3D38"/>
    <w:rsid w:val="002D4EEB"/>
    <w:rsid w:val="002D6886"/>
    <w:rsid w:val="002D6CDB"/>
    <w:rsid w:val="002E0991"/>
    <w:rsid w:val="002E3F02"/>
    <w:rsid w:val="002E73BC"/>
    <w:rsid w:val="002E7CF0"/>
    <w:rsid w:val="002F3F56"/>
    <w:rsid w:val="002F4675"/>
    <w:rsid w:val="002F74B1"/>
    <w:rsid w:val="002F75B5"/>
    <w:rsid w:val="00300E2C"/>
    <w:rsid w:val="00305DFC"/>
    <w:rsid w:val="0031118D"/>
    <w:rsid w:val="00311F0D"/>
    <w:rsid w:val="00317848"/>
    <w:rsid w:val="00321DD4"/>
    <w:rsid w:val="0032290A"/>
    <w:rsid w:val="00324DEF"/>
    <w:rsid w:val="003308E4"/>
    <w:rsid w:val="00331149"/>
    <w:rsid w:val="00333904"/>
    <w:rsid w:val="00334905"/>
    <w:rsid w:val="00336506"/>
    <w:rsid w:val="00340474"/>
    <w:rsid w:val="0034169D"/>
    <w:rsid w:val="00342743"/>
    <w:rsid w:val="00342D0B"/>
    <w:rsid w:val="003448E9"/>
    <w:rsid w:val="0034541F"/>
    <w:rsid w:val="0035320A"/>
    <w:rsid w:val="0035619A"/>
    <w:rsid w:val="00357530"/>
    <w:rsid w:val="0035C99D"/>
    <w:rsid w:val="0036024E"/>
    <w:rsid w:val="003623D9"/>
    <w:rsid w:val="0036754E"/>
    <w:rsid w:val="0037072B"/>
    <w:rsid w:val="003733E6"/>
    <w:rsid w:val="00374B79"/>
    <w:rsid w:val="003750A5"/>
    <w:rsid w:val="003757FB"/>
    <w:rsid w:val="00376CD6"/>
    <w:rsid w:val="00380414"/>
    <w:rsid w:val="00380991"/>
    <w:rsid w:val="00380E4E"/>
    <w:rsid w:val="00381463"/>
    <w:rsid w:val="00383CC3"/>
    <w:rsid w:val="003860D3"/>
    <w:rsid w:val="00390451"/>
    <w:rsid w:val="003966AC"/>
    <w:rsid w:val="003A1306"/>
    <w:rsid w:val="003A26A4"/>
    <w:rsid w:val="003C108C"/>
    <w:rsid w:val="003C1BC1"/>
    <w:rsid w:val="003C431F"/>
    <w:rsid w:val="003C50E5"/>
    <w:rsid w:val="003D46BC"/>
    <w:rsid w:val="003D56B1"/>
    <w:rsid w:val="003D5C50"/>
    <w:rsid w:val="003D68D8"/>
    <w:rsid w:val="003D6D2C"/>
    <w:rsid w:val="003D75C8"/>
    <w:rsid w:val="003E73DB"/>
    <w:rsid w:val="003F2001"/>
    <w:rsid w:val="003F5D8D"/>
    <w:rsid w:val="003F7C5F"/>
    <w:rsid w:val="00402334"/>
    <w:rsid w:val="00402A6D"/>
    <w:rsid w:val="0040438F"/>
    <w:rsid w:val="00406068"/>
    <w:rsid w:val="00406FC5"/>
    <w:rsid w:val="00407BFE"/>
    <w:rsid w:val="00410DB1"/>
    <w:rsid w:val="0041388E"/>
    <w:rsid w:val="00413C78"/>
    <w:rsid w:val="004147C7"/>
    <w:rsid w:val="00415186"/>
    <w:rsid w:val="004205E0"/>
    <w:rsid w:val="00421A04"/>
    <w:rsid w:val="00424CCA"/>
    <w:rsid w:val="00425F38"/>
    <w:rsid w:val="00427BFB"/>
    <w:rsid w:val="0043513D"/>
    <w:rsid w:val="00436237"/>
    <w:rsid w:val="00436EBA"/>
    <w:rsid w:val="00443BAC"/>
    <w:rsid w:val="00443C7F"/>
    <w:rsid w:val="0044525E"/>
    <w:rsid w:val="00453D47"/>
    <w:rsid w:val="004547E3"/>
    <w:rsid w:val="00461177"/>
    <w:rsid w:val="00461523"/>
    <w:rsid w:val="00465996"/>
    <w:rsid w:val="00465CE8"/>
    <w:rsid w:val="004724F2"/>
    <w:rsid w:val="004759D2"/>
    <w:rsid w:val="00476692"/>
    <w:rsid w:val="00483CAE"/>
    <w:rsid w:val="004A06F1"/>
    <w:rsid w:val="004A1D3F"/>
    <w:rsid w:val="004A1FE1"/>
    <w:rsid w:val="004A2FAD"/>
    <w:rsid w:val="004A6549"/>
    <w:rsid w:val="004B3E37"/>
    <w:rsid w:val="004B694E"/>
    <w:rsid w:val="004C0EE6"/>
    <w:rsid w:val="004C107D"/>
    <w:rsid w:val="004C4427"/>
    <w:rsid w:val="004C7C10"/>
    <w:rsid w:val="004D3E93"/>
    <w:rsid w:val="004D5DCD"/>
    <w:rsid w:val="004E693F"/>
    <w:rsid w:val="004E6F5A"/>
    <w:rsid w:val="004E777A"/>
    <w:rsid w:val="004F1835"/>
    <w:rsid w:val="004F1C68"/>
    <w:rsid w:val="004F26FE"/>
    <w:rsid w:val="004F69DC"/>
    <w:rsid w:val="004F7B1C"/>
    <w:rsid w:val="004F7DC0"/>
    <w:rsid w:val="00502831"/>
    <w:rsid w:val="0051113D"/>
    <w:rsid w:val="00511917"/>
    <w:rsid w:val="00513366"/>
    <w:rsid w:val="00513684"/>
    <w:rsid w:val="0051649E"/>
    <w:rsid w:val="00523991"/>
    <w:rsid w:val="005244B3"/>
    <w:rsid w:val="00525F80"/>
    <w:rsid w:val="005263E4"/>
    <w:rsid w:val="005324C5"/>
    <w:rsid w:val="00532C41"/>
    <w:rsid w:val="005369DF"/>
    <w:rsid w:val="00537A69"/>
    <w:rsid w:val="00537AAD"/>
    <w:rsid w:val="005428BB"/>
    <w:rsid w:val="0054676E"/>
    <w:rsid w:val="00551516"/>
    <w:rsid w:val="0055476C"/>
    <w:rsid w:val="00554AD0"/>
    <w:rsid w:val="00565136"/>
    <w:rsid w:val="00565A8F"/>
    <w:rsid w:val="00566084"/>
    <w:rsid w:val="00567E54"/>
    <w:rsid w:val="00572161"/>
    <w:rsid w:val="00574070"/>
    <w:rsid w:val="005810B0"/>
    <w:rsid w:val="005822BE"/>
    <w:rsid w:val="00584809"/>
    <w:rsid w:val="005909BC"/>
    <w:rsid w:val="00590CBE"/>
    <w:rsid w:val="005910CF"/>
    <w:rsid w:val="005A1683"/>
    <w:rsid w:val="005A4ACB"/>
    <w:rsid w:val="005A4C41"/>
    <w:rsid w:val="005A4DC5"/>
    <w:rsid w:val="005A53E3"/>
    <w:rsid w:val="005A5AA3"/>
    <w:rsid w:val="005A67CF"/>
    <w:rsid w:val="005B0344"/>
    <w:rsid w:val="005B6E90"/>
    <w:rsid w:val="005B70A7"/>
    <w:rsid w:val="005C5917"/>
    <w:rsid w:val="005D1FA9"/>
    <w:rsid w:val="005D25B8"/>
    <w:rsid w:val="005D3ECE"/>
    <w:rsid w:val="005D4B16"/>
    <w:rsid w:val="005D5E5F"/>
    <w:rsid w:val="005D64D3"/>
    <w:rsid w:val="005D7821"/>
    <w:rsid w:val="005E27DF"/>
    <w:rsid w:val="005F6BC4"/>
    <w:rsid w:val="00602E1A"/>
    <w:rsid w:val="00604A39"/>
    <w:rsid w:val="006126D4"/>
    <w:rsid w:val="00613380"/>
    <w:rsid w:val="006133EA"/>
    <w:rsid w:val="00613F5D"/>
    <w:rsid w:val="00622466"/>
    <w:rsid w:val="00623AA4"/>
    <w:rsid w:val="00624A6A"/>
    <w:rsid w:val="00625922"/>
    <w:rsid w:val="00632482"/>
    <w:rsid w:val="006355C1"/>
    <w:rsid w:val="006365C6"/>
    <w:rsid w:val="00644913"/>
    <w:rsid w:val="00644C28"/>
    <w:rsid w:val="006471BC"/>
    <w:rsid w:val="0065124E"/>
    <w:rsid w:val="00652B04"/>
    <w:rsid w:val="00652F23"/>
    <w:rsid w:val="006546C4"/>
    <w:rsid w:val="00661A16"/>
    <w:rsid w:val="00664A24"/>
    <w:rsid w:val="00665D20"/>
    <w:rsid w:val="00672EE4"/>
    <w:rsid w:val="00672FA7"/>
    <w:rsid w:val="006824D3"/>
    <w:rsid w:val="00682A4E"/>
    <w:rsid w:val="00683284"/>
    <w:rsid w:val="00684885"/>
    <w:rsid w:val="00685FFC"/>
    <w:rsid w:val="00692345"/>
    <w:rsid w:val="00695CA5"/>
    <w:rsid w:val="00695D51"/>
    <w:rsid w:val="00697655"/>
    <w:rsid w:val="006A05C6"/>
    <w:rsid w:val="006A1785"/>
    <w:rsid w:val="006A48D6"/>
    <w:rsid w:val="006A78DE"/>
    <w:rsid w:val="006A7A0D"/>
    <w:rsid w:val="006B0334"/>
    <w:rsid w:val="006B047F"/>
    <w:rsid w:val="006B2640"/>
    <w:rsid w:val="006B4CDF"/>
    <w:rsid w:val="006B544F"/>
    <w:rsid w:val="006B725B"/>
    <w:rsid w:val="006C2309"/>
    <w:rsid w:val="006C2F33"/>
    <w:rsid w:val="006C7D45"/>
    <w:rsid w:val="006D3517"/>
    <w:rsid w:val="006D4439"/>
    <w:rsid w:val="006D6AE7"/>
    <w:rsid w:val="006D7928"/>
    <w:rsid w:val="006E0B06"/>
    <w:rsid w:val="006E33E5"/>
    <w:rsid w:val="006E4825"/>
    <w:rsid w:val="006E521D"/>
    <w:rsid w:val="006F20FF"/>
    <w:rsid w:val="006F2BB6"/>
    <w:rsid w:val="006F34BA"/>
    <w:rsid w:val="006F3EDD"/>
    <w:rsid w:val="006F62CD"/>
    <w:rsid w:val="006F758C"/>
    <w:rsid w:val="007027F4"/>
    <w:rsid w:val="00706B5C"/>
    <w:rsid w:val="00710249"/>
    <w:rsid w:val="00714B31"/>
    <w:rsid w:val="00715BAF"/>
    <w:rsid w:val="00715C2A"/>
    <w:rsid w:val="00716B2B"/>
    <w:rsid w:val="00717015"/>
    <w:rsid w:val="00717D1A"/>
    <w:rsid w:val="00727177"/>
    <w:rsid w:val="0072767A"/>
    <w:rsid w:val="00727D4E"/>
    <w:rsid w:val="0073283D"/>
    <w:rsid w:val="00732943"/>
    <w:rsid w:val="00735D94"/>
    <w:rsid w:val="00744C76"/>
    <w:rsid w:val="00745148"/>
    <w:rsid w:val="007459C2"/>
    <w:rsid w:val="00750636"/>
    <w:rsid w:val="007573B1"/>
    <w:rsid w:val="0075767A"/>
    <w:rsid w:val="00761674"/>
    <w:rsid w:val="007635A9"/>
    <w:rsid w:val="0076683E"/>
    <w:rsid w:val="00766EF2"/>
    <w:rsid w:val="00767CB2"/>
    <w:rsid w:val="0077091F"/>
    <w:rsid w:val="00774A6D"/>
    <w:rsid w:val="007753D1"/>
    <w:rsid w:val="00775786"/>
    <w:rsid w:val="0078030A"/>
    <w:rsid w:val="007830D0"/>
    <w:rsid w:val="00783DCA"/>
    <w:rsid w:val="00784890"/>
    <w:rsid w:val="00785F62"/>
    <w:rsid w:val="00787963"/>
    <w:rsid w:val="00792035"/>
    <w:rsid w:val="00796050"/>
    <w:rsid w:val="00797A67"/>
    <w:rsid w:val="007A2FB8"/>
    <w:rsid w:val="007A744B"/>
    <w:rsid w:val="007A7CD5"/>
    <w:rsid w:val="007B0872"/>
    <w:rsid w:val="007B1FF4"/>
    <w:rsid w:val="007B2909"/>
    <w:rsid w:val="007B2D94"/>
    <w:rsid w:val="007B4C01"/>
    <w:rsid w:val="007B5AB3"/>
    <w:rsid w:val="007B71E8"/>
    <w:rsid w:val="007B74E9"/>
    <w:rsid w:val="007C2C0F"/>
    <w:rsid w:val="007C3321"/>
    <w:rsid w:val="007C5BA4"/>
    <w:rsid w:val="007C6C74"/>
    <w:rsid w:val="007C7064"/>
    <w:rsid w:val="007D2D22"/>
    <w:rsid w:val="007D738F"/>
    <w:rsid w:val="007E17B5"/>
    <w:rsid w:val="007F11DB"/>
    <w:rsid w:val="007F20C1"/>
    <w:rsid w:val="007F219E"/>
    <w:rsid w:val="007F7D11"/>
    <w:rsid w:val="007F7D65"/>
    <w:rsid w:val="00800581"/>
    <w:rsid w:val="00800674"/>
    <w:rsid w:val="0080142F"/>
    <w:rsid w:val="008032AB"/>
    <w:rsid w:val="008067C2"/>
    <w:rsid w:val="008135B3"/>
    <w:rsid w:val="0081459C"/>
    <w:rsid w:val="00817A2A"/>
    <w:rsid w:val="008234EF"/>
    <w:rsid w:val="00830D27"/>
    <w:rsid w:val="00836B97"/>
    <w:rsid w:val="00843B55"/>
    <w:rsid w:val="00843F4D"/>
    <w:rsid w:val="00852136"/>
    <w:rsid w:val="008534D7"/>
    <w:rsid w:val="00853553"/>
    <w:rsid w:val="00853C8C"/>
    <w:rsid w:val="00860014"/>
    <w:rsid w:val="00866227"/>
    <w:rsid w:val="008865AA"/>
    <w:rsid w:val="0089453D"/>
    <w:rsid w:val="00895E6B"/>
    <w:rsid w:val="00896E25"/>
    <w:rsid w:val="008A1ED0"/>
    <w:rsid w:val="008A2ED2"/>
    <w:rsid w:val="008A335A"/>
    <w:rsid w:val="008A5816"/>
    <w:rsid w:val="008A7AE4"/>
    <w:rsid w:val="008B00AA"/>
    <w:rsid w:val="008B766F"/>
    <w:rsid w:val="008C1FC4"/>
    <w:rsid w:val="008C575C"/>
    <w:rsid w:val="008D023D"/>
    <w:rsid w:val="008D28EA"/>
    <w:rsid w:val="008D6B27"/>
    <w:rsid w:val="008E109D"/>
    <w:rsid w:val="008E1730"/>
    <w:rsid w:val="008E17E4"/>
    <w:rsid w:val="008E2BE8"/>
    <w:rsid w:val="008E6FFA"/>
    <w:rsid w:val="008F196E"/>
    <w:rsid w:val="008F5CFA"/>
    <w:rsid w:val="0090111D"/>
    <w:rsid w:val="009036E4"/>
    <w:rsid w:val="0090561D"/>
    <w:rsid w:val="00907E25"/>
    <w:rsid w:val="00911DC5"/>
    <w:rsid w:val="0091302F"/>
    <w:rsid w:val="00913DAD"/>
    <w:rsid w:val="00915549"/>
    <w:rsid w:val="009156BD"/>
    <w:rsid w:val="009262A2"/>
    <w:rsid w:val="00931B40"/>
    <w:rsid w:val="00932BA1"/>
    <w:rsid w:val="009335DC"/>
    <w:rsid w:val="009349A0"/>
    <w:rsid w:val="00935129"/>
    <w:rsid w:val="00940295"/>
    <w:rsid w:val="00940494"/>
    <w:rsid w:val="00944F16"/>
    <w:rsid w:val="009454DE"/>
    <w:rsid w:val="00946663"/>
    <w:rsid w:val="00950175"/>
    <w:rsid w:val="00951378"/>
    <w:rsid w:val="00952BA2"/>
    <w:rsid w:val="00953865"/>
    <w:rsid w:val="00954265"/>
    <w:rsid w:val="0095523D"/>
    <w:rsid w:val="00955E5D"/>
    <w:rsid w:val="0096144F"/>
    <w:rsid w:val="00967C54"/>
    <w:rsid w:val="00970144"/>
    <w:rsid w:val="009760B7"/>
    <w:rsid w:val="00976B61"/>
    <w:rsid w:val="0097F5AC"/>
    <w:rsid w:val="00980A0F"/>
    <w:rsid w:val="009814F2"/>
    <w:rsid w:val="00981965"/>
    <w:rsid w:val="0098365E"/>
    <w:rsid w:val="009856A3"/>
    <w:rsid w:val="00985771"/>
    <w:rsid w:val="00987DEC"/>
    <w:rsid w:val="00992CB8"/>
    <w:rsid w:val="00993E3C"/>
    <w:rsid w:val="00994257"/>
    <w:rsid w:val="00995B45"/>
    <w:rsid w:val="0099775C"/>
    <w:rsid w:val="009978F0"/>
    <w:rsid w:val="009A30BC"/>
    <w:rsid w:val="009A7FA4"/>
    <w:rsid w:val="009B04AD"/>
    <w:rsid w:val="009B14C4"/>
    <w:rsid w:val="009B1AA9"/>
    <w:rsid w:val="009B620D"/>
    <w:rsid w:val="009B7766"/>
    <w:rsid w:val="009C5F51"/>
    <w:rsid w:val="009D0DD3"/>
    <w:rsid w:val="009D0ED9"/>
    <w:rsid w:val="009D11D2"/>
    <w:rsid w:val="009D57EC"/>
    <w:rsid w:val="009D704E"/>
    <w:rsid w:val="009E11C0"/>
    <w:rsid w:val="009E4B31"/>
    <w:rsid w:val="009E5F63"/>
    <w:rsid w:val="009F0AEF"/>
    <w:rsid w:val="009F34B9"/>
    <w:rsid w:val="009F4736"/>
    <w:rsid w:val="00A05C6B"/>
    <w:rsid w:val="00A06753"/>
    <w:rsid w:val="00A0736D"/>
    <w:rsid w:val="00A17822"/>
    <w:rsid w:val="00A332B7"/>
    <w:rsid w:val="00A33854"/>
    <w:rsid w:val="00A339D0"/>
    <w:rsid w:val="00A360F7"/>
    <w:rsid w:val="00A50C04"/>
    <w:rsid w:val="00A54EFE"/>
    <w:rsid w:val="00A56F9E"/>
    <w:rsid w:val="00A63042"/>
    <w:rsid w:val="00A63EE6"/>
    <w:rsid w:val="00A6455C"/>
    <w:rsid w:val="00A67404"/>
    <w:rsid w:val="00A70928"/>
    <w:rsid w:val="00A753E6"/>
    <w:rsid w:val="00A75CE7"/>
    <w:rsid w:val="00A77F85"/>
    <w:rsid w:val="00A81F19"/>
    <w:rsid w:val="00A83BEF"/>
    <w:rsid w:val="00A84747"/>
    <w:rsid w:val="00A86BBC"/>
    <w:rsid w:val="00A86D43"/>
    <w:rsid w:val="00A91EF9"/>
    <w:rsid w:val="00A97B1E"/>
    <w:rsid w:val="00A97CB0"/>
    <w:rsid w:val="00AA091A"/>
    <w:rsid w:val="00AA25BB"/>
    <w:rsid w:val="00AA5038"/>
    <w:rsid w:val="00AB1F1E"/>
    <w:rsid w:val="00AB344D"/>
    <w:rsid w:val="00AB3F9D"/>
    <w:rsid w:val="00AB58FD"/>
    <w:rsid w:val="00AB6AF7"/>
    <w:rsid w:val="00AB6E7E"/>
    <w:rsid w:val="00AC07E1"/>
    <w:rsid w:val="00AD1384"/>
    <w:rsid w:val="00AD442F"/>
    <w:rsid w:val="00AD5D50"/>
    <w:rsid w:val="00AD63F9"/>
    <w:rsid w:val="00AE0AD2"/>
    <w:rsid w:val="00AE3249"/>
    <w:rsid w:val="00AE4259"/>
    <w:rsid w:val="00AF06E8"/>
    <w:rsid w:val="00AF67F7"/>
    <w:rsid w:val="00AF7F83"/>
    <w:rsid w:val="00B031D6"/>
    <w:rsid w:val="00B03D21"/>
    <w:rsid w:val="00B05B37"/>
    <w:rsid w:val="00B06D43"/>
    <w:rsid w:val="00B11A68"/>
    <w:rsid w:val="00B16324"/>
    <w:rsid w:val="00B1645A"/>
    <w:rsid w:val="00B179B9"/>
    <w:rsid w:val="00B17C0B"/>
    <w:rsid w:val="00B206C8"/>
    <w:rsid w:val="00B24CD5"/>
    <w:rsid w:val="00B2609C"/>
    <w:rsid w:val="00B2633B"/>
    <w:rsid w:val="00B315B3"/>
    <w:rsid w:val="00B32811"/>
    <w:rsid w:val="00B3351D"/>
    <w:rsid w:val="00B346EF"/>
    <w:rsid w:val="00B35FA9"/>
    <w:rsid w:val="00B3630F"/>
    <w:rsid w:val="00B402EC"/>
    <w:rsid w:val="00B407D3"/>
    <w:rsid w:val="00B407D6"/>
    <w:rsid w:val="00B40F4C"/>
    <w:rsid w:val="00B45CFA"/>
    <w:rsid w:val="00B46B9A"/>
    <w:rsid w:val="00B47A3D"/>
    <w:rsid w:val="00B50289"/>
    <w:rsid w:val="00B50A4D"/>
    <w:rsid w:val="00B51D16"/>
    <w:rsid w:val="00B537CA"/>
    <w:rsid w:val="00B56C90"/>
    <w:rsid w:val="00B610A9"/>
    <w:rsid w:val="00B64173"/>
    <w:rsid w:val="00B67F42"/>
    <w:rsid w:val="00B70396"/>
    <w:rsid w:val="00B72F59"/>
    <w:rsid w:val="00B7790E"/>
    <w:rsid w:val="00B77D4F"/>
    <w:rsid w:val="00B81D76"/>
    <w:rsid w:val="00B846DB"/>
    <w:rsid w:val="00B854B8"/>
    <w:rsid w:val="00B9271E"/>
    <w:rsid w:val="00B93B79"/>
    <w:rsid w:val="00B9429C"/>
    <w:rsid w:val="00B94DD6"/>
    <w:rsid w:val="00B9675A"/>
    <w:rsid w:val="00B96A9D"/>
    <w:rsid w:val="00BA19C0"/>
    <w:rsid w:val="00BA256E"/>
    <w:rsid w:val="00BA5459"/>
    <w:rsid w:val="00BA7260"/>
    <w:rsid w:val="00BA7D6D"/>
    <w:rsid w:val="00BB20E0"/>
    <w:rsid w:val="00BB22B8"/>
    <w:rsid w:val="00BB6854"/>
    <w:rsid w:val="00BB7FE9"/>
    <w:rsid w:val="00BC0FDF"/>
    <w:rsid w:val="00BC4C23"/>
    <w:rsid w:val="00BC76A5"/>
    <w:rsid w:val="00BD1614"/>
    <w:rsid w:val="00BD22A9"/>
    <w:rsid w:val="00BD7B74"/>
    <w:rsid w:val="00BE036B"/>
    <w:rsid w:val="00BE0922"/>
    <w:rsid w:val="00BE0EA5"/>
    <w:rsid w:val="00BE33F1"/>
    <w:rsid w:val="00BE4D26"/>
    <w:rsid w:val="00BE7907"/>
    <w:rsid w:val="00BF39BD"/>
    <w:rsid w:val="00BF46D2"/>
    <w:rsid w:val="00BF537C"/>
    <w:rsid w:val="00C000E6"/>
    <w:rsid w:val="00C00231"/>
    <w:rsid w:val="00C03775"/>
    <w:rsid w:val="00C112F0"/>
    <w:rsid w:val="00C170A4"/>
    <w:rsid w:val="00C17FC3"/>
    <w:rsid w:val="00C2078D"/>
    <w:rsid w:val="00C31877"/>
    <w:rsid w:val="00C31FAD"/>
    <w:rsid w:val="00C35B2F"/>
    <w:rsid w:val="00C374F9"/>
    <w:rsid w:val="00C37B49"/>
    <w:rsid w:val="00C40399"/>
    <w:rsid w:val="00C416A0"/>
    <w:rsid w:val="00C42E61"/>
    <w:rsid w:val="00C45A75"/>
    <w:rsid w:val="00C511FE"/>
    <w:rsid w:val="00C557F3"/>
    <w:rsid w:val="00C57166"/>
    <w:rsid w:val="00C57AAA"/>
    <w:rsid w:val="00C6185E"/>
    <w:rsid w:val="00C62DE8"/>
    <w:rsid w:val="00C653B7"/>
    <w:rsid w:val="00C65E13"/>
    <w:rsid w:val="00C66AB9"/>
    <w:rsid w:val="00C757BD"/>
    <w:rsid w:val="00C7716F"/>
    <w:rsid w:val="00C82EC9"/>
    <w:rsid w:val="00C831B1"/>
    <w:rsid w:val="00C83FD4"/>
    <w:rsid w:val="00C84ADA"/>
    <w:rsid w:val="00C85850"/>
    <w:rsid w:val="00CA0E54"/>
    <w:rsid w:val="00CA114C"/>
    <w:rsid w:val="00CA1CA3"/>
    <w:rsid w:val="00CA2959"/>
    <w:rsid w:val="00CA4CE5"/>
    <w:rsid w:val="00CA666B"/>
    <w:rsid w:val="00CB0A86"/>
    <w:rsid w:val="00CB2865"/>
    <w:rsid w:val="00CB2F6E"/>
    <w:rsid w:val="00CB3BD2"/>
    <w:rsid w:val="00CB43A0"/>
    <w:rsid w:val="00CC0537"/>
    <w:rsid w:val="00CC0584"/>
    <w:rsid w:val="00CC2BE1"/>
    <w:rsid w:val="00CC385F"/>
    <w:rsid w:val="00CC6BF9"/>
    <w:rsid w:val="00CD08B3"/>
    <w:rsid w:val="00CD1299"/>
    <w:rsid w:val="00CD1704"/>
    <w:rsid w:val="00CD1ED5"/>
    <w:rsid w:val="00CD61F4"/>
    <w:rsid w:val="00CD69F4"/>
    <w:rsid w:val="00CE1127"/>
    <w:rsid w:val="00CF36D4"/>
    <w:rsid w:val="00D13EAA"/>
    <w:rsid w:val="00D14084"/>
    <w:rsid w:val="00D15492"/>
    <w:rsid w:val="00D212D9"/>
    <w:rsid w:val="00D21362"/>
    <w:rsid w:val="00D248D1"/>
    <w:rsid w:val="00D2530C"/>
    <w:rsid w:val="00D302DC"/>
    <w:rsid w:val="00D32F62"/>
    <w:rsid w:val="00D33843"/>
    <w:rsid w:val="00D34000"/>
    <w:rsid w:val="00D368BB"/>
    <w:rsid w:val="00D373C6"/>
    <w:rsid w:val="00D40D3F"/>
    <w:rsid w:val="00D41458"/>
    <w:rsid w:val="00D41E44"/>
    <w:rsid w:val="00D41FB6"/>
    <w:rsid w:val="00D42BC3"/>
    <w:rsid w:val="00D43C21"/>
    <w:rsid w:val="00D43D23"/>
    <w:rsid w:val="00D43E56"/>
    <w:rsid w:val="00D4526C"/>
    <w:rsid w:val="00D529A7"/>
    <w:rsid w:val="00D52AB3"/>
    <w:rsid w:val="00D52F19"/>
    <w:rsid w:val="00D55E0B"/>
    <w:rsid w:val="00D56B1B"/>
    <w:rsid w:val="00D572D9"/>
    <w:rsid w:val="00D5733F"/>
    <w:rsid w:val="00D57D3F"/>
    <w:rsid w:val="00D655E7"/>
    <w:rsid w:val="00D718F5"/>
    <w:rsid w:val="00D807DF"/>
    <w:rsid w:val="00D815B8"/>
    <w:rsid w:val="00D81891"/>
    <w:rsid w:val="00D81D86"/>
    <w:rsid w:val="00D82E77"/>
    <w:rsid w:val="00D85261"/>
    <w:rsid w:val="00D90DD6"/>
    <w:rsid w:val="00D93FBA"/>
    <w:rsid w:val="00D94B01"/>
    <w:rsid w:val="00DA1A61"/>
    <w:rsid w:val="00DA1BA9"/>
    <w:rsid w:val="00DA1EA1"/>
    <w:rsid w:val="00DA3414"/>
    <w:rsid w:val="00DA5C79"/>
    <w:rsid w:val="00DA5C94"/>
    <w:rsid w:val="00DA6286"/>
    <w:rsid w:val="00DA6F51"/>
    <w:rsid w:val="00DB0170"/>
    <w:rsid w:val="00DB0F40"/>
    <w:rsid w:val="00DB6C11"/>
    <w:rsid w:val="00DB7E5A"/>
    <w:rsid w:val="00DC0519"/>
    <w:rsid w:val="00DC6173"/>
    <w:rsid w:val="00DC7330"/>
    <w:rsid w:val="00DD1800"/>
    <w:rsid w:val="00DD3D9F"/>
    <w:rsid w:val="00DD3F28"/>
    <w:rsid w:val="00DD411A"/>
    <w:rsid w:val="00DD5C19"/>
    <w:rsid w:val="00DD6FFD"/>
    <w:rsid w:val="00DD740F"/>
    <w:rsid w:val="00DE2466"/>
    <w:rsid w:val="00DE4AB7"/>
    <w:rsid w:val="00DE6BA3"/>
    <w:rsid w:val="00DE7278"/>
    <w:rsid w:val="00DF4B5A"/>
    <w:rsid w:val="00E0060D"/>
    <w:rsid w:val="00E0212A"/>
    <w:rsid w:val="00E02FDC"/>
    <w:rsid w:val="00E03C0C"/>
    <w:rsid w:val="00E0486B"/>
    <w:rsid w:val="00E063EE"/>
    <w:rsid w:val="00E17396"/>
    <w:rsid w:val="00E20305"/>
    <w:rsid w:val="00E203CF"/>
    <w:rsid w:val="00E20966"/>
    <w:rsid w:val="00E23CF9"/>
    <w:rsid w:val="00E263C3"/>
    <w:rsid w:val="00E308E3"/>
    <w:rsid w:val="00E3220D"/>
    <w:rsid w:val="00E32219"/>
    <w:rsid w:val="00E32772"/>
    <w:rsid w:val="00E33D74"/>
    <w:rsid w:val="00E33EE7"/>
    <w:rsid w:val="00E3424B"/>
    <w:rsid w:val="00E36700"/>
    <w:rsid w:val="00E37244"/>
    <w:rsid w:val="00E40923"/>
    <w:rsid w:val="00E40CB1"/>
    <w:rsid w:val="00E433D2"/>
    <w:rsid w:val="00E44810"/>
    <w:rsid w:val="00E44ADD"/>
    <w:rsid w:val="00E47E96"/>
    <w:rsid w:val="00E53AB0"/>
    <w:rsid w:val="00E55F78"/>
    <w:rsid w:val="00E56D08"/>
    <w:rsid w:val="00E600ED"/>
    <w:rsid w:val="00E6431A"/>
    <w:rsid w:val="00E657F2"/>
    <w:rsid w:val="00E663C0"/>
    <w:rsid w:val="00E66D6A"/>
    <w:rsid w:val="00E70C7E"/>
    <w:rsid w:val="00E765A6"/>
    <w:rsid w:val="00E8080F"/>
    <w:rsid w:val="00E835C7"/>
    <w:rsid w:val="00E83AF1"/>
    <w:rsid w:val="00E8463C"/>
    <w:rsid w:val="00E85E84"/>
    <w:rsid w:val="00E905BE"/>
    <w:rsid w:val="00E91408"/>
    <w:rsid w:val="00E925D3"/>
    <w:rsid w:val="00E9423C"/>
    <w:rsid w:val="00E97E12"/>
    <w:rsid w:val="00EA5AC5"/>
    <w:rsid w:val="00EA7E79"/>
    <w:rsid w:val="00EB0F4D"/>
    <w:rsid w:val="00EB414F"/>
    <w:rsid w:val="00EC3B4D"/>
    <w:rsid w:val="00EC55BB"/>
    <w:rsid w:val="00ED174F"/>
    <w:rsid w:val="00EE24B5"/>
    <w:rsid w:val="00EF1899"/>
    <w:rsid w:val="00EF7C97"/>
    <w:rsid w:val="00F02198"/>
    <w:rsid w:val="00F0240B"/>
    <w:rsid w:val="00F05849"/>
    <w:rsid w:val="00F071C7"/>
    <w:rsid w:val="00F077E7"/>
    <w:rsid w:val="00F10DC2"/>
    <w:rsid w:val="00F11921"/>
    <w:rsid w:val="00F16553"/>
    <w:rsid w:val="00F227D4"/>
    <w:rsid w:val="00F269D4"/>
    <w:rsid w:val="00F26CD5"/>
    <w:rsid w:val="00F27DD2"/>
    <w:rsid w:val="00F3022D"/>
    <w:rsid w:val="00F34BA7"/>
    <w:rsid w:val="00F403FF"/>
    <w:rsid w:val="00F40CDE"/>
    <w:rsid w:val="00F41366"/>
    <w:rsid w:val="00F42E79"/>
    <w:rsid w:val="00F46321"/>
    <w:rsid w:val="00F516DD"/>
    <w:rsid w:val="00F54EB7"/>
    <w:rsid w:val="00F5504A"/>
    <w:rsid w:val="00F72374"/>
    <w:rsid w:val="00F7266C"/>
    <w:rsid w:val="00F74447"/>
    <w:rsid w:val="00F76E8E"/>
    <w:rsid w:val="00F806F3"/>
    <w:rsid w:val="00F80FFB"/>
    <w:rsid w:val="00F85667"/>
    <w:rsid w:val="00F874FF"/>
    <w:rsid w:val="00F87F53"/>
    <w:rsid w:val="00F93E2E"/>
    <w:rsid w:val="00F9404F"/>
    <w:rsid w:val="00FA122D"/>
    <w:rsid w:val="00FA4980"/>
    <w:rsid w:val="00FA4A19"/>
    <w:rsid w:val="00FA4B70"/>
    <w:rsid w:val="00FA52F5"/>
    <w:rsid w:val="00FB4708"/>
    <w:rsid w:val="00FC2405"/>
    <w:rsid w:val="00FC38EE"/>
    <w:rsid w:val="00FC3BAE"/>
    <w:rsid w:val="00FC6613"/>
    <w:rsid w:val="00FD27A9"/>
    <w:rsid w:val="00FD7B9C"/>
    <w:rsid w:val="00FE42EC"/>
    <w:rsid w:val="00FE691E"/>
    <w:rsid w:val="00FE69C8"/>
    <w:rsid w:val="00FE78E9"/>
    <w:rsid w:val="00FF0E4F"/>
    <w:rsid w:val="00FF7B7C"/>
    <w:rsid w:val="029D0A28"/>
    <w:rsid w:val="03CC6AA3"/>
    <w:rsid w:val="04890789"/>
    <w:rsid w:val="04E05AE3"/>
    <w:rsid w:val="0521A40B"/>
    <w:rsid w:val="05787FCA"/>
    <w:rsid w:val="0649FD90"/>
    <w:rsid w:val="0841D126"/>
    <w:rsid w:val="0974176D"/>
    <w:rsid w:val="0C2AC80D"/>
    <w:rsid w:val="0D6FCE25"/>
    <w:rsid w:val="0F6A7319"/>
    <w:rsid w:val="0FDC678A"/>
    <w:rsid w:val="1077D3EB"/>
    <w:rsid w:val="10ED50FB"/>
    <w:rsid w:val="12696976"/>
    <w:rsid w:val="1357356F"/>
    <w:rsid w:val="1438061A"/>
    <w:rsid w:val="144C8F5D"/>
    <w:rsid w:val="171DBD5F"/>
    <w:rsid w:val="19269902"/>
    <w:rsid w:val="1BDAA81C"/>
    <w:rsid w:val="1CA8F339"/>
    <w:rsid w:val="1CC80A72"/>
    <w:rsid w:val="1D1660C9"/>
    <w:rsid w:val="1DCBD1F1"/>
    <w:rsid w:val="1ED47B1B"/>
    <w:rsid w:val="2033D26E"/>
    <w:rsid w:val="21E3E4F0"/>
    <w:rsid w:val="24CB3744"/>
    <w:rsid w:val="27DA75FC"/>
    <w:rsid w:val="28296CC6"/>
    <w:rsid w:val="2846F4DE"/>
    <w:rsid w:val="28618F5D"/>
    <w:rsid w:val="28976528"/>
    <w:rsid w:val="291A5161"/>
    <w:rsid w:val="297F6640"/>
    <w:rsid w:val="2BE01983"/>
    <w:rsid w:val="2EA90519"/>
    <w:rsid w:val="309A53C4"/>
    <w:rsid w:val="33808C0A"/>
    <w:rsid w:val="33B3D16D"/>
    <w:rsid w:val="33D01581"/>
    <w:rsid w:val="353455D9"/>
    <w:rsid w:val="35370F46"/>
    <w:rsid w:val="3539DAE6"/>
    <w:rsid w:val="358CBD45"/>
    <w:rsid w:val="35A1521B"/>
    <w:rsid w:val="35C29DAC"/>
    <w:rsid w:val="3662EA4B"/>
    <w:rsid w:val="376EBB7F"/>
    <w:rsid w:val="3A351651"/>
    <w:rsid w:val="3D1862C1"/>
    <w:rsid w:val="3D5FF282"/>
    <w:rsid w:val="3DA1CDDA"/>
    <w:rsid w:val="3DB1BB40"/>
    <w:rsid w:val="3F3B8D11"/>
    <w:rsid w:val="3FAF333E"/>
    <w:rsid w:val="3FF63A55"/>
    <w:rsid w:val="3FFEECB8"/>
    <w:rsid w:val="40EE8234"/>
    <w:rsid w:val="416EA166"/>
    <w:rsid w:val="43797CE4"/>
    <w:rsid w:val="43AF1264"/>
    <w:rsid w:val="4501FD38"/>
    <w:rsid w:val="4510EA1C"/>
    <w:rsid w:val="4525F178"/>
    <w:rsid w:val="4547DB38"/>
    <w:rsid w:val="474B2BEC"/>
    <w:rsid w:val="48FFA8F6"/>
    <w:rsid w:val="49D78DB8"/>
    <w:rsid w:val="4A23DB85"/>
    <w:rsid w:val="4AA80A79"/>
    <w:rsid w:val="4B8C58FD"/>
    <w:rsid w:val="4B8DCF0F"/>
    <w:rsid w:val="4BD1C9DF"/>
    <w:rsid w:val="4C5A7AA8"/>
    <w:rsid w:val="4CE23F2D"/>
    <w:rsid w:val="4DD42622"/>
    <w:rsid w:val="50BF2675"/>
    <w:rsid w:val="5168FC0A"/>
    <w:rsid w:val="51969104"/>
    <w:rsid w:val="5208258A"/>
    <w:rsid w:val="52A16A03"/>
    <w:rsid w:val="535BC65F"/>
    <w:rsid w:val="53F68396"/>
    <w:rsid w:val="53F72C64"/>
    <w:rsid w:val="552CEB8C"/>
    <w:rsid w:val="5608C105"/>
    <w:rsid w:val="56A3DF22"/>
    <w:rsid w:val="58ABDAB9"/>
    <w:rsid w:val="58EDC27B"/>
    <w:rsid w:val="5912B6A2"/>
    <w:rsid w:val="5A006D61"/>
    <w:rsid w:val="5A18C025"/>
    <w:rsid w:val="5A83FCF0"/>
    <w:rsid w:val="5AF4483B"/>
    <w:rsid w:val="5C58F33D"/>
    <w:rsid w:val="5C733199"/>
    <w:rsid w:val="5CDB4A1D"/>
    <w:rsid w:val="5DFC2882"/>
    <w:rsid w:val="5E0FBCE9"/>
    <w:rsid w:val="5E2C3087"/>
    <w:rsid w:val="616934D9"/>
    <w:rsid w:val="62E557E1"/>
    <w:rsid w:val="640D9EC3"/>
    <w:rsid w:val="6511F3C1"/>
    <w:rsid w:val="65915F31"/>
    <w:rsid w:val="66512A67"/>
    <w:rsid w:val="66C1C501"/>
    <w:rsid w:val="67673A5E"/>
    <w:rsid w:val="6894D970"/>
    <w:rsid w:val="6909C955"/>
    <w:rsid w:val="691B078C"/>
    <w:rsid w:val="6BB604AA"/>
    <w:rsid w:val="6C121893"/>
    <w:rsid w:val="6C37D0D0"/>
    <w:rsid w:val="6CC06B7A"/>
    <w:rsid w:val="6D1B0177"/>
    <w:rsid w:val="6E497769"/>
    <w:rsid w:val="6E53A5C5"/>
    <w:rsid w:val="6F323216"/>
    <w:rsid w:val="70AECF63"/>
    <w:rsid w:val="70F5E199"/>
    <w:rsid w:val="724AC7FD"/>
    <w:rsid w:val="73DB4188"/>
    <w:rsid w:val="77E2A544"/>
    <w:rsid w:val="7B6B44C3"/>
    <w:rsid w:val="7ECEA67E"/>
    <w:rsid w:val="7F044568"/>
    <w:rsid w:val="7FDD01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700FDD9"/>
  <w15:docId w15:val="{22AFB93E-7746-48C1-AE23-D394F46F4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FDC"/>
    <w:pPr>
      <w:spacing w:before="120" w:after="120" w:line="240" w:lineRule="auto"/>
    </w:pPr>
    <w:rPr>
      <w:rFonts w:cs="Arial"/>
      <w:sz w:val="24"/>
    </w:rPr>
  </w:style>
  <w:style w:type="paragraph" w:styleId="Heading1">
    <w:name w:val="heading 1"/>
    <w:aliases w:val="Heading - Recommendations"/>
    <w:next w:val="Normal"/>
    <w:link w:val="Heading1Char"/>
    <w:uiPriority w:val="9"/>
    <w:qFormat/>
    <w:rsid w:val="005A67CF"/>
    <w:pPr>
      <w:spacing w:before="240" w:after="120" w:line="240" w:lineRule="auto"/>
      <w:jc w:val="both"/>
      <w:outlineLvl w:val="0"/>
    </w:pPr>
    <w:rPr>
      <w:rFonts w:cs="Arial"/>
      <w:b/>
      <w:sz w:val="24"/>
      <w:szCs w:val="26"/>
    </w:rPr>
  </w:style>
  <w:style w:type="paragraph" w:styleId="Heading2">
    <w:name w:val="heading 2"/>
    <w:aliases w:val="Headings"/>
    <w:basedOn w:val="NoSpacing"/>
    <w:next w:val="Normal"/>
    <w:link w:val="Heading2Char"/>
    <w:uiPriority w:val="9"/>
    <w:unhideWhenUsed/>
    <w:qFormat/>
    <w:rsid w:val="005A67CF"/>
    <w:pPr>
      <w:numPr>
        <w:numId w:val="0"/>
      </w:numPr>
      <w:spacing w:before="240"/>
      <w:ind w:left="357" w:hanging="357"/>
      <w:jc w:val="both"/>
      <w:outlineLvl w:val="1"/>
    </w:pPr>
    <w:rPr>
      <w:sz w:val="24"/>
    </w:rPr>
  </w:style>
  <w:style w:type="paragraph" w:styleId="Heading3">
    <w:name w:val="heading 3"/>
    <w:basedOn w:val="Normal"/>
    <w:next w:val="Normal"/>
    <w:link w:val="Heading3Char"/>
    <w:uiPriority w:val="9"/>
    <w:unhideWhenUsed/>
    <w:rsid w:val="00BD1614"/>
    <w:pPr>
      <w:outlineLvl w:val="2"/>
    </w:pPr>
    <w:rPr>
      <w:rFonts w:cstheme="minorHAns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1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55E7"/>
    <w:pPr>
      <w:contextualSpacing/>
    </w:pPr>
  </w:style>
  <w:style w:type="character" w:styleId="PlaceholderText">
    <w:name w:val="Placeholder Text"/>
    <w:basedOn w:val="DefaultParagraphFont"/>
    <w:uiPriority w:val="99"/>
    <w:semiHidden/>
    <w:rsid w:val="001E358A"/>
    <w:rPr>
      <w:color w:val="808080"/>
    </w:rPr>
  </w:style>
  <w:style w:type="paragraph" w:styleId="BalloonText">
    <w:name w:val="Balloon Text"/>
    <w:basedOn w:val="Normal"/>
    <w:link w:val="BalloonTextChar"/>
    <w:uiPriority w:val="99"/>
    <w:semiHidden/>
    <w:unhideWhenUsed/>
    <w:rsid w:val="001E358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58A"/>
    <w:rPr>
      <w:rFonts w:ascii="Tahoma" w:hAnsi="Tahoma" w:cs="Tahoma"/>
      <w:sz w:val="16"/>
      <w:szCs w:val="16"/>
    </w:rPr>
  </w:style>
  <w:style w:type="paragraph" w:styleId="NoSpacing">
    <w:name w:val="No Spacing"/>
    <w:aliases w:val="Recommendations"/>
    <w:link w:val="NoSpacingChar"/>
    <w:uiPriority w:val="1"/>
    <w:qFormat/>
    <w:rsid w:val="00F5504A"/>
    <w:pPr>
      <w:numPr>
        <w:numId w:val="2"/>
      </w:numPr>
      <w:spacing w:after="120" w:line="240" w:lineRule="auto"/>
    </w:pPr>
    <w:rPr>
      <w:rFonts w:cs="Arial"/>
      <w:b/>
      <w:sz w:val="28"/>
    </w:rPr>
  </w:style>
  <w:style w:type="character" w:customStyle="1" w:styleId="Heading2Char">
    <w:name w:val="Heading 2 Char"/>
    <w:aliases w:val="Headings Char"/>
    <w:basedOn w:val="DefaultParagraphFont"/>
    <w:link w:val="Heading2"/>
    <w:uiPriority w:val="9"/>
    <w:rsid w:val="005A67CF"/>
    <w:rPr>
      <w:rFonts w:cs="Arial"/>
      <w:b/>
      <w:sz w:val="24"/>
    </w:rPr>
  </w:style>
  <w:style w:type="character" w:customStyle="1" w:styleId="Heading1Char">
    <w:name w:val="Heading 1 Char"/>
    <w:aliases w:val="Heading - Recommendations Char"/>
    <w:basedOn w:val="DefaultParagraphFont"/>
    <w:link w:val="Heading1"/>
    <w:uiPriority w:val="9"/>
    <w:rsid w:val="005A67CF"/>
    <w:rPr>
      <w:rFonts w:cs="Arial"/>
      <w:b/>
      <w:sz w:val="24"/>
      <w:szCs w:val="26"/>
    </w:rPr>
  </w:style>
  <w:style w:type="character" w:styleId="BookTitle">
    <w:name w:val="Book Title"/>
    <w:aliases w:val="Centre Align"/>
    <w:uiPriority w:val="33"/>
    <w:qFormat/>
    <w:rsid w:val="0028655A"/>
  </w:style>
  <w:style w:type="character" w:styleId="IntenseReference">
    <w:name w:val="Intense Reference"/>
    <w:aliases w:val="Right Align"/>
    <w:uiPriority w:val="32"/>
    <w:qFormat/>
    <w:rsid w:val="0028655A"/>
  </w:style>
  <w:style w:type="character" w:styleId="SubtleReference">
    <w:name w:val="Subtle Reference"/>
    <w:aliases w:val="Paper Title"/>
    <w:uiPriority w:val="31"/>
    <w:qFormat/>
    <w:rsid w:val="004E777A"/>
    <w:rPr>
      <w:b/>
    </w:rPr>
  </w:style>
  <w:style w:type="character" w:styleId="SubtleEmphasis">
    <w:name w:val="Subtle Emphasis"/>
    <w:aliases w:val="Figures"/>
    <w:uiPriority w:val="19"/>
    <w:qFormat/>
    <w:rsid w:val="00BA256E"/>
    <w:rPr>
      <w:rFonts w:ascii="Calibri" w:hAnsi="Calibri"/>
      <w:b/>
      <w:sz w:val="22"/>
    </w:rPr>
  </w:style>
  <w:style w:type="character" w:styleId="Emphasis">
    <w:name w:val="Emphasis"/>
    <w:aliases w:val="Contact Heading"/>
    <w:basedOn w:val="SubtleEmphasis"/>
    <w:uiPriority w:val="20"/>
    <w:qFormat/>
    <w:rsid w:val="002A4FD2"/>
    <w:rPr>
      <w:rFonts w:ascii="Calibri" w:hAnsi="Calibri"/>
      <w:b/>
      <w:sz w:val="18"/>
    </w:rPr>
  </w:style>
  <w:style w:type="character" w:styleId="IntenseEmphasis">
    <w:name w:val="Intense Emphasis"/>
    <w:aliases w:val="Contact List"/>
    <w:uiPriority w:val="21"/>
    <w:qFormat/>
    <w:rsid w:val="002A4FD2"/>
    <w:rPr>
      <w:sz w:val="18"/>
    </w:rPr>
  </w:style>
  <w:style w:type="paragraph" w:styleId="Header">
    <w:name w:val="header"/>
    <w:basedOn w:val="Normal"/>
    <w:link w:val="HeaderChar"/>
    <w:uiPriority w:val="99"/>
    <w:unhideWhenUsed/>
    <w:rsid w:val="00003580"/>
    <w:pPr>
      <w:tabs>
        <w:tab w:val="center" w:pos="4513"/>
        <w:tab w:val="right" w:pos="9026"/>
      </w:tabs>
      <w:spacing w:after="0"/>
    </w:pPr>
  </w:style>
  <w:style w:type="character" w:customStyle="1" w:styleId="HeaderChar">
    <w:name w:val="Header Char"/>
    <w:basedOn w:val="DefaultParagraphFont"/>
    <w:link w:val="Header"/>
    <w:uiPriority w:val="99"/>
    <w:rsid w:val="00003580"/>
    <w:rPr>
      <w:rFonts w:cs="Arial"/>
      <w:sz w:val="24"/>
    </w:rPr>
  </w:style>
  <w:style w:type="paragraph" w:styleId="Footer">
    <w:name w:val="footer"/>
    <w:basedOn w:val="Normal"/>
    <w:link w:val="FooterChar"/>
    <w:uiPriority w:val="99"/>
    <w:unhideWhenUsed/>
    <w:rsid w:val="00003580"/>
    <w:pPr>
      <w:tabs>
        <w:tab w:val="center" w:pos="4513"/>
        <w:tab w:val="right" w:pos="9026"/>
      </w:tabs>
      <w:spacing w:after="0"/>
    </w:pPr>
  </w:style>
  <w:style w:type="character" w:customStyle="1" w:styleId="FooterChar">
    <w:name w:val="Footer Char"/>
    <w:basedOn w:val="DefaultParagraphFont"/>
    <w:link w:val="Footer"/>
    <w:uiPriority w:val="99"/>
    <w:rsid w:val="00003580"/>
    <w:rPr>
      <w:rFonts w:cs="Arial"/>
      <w:sz w:val="24"/>
    </w:rPr>
  </w:style>
  <w:style w:type="character" w:customStyle="1" w:styleId="Heading3Char">
    <w:name w:val="Heading 3 Char"/>
    <w:basedOn w:val="DefaultParagraphFont"/>
    <w:link w:val="Heading3"/>
    <w:uiPriority w:val="9"/>
    <w:rsid w:val="00BD1614"/>
    <w:rPr>
      <w:rFonts w:cstheme="minorHAnsi"/>
      <w:b/>
      <w:i/>
      <w:sz w:val="24"/>
      <w:szCs w:val="24"/>
    </w:rPr>
  </w:style>
  <w:style w:type="paragraph" w:styleId="BodyTextIndent3">
    <w:name w:val="Body Text Indent 3"/>
    <w:basedOn w:val="Normal"/>
    <w:link w:val="BodyTextIndent3Char"/>
    <w:uiPriority w:val="99"/>
    <w:semiHidden/>
    <w:unhideWhenUsed/>
    <w:rsid w:val="00003580"/>
    <w:pPr>
      <w:ind w:left="283"/>
    </w:pPr>
    <w:rPr>
      <w:rFonts w:ascii="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003580"/>
    <w:rPr>
      <w:rFonts w:ascii="Times New Roman" w:hAnsi="Times New Roman" w:cs="Times New Roman"/>
      <w:sz w:val="16"/>
      <w:szCs w:val="16"/>
    </w:rPr>
  </w:style>
  <w:style w:type="character" w:styleId="Strong">
    <w:name w:val="Strong"/>
    <w:aliases w:val="Template info"/>
    <w:uiPriority w:val="22"/>
    <w:qFormat/>
    <w:rsid w:val="00003580"/>
    <w:rPr>
      <w:rFonts w:asciiTheme="minorHAnsi" w:hAnsiTheme="minorHAnsi"/>
      <w:color w:val="548DD4"/>
      <w:sz w:val="18"/>
      <w:szCs w:val="24"/>
      <w:lang w:val="en-US"/>
    </w:rPr>
  </w:style>
  <w:style w:type="character" w:customStyle="1" w:styleId="NoSpacingChar">
    <w:name w:val="No Spacing Char"/>
    <w:aliases w:val="Recommendations Char"/>
    <w:basedOn w:val="DefaultParagraphFont"/>
    <w:link w:val="NoSpacing"/>
    <w:uiPriority w:val="1"/>
    <w:rsid w:val="00F5504A"/>
    <w:rPr>
      <w:rFonts w:cs="Arial"/>
      <w:b/>
      <w:sz w:val="28"/>
    </w:rPr>
  </w:style>
  <w:style w:type="paragraph" w:styleId="List">
    <w:name w:val="List"/>
    <w:basedOn w:val="Normal"/>
    <w:uiPriority w:val="99"/>
    <w:semiHidden/>
    <w:unhideWhenUsed/>
    <w:rsid w:val="00F5504A"/>
    <w:pPr>
      <w:ind w:left="283" w:hanging="283"/>
      <w:contextualSpacing/>
    </w:pPr>
  </w:style>
  <w:style w:type="paragraph" w:styleId="ListContinue">
    <w:name w:val="List Continue"/>
    <w:basedOn w:val="Normal"/>
    <w:uiPriority w:val="99"/>
    <w:semiHidden/>
    <w:unhideWhenUsed/>
    <w:rsid w:val="00F5504A"/>
    <w:pPr>
      <w:ind w:left="283"/>
      <w:contextualSpacing/>
    </w:pPr>
  </w:style>
  <w:style w:type="paragraph" w:styleId="IntenseQuote">
    <w:name w:val="Intense Quote"/>
    <w:basedOn w:val="Normal"/>
    <w:next w:val="Normal"/>
    <w:link w:val="IntenseQuoteChar"/>
    <w:uiPriority w:val="30"/>
    <w:qFormat/>
    <w:rsid w:val="00D52AB3"/>
    <w:rPr>
      <w:bCs/>
      <w:iCs/>
    </w:rPr>
  </w:style>
  <w:style w:type="character" w:customStyle="1" w:styleId="IntenseQuoteChar">
    <w:name w:val="Intense Quote Char"/>
    <w:basedOn w:val="DefaultParagraphFont"/>
    <w:link w:val="IntenseQuote"/>
    <w:uiPriority w:val="30"/>
    <w:rsid w:val="00D52AB3"/>
    <w:rPr>
      <w:rFonts w:cs="Arial"/>
      <w:bCs/>
      <w:iCs/>
      <w:sz w:val="24"/>
    </w:rPr>
  </w:style>
  <w:style w:type="character" w:styleId="CommentReference">
    <w:name w:val="annotation reference"/>
    <w:basedOn w:val="DefaultParagraphFont"/>
    <w:uiPriority w:val="99"/>
    <w:semiHidden/>
    <w:unhideWhenUsed/>
    <w:rsid w:val="005D3ECE"/>
    <w:rPr>
      <w:sz w:val="16"/>
      <w:szCs w:val="16"/>
    </w:rPr>
  </w:style>
  <w:style w:type="paragraph" w:styleId="CommentText">
    <w:name w:val="annotation text"/>
    <w:basedOn w:val="Normal"/>
    <w:link w:val="CommentTextChar"/>
    <w:uiPriority w:val="99"/>
    <w:semiHidden/>
    <w:unhideWhenUsed/>
    <w:rsid w:val="005D3ECE"/>
    <w:rPr>
      <w:sz w:val="20"/>
      <w:szCs w:val="20"/>
    </w:rPr>
  </w:style>
  <w:style w:type="character" w:customStyle="1" w:styleId="CommentTextChar">
    <w:name w:val="Comment Text Char"/>
    <w:basedOn w:val="DefaultParagraphFont"/>
    <w:link w:val="CommentText"/>
    <w:uiPriority w:val="99"/>
    <w:semiHidden/>
    <w:rsid w:val="005D3ECE"/>
    <w:rPr>
      <w:rFonts w:cs="Arial"/>
      <w:sz w:val="20"/>
      <w:szCs w:val="20"/>
    </w:rPr>
  </w:style>
  <w:style w:type="paragraph" w:styleId="CommentSubject">
    <w:name w:val="annotation subject"/>
    <w:basedOn w:val="CommentText"/>
    <w:next w:val="CommentText"/>
    <w:link w:val="CommentSubjectChar"/>
    <w:uiPriority w:val="99"/>
    <w:semiHidden/>
    <w:unhideWhenUsed/>
    <w:rsid w:val="005D3ECE"/>
    <w:rPr>
      <w:b/>
      <w:bCs/>
    </w:rPr>
  </w:style>
  <w:style w:type="character" w:customStyle="1" w:styleId="CommentSubjectChar">
    <w:name w:val="Comment Subject Char"/>
    <w:basedOn w:val="CommentTextChar"/>
    <w:link w:val="CommentSubject"/>
    <w:uiPriority w:val="99"/>
    <w:semiHidden/>
    <w:rsid w:val="005D3ECE"/>
    <w:rPr>
      <w:rFonts w:cs="Arial"/>
      <w:b/>
      <w:bCs/>
      <w:sz w:val="20"/>
      <w:szCs w:val="20"/>
    </w:rPr>
  </w:style>
  <w:style w:type="paragraph" w:styleId="Revision">
    <w:name w:val="Revision"/>
    <w:hidden/>
    <w:uiPriority w:val="99"/>
    <w:semiHidden/>
    <w:rsid w:val="00D248D1"/>
    <w:pPr>
      <w:spacing w:after="0" w:line="240" w:lineRule="auto"/>
    </w:pPr>
    <w:rPr>
      <w:rFonts w:cs="Arial"/>
      <w:sz w:val="24"/>
    </w:rPr>
  </w:style>
  <w:style w:type="paragraph" w:styleId="Title">
    <w:name w:val="Title"/>
    <w:basedOn w:val="Normal"/>
    <w:next w:val="Normal"/>
    <w:link w:val="TitleChar"/>
    <w:qFormat/>
    <w:rsid w:val="00176669"/>
    <w:pPr>
      <w:spacing w:after="0"/>
      <w:contextualSpacing/>
    </w:pPr>
    <w:rPr>
      <w:rFonts w:ascii="Arial" w:eastAsiaTheme="majorEastAsia" w:hAnsi="Arial" w:cstheme="majorBidi"/>
      <w:b/>
      <w:color w:val="13396E"/>
      <w:kern w:val="28"/>
      <w:sz w:val="40"/>
      <w:szCs w:val="52"/>
    </w:rPr>
  </w:style>
  <w:style w:type="character" w:customStyle="1" w:styleId="TitleChar">
    <w:name w:val="Title Char"/>
    <w:basedOn w:val="DefaultParagraphFont"/>
    <w:link w:val="Title"/>
    <w:rsid w:val="00176669"/>
    <w:rPr>
      <w:rFonts w:ascii="Arial" w:eastAsiaTheme="majorEastAsia" w:hAnsi="Arial" w:cstheme="majorBidi"/>
      <w:b/>
      <w:color w:val="13396E"/>
      <w:kern w:val="28"/>
      <w:sz w:val="40"/>
      <w:szCs w:val="52"/>
    </w:rPr>
  </w:style>
  <w:style w:type="paragraph" w:customStyle="1" w:styleId="Default">
    <w:name w:val="Default"/>
    <w:rsid w:val="00B94DD6"/>
    <w:pPr>
      <w:autoSpaceDE w:val="0"/>
      <w:autoSpaceDN w:val="0"/>
      <w:adjustRightInd w:val="0"/>
      <w:spacing w:after="0" w:line="240" w:lineRule="auto"/>
    </w:pPr>
    <w:rPr>
      <w:rFonts w:ascii="Tahoma" w:hAnsi="Tahoma" w:cs="Tahoma"/>
      <w:color w:val="000000"/>
      <w:sz w:val="24"/>
      <w:szCs w:val="24"/>
    </w:rPr>
  </w:style>
  <w:style w:type="paragraph" w:styleId="FootnoteText">
    <w:name w:val="footnote text"/>
    <w:basedOn w:val="Normal"/>
    <w:link w:val="FootnoteTextChar"/>
    <w:uiPriority w:val="99"/>
    <w:semiHidden/>
    <w:unhideWhenUsed/>
    <w:rsid w:val="00B94DD6"/>
    <w:pPr>
      <w:spacing w:after="0"/>
    </w:pPr>
    <w:rPr>
      <w:sz w:val="20"/>
      <w:szCs w:val="20"/>
    </w:rPr>
  </w:style>
  <w:style w:type="character" w:customStyle="1" w:styleId="FootnoteTextChar">
    <w:name w:val="Footnote Text Char"/>
    <w:basedOn w:val="DefaultParagraphFont"/>
    <w:link w:val="FootnoteText"/>
    <w:uiPriority w:val="99"/>
    <w:semiHidden/>
    <w:rsid w:val="00B94DD6"/>
    <w:rPr>
      <w:rFonts w:cs="Arial"/>
      <w:sz w:val="20"/>
      <w:szCs w:val="20"/>
    </w:rPr>
  </w:style>
  <w:style w:type="character" w:styleId="FootnoteReference">
    <w:name w:val="footnote reference"/>
    <w:basedOn w:val="DefaultParagraphFont"/>
    <w:uiPriority w:val="99"/>
    <w:semiHidden/>
    <w:unhideWhenUsed/>
    <w:rsid w:val="00B94DD6"/>
    <w:rPr>
      <w:vertAlign w:val="superscript"/>
    </w:rPr>
  </w:style>
  <w:style w:type="character" w:styleId="Hyperlink">
    <w:name w:val="Hyperlink"/>
    <w:basedOn w:val="DefaultParagraphFont"/>
    <w:uiPriority w:val="99"/>
    <w:unhideWhenUsed/>
    <w:rsid w:val="006E33E5"/>
    <w:rPr>
      <w:color w:val="0000FF" w:themeColor="hyperlink"/>
      <w:u w:val="single"/>
    </w:rPr>
  </w:style>
  <w:style w:type="table" w:customStyle="1" w:styleId="ListTable3-Accent11">
    <w:name w:val="List Table 3 - Accent 11"/>
    <w:basedOn w:val="TableNormal"/>
    <w:uiPriority w:val="48"/>
    <w:rsid w:val="00E70C7E"/>
    <w:pPr>
      <w:spacing w:after="0" w:line="240" w:lineRule="auto"/>
    </w:pPr>
    <w:rPr>
      <w:rFonts w:ascii="Times New Roman" w:hAnsi="Times New Roman" w:cs="Times New Roman"/>
      <w:sz w:val="24"/>
      <w:szCs w:val="24"/>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GridTable2-Accent31">
    <w:name w:val="Grid Table 2 - Accent 31"/>
    <w:basedOn w:val="TableNormal"/>
    <w:uiPriority w:val="47"/>
    <w:rsid w:val="004C7C10"/>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EndnoteText">
    <w:name w:val="endnote text"/>
    <w:basedOn w:val="Normal"/>
    <w:link w:val="EndnoteTextChar"/>
    <w:uiPriority w:val="99"/>
    <w:unhideWhenUsed/>
    <w:rsid w:val="00C65E13"/>
    <w:pPr>
      <w:spacing w:after="0"/>
    </w:pPr>
    <w:rPr>
      <w:sz w:val="20"/>
      <w:szCs w:val="20"/>
    </w:rPr>
  </w:style>
  <w:style w:type="character" w:customStyle="1" w:styleId="EndnoteTextChar">
    <w:name w:val="Endnote Text Char"/>
    <w:basedOn w:val="DefaultParagraphFont"/>
    <w:link w:val="EndnoteText"/>
    <w:uiPriority w:val="99"/>
    <w:rsid w:val="00C65E13"/>
    <w:rPr>
      <w:rFonts w:cs="Arial"/>
      <w:sz w:val="20"/>
      <w:szCs w:val="20"/>
    </w:rPr>
  </w:style>
  <w:style w:type="character" w:styleId="EndnoteReference">
    <w:name w:val="endnote reference"/>
    <w:basedOn w:val="DefaultParagraphFont"/>
    <w:uiPriority w:val="99"/>
    <w:semiHidden/>
    <w:unhideWhenUsed/>
    <w:rsid w:val="00C65E13"/>
    <w:rPr>
      <w:vertAlign w:val="superscript"/>
    </w:rPr>
  </w:style>
  <w:style w:type="character" w:styleId="HTMLCite">
    <w:name w:val="HTML Cite"/>
    <w:basedOn w:val="DefaultParagraphFont"/>
    <w:uiPriority w:val="99"/>
    <w:semiHidden/>
    <w:unhideWhenUsed/>
    <w:rsid w:val="00E40923"/>
    <w:rPr>
      <w:i/>
      <w:iCs/>
    </w:rPr>
  </w:style>
  <w:style w:type="table" w:customStyle="1" w:styleId="ListTable3-Accent110">
    <w:name w:val="List Table 3 - Accent 11"/>
    <w:basedOn w:val="TableNormal"/>
    <w:uiPriority w:val="48"/>
    <w:rsid w:val="003D6D2C"/>
    <w:pPr>
      <w:spacing w:after="0" w:line="240" w:lineRule="auto"/>
    </w:pPr>
    <w:rPr>
      <w:rFonts w:ascii="Times New Roman" w:hAnsi="Times New Roman" w:cs="Times New Roman"/>
      <w:sz w:val="24"/>
      <w:szCs w:val="24"/>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NormalWeb">
    <w:name w:val="Normal (Web)"/>
    <w:basedOn w:val="Normal"/>
    <w:uiPriority w:val="99"/>
    <w:unhideWhenUsed/>
    <w:rsid w:val="00410DB1"/>
    <w:pPr>
      <w:spacing w:before="100" w:beforeAutospacing="1" w:after="100" w:afterAutospacing="1"/>
    </w:pPr>
    <w:rPr>
      <w:rFonts w:ascii="Times New Roman" w:eastAsia="Times New Roman" w:hAnsi="Times New Roman" w:cs="Times New Roman"/>
      <w:szCs w:val="24"/>
      <w:lang w:eastAsia="en-AU"/>
    </w:rPr>
  </w:style>
  <w:style w:type="table" w:customStyle="1" w:styleId="TableGrid1">
    <w:name w:val="Table Grid1"/>
    <w:basedOn w:val="TableNormal"/>
    <w:next w:val="TableGrid"/>
    <w:uiPriority w:val="39"/>
    <w:rsid w:val="00E17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41419">
      <w:bodyDiv w:val="1"/>
      <w:marLeft w:val="0"/>
      <w:marRight w:val="0"/>
      <w:marTop w:val="0"/>
      <w:marBottom w:val="0"/>
      <w:divBdr>
        <w:top w:val="none" w:sz="0" w:space="0" w:color="auto"/>
        <w:left w:val="none" w:sz="0" w:space="0" w:color="auto"/>
        <w:bottom w:val="none" w:sz="0" w:space="0" w:color="auto"/>
        <w:right w:val="none" w:sz="0" w:space="0" w:color="auto"/>
      </w:divBdr>
    </w:div>
    <w:div w:id="308634531">
      <w:bodyDiv w:val="1"/>
      <w:marLeft w:val="0"/>
      <w:marRight w:val="0"/>
      <w:marTop w:val="0"/>
      <w:marBottom w:val="0"/>
      <w:divBdr>
        <w:top w:val="none" w:sz="0" w:space="0" w:color="auto"/>
        <w:left w:val="none" w:sz="0" w:space="0" w:color="auto"/>
        <w:bottom w:val="none" w:sz="0" w:space="0" w:color="auto"/>
        <w:right w:val="none" w:sz="0" w:space="0" w:color="auto"/>
      </w:divBdr>
      <w:divsChild>
        <w:div w:id="422342948">
          <w:marLeft w:val="0"/>
          <w:marRight w:val="0"/>
          <w:marTop w:val="0"/>
          <w:marBottom w:val="0"/>
          <w:divBdr>
            <w:top w:val="none" w:sz="0" w:space="0" w:color="auto"/>
            <w:left w:val="none" w:sz="0" w:space="0" w:color="auto"/>
            <w:bottom w:val="none" w:sz="0" w:space="0" w:color="auto"/>
            <w:right w:val="none" w:sz="0" w:space="0" w:color="auto"/>
          </w:divBdr>
          <w:divsChild>
            <w:div w:id="1360080076">
              <w:marLeft w:val="0"/>
              <w:marRight w:val="0"/>
              <w:marTop w:val="0"/>
              <w:marBottom w:val="0"/>
              <w:divBdr>
                <w:top w:val="none" w:sz="0" w:space="0" w:color="auto"/>
                <w:left w:val="none" w:sz="0" w:space="0" w:color="auto"/>
                <w:bottom w:val="none" w:sz="0" w:space="0" w:color="auto"/>
                <w:right w:val="none" w:sz="0" w:space="0" w:color="auto"/>
              </w:divBdr>
              <w:divsChild>
                <w:div w:id="1249122271">
                  <w:marLeft w:val="0"/>
                  <w:marRight w:val="0"/>
                  <w:marTop w:val="0"/>
                  <w:marBottom w:val="0"/>
                  <w:divBdr>
                    <w:top w:val="none" w:sz="0" w:space="0" w:color="auto"/>
                    <w:left w:val="none" w:sz="0" w:space="0" w:color="auto"/>
                    <w:bottom w:val="none" w:sz="0" w:space="0" w:color="auto"/>
                    <w:right w:val="none" w:sz="0" w:space="0" w:color="auto"/>
                  </w:divBdr>
                  <w:divsChild>
                    <w:div w:id="1015376341">
                      <w:marLeft w:val="0"/>
                      <w:marRight w:val="0"/>
                      <w:marTop w:val="0"/>
                      <w:marBottom w:val="0"/>
                      <w:divBdr>
                        <w:top w:val="none" w:sz="0" w:space="0" w:color="auto"/>
                        <w:left w:val="none" w:sz="0" w:space="0" w:color="auto"/>
                        <w:bottom w:val="none" w:sz="0" w:space="0" w:color="auto"/>
                        <w:right w:val="none" w:sz="0" w:space="0" w:color="auto"/>
                      </w:divBdr>
                      <w:divsChild>
                        <w:div w:id="1370229258">
                          <w:marLeft w:val="0"/>
                          <w:marRight w:val="0"/>
                          <w:marTop w:val="0"/>
                          <w:marBottom w:val="0"/>
                          <w:divBdr>
                            <w:top w:val="none" w:sz="0" w:space="0" w:color="auto"/>
                            <w:left w:val="none" w:sz="0" w:space="0" w:color="auto"/>
                            <w:bottom w:val="none" w:sz="0" w:space="0" w:color="auto"/>
                            <w:right w:val="none" w:sz="0" w:space="0" w:color="auto"/>
                          </w:divBdr>
                          <w:divsChild>
                            <w:div w:id="174071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120360">
      <w:bodyDiv w:val="1"/>
      <w:marLeft w:val="0"/>
      <w:marRight w:val="0"/>
      <w:marTop w:val="0"/>
      <w:marBottom w:val="0"/>
      <w:divBdr>
        <w:top w:val="none" w:sz="0" w:space="0" w:color="auto"/>
        <w:left w:val="none" w:sz="0" w:space="0" w:color="auto"/>
        <w:bottom w:val="none" w:sz="0" w:space="0" w:color="auto"/>
        <w:right w:val="none" w:sz="0" w:space="0" w:color="auto"/>
      </w:divBdr>
    </w:div>
    <w:div w:id="399988454">
      <w:bodyDiv w:val="1"/>
      <w:marLeft w:val="0"/>
      <w:marRight w:val="0"/>
      <w:marTop w:val="0"/>
      <w:marBottom w:val="0"/>
      <w:divBdr>
        <w:top w:val="none" w:sz="0" w:space="0" w:color="auto"/>
        <w:left w:val="none" w:sz="0" w:space="0" w:color="auto"/>
        <w:bottom w:val="none" w:sz="0" w:space="0" w:color="auto"/>
        <w:right w:val="none" w:sz="0" w:space="0" w:color="auto"/>
      </w:divBdr>
    </w:div>
    <w:div w:id="720906203">
      <w:bodyDiv w:val="1"/>
      <w:marLeft w:val="0"/>
      <w:marRight w:val="0"/>
      <w:marTop w:val="0"/>
      <w:marBottom w:val="0"/>
      <w:divBdr>
        <w:top w:val="none" w:sz="0" w:space="0" w:color="auto"/>
        <w:left w:val="none" w:sz="0" w:space="0" w:color="auto"/>
        <w:bottom w:val="none" w:sz="0" w:space="0" w:color="auto"/>
        <w:right w:val="none" w:sz="0" w:space="0" w:color="auto"/>
      </w:divBdr>
    </w:div>
    <w:div w:id="857818771">
      <w:bodyDiv w:val="1"/>
      <w:marLeft w:val="0"/>
      <w:marRight w:val="0"/>
      <w:marTop w:val="0"/>
      <w:marBottom w:val="0"/>
      <w:divBdr>
        <w:top w:val="none" w:sz="0" w:space="0" w:color="auto"/>
        <w:left w:val="none" w:sz="0" w:space="0" w:color="auto"/>
        <w:bottom w:val="none" w:sz="0" w:space="0" w:color="auto"/>
        <w:right w:val="none" w:sz="0" w:space="0" w:color="auto"/>
      </w:divBdr>
    </w:div>
    <w:div w:id="914629471">
      <w:bodyDiv w:val="1"/>
      <w:marLeft w:val="0"/>
      <w:marRight w:val="0"/>
      <w:marTop w:val="0"/>
      <w:marBottom w:val="0"/>
      <w:divBdr>
        <w:top w:val="none" w:sz="0" w:space="0" w:color="auto"/>
        <w:left w:val="none" w:sz="0" w:space="0" w:color="auto"/>
        <w:bottom w:val="none" w:sz="0" w:space="0" w:color="auto"/>
        <w:right w:val="none" w:sz="0" w:space="0" w:color="auto"/>
      </w:divBdr>
    </w:div>
    <w:div w:id="1077362389">
      <w:bodyDiv w:val="1"/>
      <w:marLeft w:val="0"/>
      <w:marRight w:val="0"/>
      <w:marTop w:val="0"/>
      <w:marBottom w:val="0"/>
      <w:divBdr>
        <w:top w:val="none" w:sz="0" w:space="0" w:color="auto"/>
        <w:left w:val="none" w:sz="0" w:space="0" w:color="auto"/>
        <w:bottom w:val="none" w:sz="0" w:space="0" w:color="auto"/>
        <w:right w:val="none" w:sz="0" w:space="0" w:color="auto"/>
      </w:divBdr>
    </w:div>
    <w:div w:id="1340351117">
      <w:bodyDiv w:val="1"/>
      <w:marLeft w:val="0"/>
      <w:marRight w:val="0"/>
      <w:marTop w:val="0"/>
      <w:marBottom w:val="0"/>
      <w:divBdr>
        <w:top w:val="none" w:sz="0" w:space="0" w:color="auto"/>
        <w:left w:val="none" w:sz="0" w:space="0" w:color="auto"/>
        <w:bottom w:val="none" w:sz="0" w:space="0" w:color="auto"/>
        <w:right w:val="none" w:sz="0" w:space="0" w:color="auto"/>
      </w:divBdr>
      <w:divsChild>
        <w:div w:id="1229455726">
          <w:marLeft w:val="0"/>
          <w:marRight w:val="0"/>
          <w:marTop w:val="0"/>
          <w:marBottom w:val="0"/>
          <w:divBdr>
            <w:top w:val="none" w:sz="0" w:space="0" w:color="auto"/>
            <w:left w:val="none" w:sz="0" w:space="0" w:color="auto"/>
            <w:bottom w:val="none" w:sz="0" w:space="0" w:color="auto"/>
            <w:right w:val="none" w:sz="0" w:space="0" w:color="auto"/>
          </w:divBdr>
          <w:divsChild>
            <w:div w:id="6293603">
              <w:marLeft w:val="0"/>
              <w:marRight w:val="0"/>
              <w:marTop w:val="0"/>
              <w:marBottom w:val="0"/>
              <w:divBdr>
                <w:top w:val="none" w:sz="0" w:space="0" w:color="auto"/>
                <w:left w:val="none" w:sz="0" w:space="0" w:color="auto"/>
                <w:bottom w:val="none" w:sz="0" w:space="0" w:color="auto"/>
                <w:right w:val="none" w:sz="0" w:space="0" w:color="auto"/>
              </w:divBdr>
              <w:divsChild>
                <w:div w:id="2041737491">
                  <w:marLeft w:val="0"/>
                  <w:marRight w:val="0"/>
                  <w:marTop w:val="0"/>
                  <w:marBottom w:val="0"/>
                  <w:divBdr>
                    <w:top w:val="none" w:sz="0" w:space="0" w:color="auto"/>
                    <w:left w:val="none" w:sz="0" w:space="0" w:color="auto"/>
                    <w:bottom w:val="none" w:sz="0" w:space="0" w:color="auto"/>
                    <w:right w:val="none" w:sz="0" w:space="0" w:color="auto"/>
                  </w:divBdr>
                  <w:divsChild>
                    <w:div w:id="617683462">
                      <w:marLeft w:val="0"/>
                      <w:marRight w:val="0"/>
                      <w:marTop w:val="0"/>
                      <w:marBottom w:val="0"/>
                      <w:divBdr>
                        <w:top w:val="none" w:sz="0" w:space="0" w:color="auto"/>
                        <w:left w:val="none" w:sz="0" w:space="0" w:color="auto"/>
                        <w:bottom w:val="none" w:sz="0" w:space="0" w:color="auto"/>
                        <w:right w:val="none" w:sz="0" w:space="0" w:color="auto"/>
                      </w:divBdr>
                      <w:divsChild>
                        <w:div w:id="1874608847">
                          <w:marLeft w:val="0"/>
                          <w:marRight w:val="0"/>
                          <w:marTop w:val="0"/>
                          <w:marBottom w:val="0"/>
                          <w:divBdr>
                            <w:top w:val="none" w:sz="0" w:space="0" w:color="auto"/>
                            <w:left w:val="none" w:sz="0" w:space="0" w:color="auto"/>
                            <w:bottom w:val="none" w:sz="0" w:space="0" w:color="auto"/>
                            <w:right w:val="none" w:sz="0" w:space="0" w:color="auto"/>
                          </w:divBdr>
                          <w:divsChild>
                            <w:div w:id="18491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663752">
      <w:bodyDiv w:val="1"/>
      <w:marLeft w:val="0"/>
      <w:marRight w:val="0"/>
      <w:marTop w:val="0"/>
      <w:marBottom w:val="0"/>
      <w:divBdr>
        <w:top w:val="none" w:sz="0" w:space="0" w:color="auto"/>
        <w:left w:val="none" w:sz="0" w:space="0" w:color="auto"/>
        <w:bottom w:val="none" w:sz="0" w:space="0" w:color="auto"/>
        <w:right w:val="none" w:sz="0" w:space="0" w:color="auto"/>
      </w:divBdr>
    </w:div>
    <w:div w:id="1453284238">
      <w:bodyDiv w:val="1"/>
      <w:marLeft w:val="0"/>
      <w:marRight w:val="0"/>
      <w:marTop w:val="0"/>
      <w:marBottom w:val="0"/>
      <w:divBdr>
        <w:top w:val="none" w:sz="0" w:space="0" w:color="auto"/>
        <w:left w:val="none" w:sz="0" w:space="0" w:color="auto"/>
        <w:bottom w:val="none" w:sz="0" w:space="0" w:color="auto"/>
        <w:right w:val="none" w:sz="0" w:space="0" w:color="auto"/>
      </w:divBdr>
    </w:div>
    <w:div w:id="1458766281">
      <w:bodyDiv w:val="1"/>
      <w:marLeft w:val="0"/>
      <w:marRight w:val="0"/>
      <w:marTop w:val="0"/>
      <w:marBottom w:val="0"/>
      <w:divBdr>
        <w:top w:val="none" w:sz="0" w:space="0" w:color="auto"/>
        <w:left w:val="none" w:sz="0" w:space="0" w:color="auto"/>
        <w:bottom w:val="none" w:sz="0" w:space="0" w:color="auto"/>
        <w:right w:val="none" w:sz="0" w:space="0" w:color="auto"/>
      </w:divBdr>
      <w:divsChild>
        <w:div w:id="224224245">
          <w:marLeft w:val="0"/>
          <w:marRight w:val="0"/>
          <w:marTop w:val="0"/>
          <w:marBottom w:val="0"/>
          <w:divBdr>
            <w:top w:val="none" w:sz="0" w:space="0" w:color="auto"/>
            <w:left w:val="none" w:sz="0" w:space="0" w:color="auto"/>
            <w:bottom w:val="none" w:sz="0" w:space="0" w:color="auto"/>
            <w:right w:val="none" w:sz="0" w:space="0" w:color="auto"/>
          </w:divBdr>
          <w:divsChild>
            <w:div w:id="2073917762">
              <w:marLeft w:val="-225"/>
              <w:marRight w:val="-225"/>
              <w:marTop w:val="0"/>
              <w:marBottom w:val="0"/>
              <w:divBdr>
                <w:top w:val="none" w:sz="0" w:space="0" w:color="auto"/>
                <w:left w:val="none" w:sz="0" w:space="0" w:color="auto"/>
                <w:bottom w:val="none" w:sz="0" w:space="0" w:color="auto"/>
                <w:right w:val="none" w:sz="0" w:space="0" w:color="auto"/>
              </w:divBdr>
              <w:divsChild>
                <w:div w:id="856312937">
                  <w:marLeft w:val="0"/>
                  <w:marRight w:val="0"/>
                  <w:marTop w:val="0"/>
                  <w:marBottom w:val="0"/>
                  <w:divBdr>
                    <w:top w:val="none" w:sz="0" w:space="0" w:color="auto"/>
                    <w:left w:val="none" w:sz="0" w:space="0" w:color="auto"/>
                    <w:bottom w:val="none" w:sz="0" w:space="0" w:color="auto"/>
                    <w:right w:val="none" w:sz="0" w:space="0" w:color="auto"/>
                  </w:divBdr>
                  <w:divsChild>
                    <w:div w:id="176318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16171">
      <w:bodyDiv w:val="1"/>
      <w:marLeft w:val="0"/>
      <w:marRight w:val="0"/>
      <w:marTop w:val="0"/>
      <w:marBottom w:val="0"/>
      <w:divBdr>
        <w:top w:val="none" w:sz="0" w:space="0" w:color="auto"/>
        <w:left w:val="none" w:sz="0" w:space="0" w:color="auto"/>
        <w:bottom w:val="none" w:sz="0" w:space="0" w:color="auto"/>
        <w:right w:val="none" w:sz="0" w:space="0" w:color="auto"/>
      </w:divBdr>
    </w:div>
    <w:div w:id="1798404873">
      <w:bodyDiv w:val="1"/>
      <w:marLeft w:val="0"/>
      <w:marRight w:val="0"/>
      <w:marTop w:val="0"/>
      <w:marBottom w:val="0"/>
      <w:divBdr>
        <w:top w:val="none" w:sz="0" w:space="0" w:color="auto"/>
        <w:left w:val="none" w:sz="0" w:space="0" w:color="auto"/>
        <w:bottom w:val="none" w:sz="0" w:space="0" w:color="auto"/>
        <w:right w:val="none" w:sz="0" w:space="0" w:color="auto"/>
      </w:divBdr>
    </w:div>
    <w:div w:id="1800414427">
      <w:bodyDiv w:val="1"/>
      <w:marLeft w:val="0"/>
      <w:marRight w:val="0"/>
      <w:marTop w:val="0"/>
      <w:marBottom w:val="0"/>
      <w:divBdr>
        <w:top w:val="none" w:sz="0" w:space="0" w:color="auto"/>
        <w:left w:val="none" w:sz="0" w:space="0" w:color="auto"/>
        <w:bottom w:val="none" w:sz="0" w:space="0" w:color="auto"/>
        <w:right w:val="none" w:sz="0" w:space="0" w:color="auto"/>
      </w:divBdr>
    </w:div>
    <w:div w:id="1832334007">
      <w:bodyDiv w:val="1"/>
      <w:marLeft w:val="0"/>
      <w:marRight w:val="0"/>
      <w:marTop w:val="0"/>
      <w:marBottom w:val="0"/>
      <w:divBdr>
        <w:top w:val="none" w:sz="0" w:space="0" w:color="auto"/>
        <w:left w:val="none" w:sz="0" w:space="0" w:color="auto"/>
        <w:bottom w:val="none" w:sz="0" w:space="0" w:color="auto"/>
        <w:right w:val="none" w:sz="0" w:space="0" w:color="auto"/>
      </w:divBdr>
    </w:div>
    <w:div w:id="1924559367">
      <w:bodyDiv w:val="1"/>
      <w:marLeft w:val="0"/>
      <w:marRight w:val="0"/>
      <w:marTop w:val="0"/>
      <w:marBottom w:val="0"/>
      <w:divBdr>
        <w:top w:val="none" w:sz="0" w:space="0" w:color="auto"/>
        <w:left w:val="none" w:sz="0" w:space="0" w:color="auto"/>
        <w:bottom w:val="none" w:sz="0" w:space="0" w:color="auto"/>
        <w:right w:val="none" w:sz="0" w:space="0" w:color="auto"/>
      </w:divBdr>
    </w:div>
    <w:div w:id="1936326740">
      <w:bodyDiv w:val="1"/>
      <w:marLeft w:val="0"/>
      <w:marRight w:val="0"/>
      <w:marTop w:val="0"/>
      <w:marBottom w:val="0"/>
      <w:divBdr>
        <w:top w:val="none" w:sz="0" w:space="0" w:color="auto"/>
        <w:left w:val="none" w:sz="0" w:space="0" w:color="auto"/>
        <w:bottom w:val="none" w:sz="0" w:space="0" w:color="auto"/>
        <w:right w:val="none" w:sz="0" w:space="0" w:color="auto"/>
      </w:divBdr>
    </w:div>
    <w:div w:id="194079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38f726abd2b64560"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724569bdeda34c95"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2F6A0814CB4F4D96822A22A89DB662" ma:contentTypeVersion="7" ma:contentTypeDescription="Create a new document." ma:contentTypeScope="" ma:versionID="c30f73634b44295aa875bbe15777545b">
  <xsd:schema xmlns:xsd="http://www.w3.org/2001/XMLSchema" xmlns:xs="http://www.w3.org/2001/XMLSchema" xmlns:p="http://schemas.microsoft.com/office/2006/metadata/properties" xmlns:ns2="18c3eb6e-6732-4611-8ebe-7b7b57e90fa2" xmlns:ns3="27d35d66-890e-4494-8af6-07cc43d3679d" targetNamespace="http://schemas.microsoft.com/office/2006/metadata/properties" ma:root="true" ma:fieldsID="09929b74c51879a30aa2cbf14def0d1b" ns2:_="" ns3:_="">
    <xsd:import namespace="18c3eb6e-6732-4611-8ebe-7b7b57e90fa2"/>
    <xsd:import namespace="27d35d66-890e-4494-8af6-07cc43d367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Owne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3eb6e-6732-4611-8ebe-7b7b57e90f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wner" ma:index="12" nillable="true" ma:displayName="Owner" ma:internalName="Owner">
      <xsd:simpleType>
        <xsd:restriction base="dms:Text">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d35d66-890e-4494-8af6-07cc43d367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18c3eb6e-6732-4611-8ebe-7b7b57e90fa2">Chloe Ryan</Owner>
    <SharedWithUsers xmlns="27d35d66-890e-4494-8af6-07cc43d3679d">
      <UserInfo>
        <DisplayName>Firman, Jenny</DisplayName>
        <AccountId>2689</AccountId>
        <AccountType/>
      </UserInfo>
      <UserInfo>
        <DisplayName>Firman, Elise</DisplayName>
        <AccountId>2693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9602D-80E2-43E5-89FF-5B88EE726D76}">
  <ds:schemaRefs>
    <ds:schemaRef ds:uri="http://schemas.microsoft.com/sharepoint/v3/contenttype/forms"/>
  </ds:schemaRefs>
</ds:datastoreItem>
</file>

<file path=customXml/itemProps2.xml><?xml version="1.0" encoding="utf-8"?>
<ds:datastoreItem xmlns:ds="http://schemas.openxmlformats.org/officeDocument/2006/customXml" ds:itemID="{0AA1FCC6-EABE-4440-87EE-97105C32D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3eb6e-6732-4611-8ebe-7b7b57e90fa2"/>
    <ds:schemaRef ds:uri="27d35d66-890e-4494-8af6-07cc43d36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475070-24B9-4CBB-AFCD-7FEC430A62F2}">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27d35d66-890e-4494-8af6-07cc43d3679d"/>
    <ds:schemaRef ds:uri="18c3eb6e-6732-4611-8ebe-7b7b57e90fa2"/>
    <ds:schemaRef ds:uri="http://purl.org/dc/elements/1.1/"/>
    <ds:schemaRef ds:uri="http://www.w3.org/XML/1998/namespace"/>
  </ds:schemaRefs>
</ds:datastoreItem>
</file>

<file path=customXml/itemProps4.xml><?xml version="1.0" encoding="utf-8"?>
<ds:datastoreItem xmlns:ds="http://schemas.openxmlformats.org/officeDocument/2006/customXml" ds:itemID="{B72F6C5F-3E88-408D-9DEB-ACB44F11E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4331</Words>
  <Characters>24688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[Insert Item #]</vt:lpstr>
    </vt:vector>
  </TitlesOfParts>
  <Company>SA Health</Company>
  <LinksUpToDate>false</LinksUpToDate>
  <CharactersWithSpaces>28962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Item #]</dc:title>
  <dc:subject/>
  <dc:creator/>
  <cp:keywords/>
  <cp:lastModifiedBy>Martin, Mel</cp:lastModifiedBy>
  <cp:revision>5</cp:revision>
  <cp:lastPrinted>2020-05-03T06:15:00Z</cp:lastPrinted>
  <dcterms:created xsi:type="dcterms:W3CDTF">2020-05-06T06:04:00Z</dcterms:created>
  <dcterms:modified xsi:type="dcterms:W3CDTF">2020-05-08T03:48:00Z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0x010100DB2F6A0814CB4F4D96822A22A89DB662</vt:lpwstr>
  </property>
  <property fmtid="{D5CDD505-2E9C-101B-9397-08002B2CF9AE}" pid="3" name="Information Type">
    <vt:lpwstr/>
  </property>
  <property fmtid="{D5CDD505-2E9C-101B-9397-08002B2CF9AE}" pid="4" name="Divisional Topic">
    <vt:lpwstr/>
  </property>
</Properties>
</file>