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2C587" w14:textId="5619146C" w:rsidR="00280050" w:rsidRDefault="002D028F" w:rsidP="002D028F">
      <w:pPr>
        <w:jc w:val="center"/>
        <w:rPr>
          <w:rFonts w:asciiTheme="majorHAnsi" w:hAnsiTheme="majorHAnsi" w:cstheme="majorHAnsi"/>
          <w:sz w:val="32"/>
        </w:rPr>
      </w:pPr>
      <w:r>
        <w:rPr>
          <w:caps/>
          <w:noProof/>
          <w:lang w:eastAsia="en-AU"/>
        </w:rPr>
        <w:drawing>
          <wp:inline distT="0" distB="0" distL="0" distR="0" wp14:anchorId="1B315CBC" wp14:editId="4FBF688B">
            <wp:extent cx="2465705" cy="1371600"/>
            <wp:effectExtent l="0" t="0" r="0" b="0"/>
            <wp:docPr id="7" name="Picture 7"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61E07780" w14:textId="5D00DC18" w:rsidR="005431F8" w:rsidRDefault="005431F8">
      <w:pPr>
        <w:rPr>
          <w:rFonts w:asciiTheme="majorHAnsi" w:hAnsiTheme="majorHAnsi" w:cstheme="majorHAnsi"/>
          <w:sz w:val="32"/>
        </w:rPr>
      </w:pPr>
      <w:r>
        <w:rPr>
          <w:rFonts w:asciiTheme="majorHAnsi" w:hAnsiTheme="majorHAnsi" w:cstheme="majorHAnsi"/>
          <w:sz w:val="32"/>
        </w:rPr>
        <w:t xml:space="preserve">Australian Government response to the House of Representatives Standing Committee </w:t>
      </w:r>
      <w:r w:rsidR="00032E12">
        <w:rPr>
          <w:rFonts w:asciiTheme="majorHAnsi" w:hAnsiTheme="majorHAnsi" w:cstheme="majorHAnsi"/>
          <w:sz w:val="32"/>
        </w:rPr>
        <w:t>on Health, Aged Care and Sport report:</w:t>
      </w:r>
    </w:p>
    <w:p w14:paraId="7B5550D3" w14:textId="77777777" w:rsidR="00032E12" w:rsidRDefault="00032E12">
      <w:pPr>
        <w:rPr>
          <w:rFonts w:asciiTheme="majorHAnsi" w:hAnsiTheme="majorHAnsi" w:cstheme="majorHAnsi"/>
          <w:sz w:val="32"/>
        </w:rPr>
      </w:pPr>
    </w:p>
    <w:p w14:paraId="693B1139" w14:textId="4BF409CB" w:rsidR="00032E12" w:rsidRDefault="00032E12">
      <w:pPr>
        <w:rPr>
          <w:rFonts w:asciiTheme="majorHAnsi" w:hAnsiTheme="majorHAnsi" w:cstheme="majorHAnsi"/>
          <w:sz w:val="32"/>
        </w:rPr>
      </w:pPr>
      <w:r>
        <w:rPr>
          <w:rFonts w:asciiTheme="majorHAnsi" w:hAnsiTheme="majorHAnsi" w:cstheme="majorHAnsi"/>
          <w:sz w:val="32"/>
        </w:rPr>
        <w:t>Inquiry into Biotoxin-related Illne</w:t>
      </w:r>
      <w:bookmarkStart w:id="0" w:name="_GoBack"/>
      <w:bookmarkEnd w:id="0"/>
      <w:r>
        <w:rPr>
          <w:rFonts w:asciiTheme="majorHAnsi" w:hAnsiTheme="majorHAnsi" w:cstheme="majorHAnsi"/>
          <w:sz w:val="32"/>
        </w:rPr>
        <w:t>sses in Australia</w:t>
      </w:r>
    </w:p>
    <w:p w14:paraId="1A109BBD" w14:textId="53277DBC" w:rsidR="00032E12" w:rsidRDefault="00801216" w:rsidP="00551DD2">
      <w:pPr>
        <w:tabs>
          <w:tab w:val="left" w:pos="2805"/>
          <w:tab w:val="left" w:pos="3555"/>
        </w:tabs>
        <w:spacing w:line="4800" w:lineRule="auto"/>
        <w:rPr>
          <w:rFonts w:asciiTheme="majorHAnsi" w:hAnsiTheme="majorHAnsi" w:cstheme="majorHAnsi"/>
          <w:sz w:val="32"/>
        </w:rPr>
      </w:pPr>
      <w:r>
        <w:rPr>
          <w:rFonts w:asciiTheme="majorHAnsi" w:hAnsiTheme="majorHAnsi" w:cstheme="majorHAnsi"/>
          <w:sz w:val="32"/>
        </w:rPr>
        <w:tab/>
      </w:r>
    </w:p>
    <w:p w14:paraId="0A3367F2" w14:textId="66CA1C77" w:rsidR="00032E12" w:rsidRDefault="00551DD2" w:rsidP="00032E12">
      <w:pPr>
        <w:jc w:val="right"/>
        <w:rPr>
          <w:rFonts w:asciiTheme="majorHAnsi" w:hAnsiTheme="majorHAnsi" w:cstheme="majorHAnsi"/>
          <w:sz w:val="32"/>
        </w:rPr>
      </w:pPr>
      <w:r>
        <w:rPr>
          <w:rFonts w:asciiTheme="majorHAnsi" w:hAnsiTheme="majorHAnsi" w:cstheme="majorHAnsi"/>
          <w:sz w:val="32"/>
        </w:rPr>
        <w:t>March</w:t>
      </w:r>
      <w:r w:rsidR="00032E12">
        <w:rPr>
          <w:rFonts w:asciiTheme="majorHAnsi" w:hAnsiTheme="majorHAnsi" w:cstheme="majorHAnsi"/>
          <w:sz w:val="32"/>
        </w:rPr>
        <w:t xml:space="preserve"> 20</w:t>
      </w:r>
      <w:r w:rsidR="00066817">
        <w:rPr>
          <w:rFonts w:asciiTheme="majorHAnsi" w:hAnsiTheme="majorHAnsi" w:cstheme="majorHAnsi"/>
          <w:sz w:val="32"/>
        </w:rPr>
        <w:t>20</w:t>
      </w:r>
    </w:p>
    <w:p w14:paraId="712770EC" w14:textId="77777777" w:rsidR="00032E12" w:rsidRDefault="00032E12">
      <w:pPr>
        <w:rPr>
          <w:rFonts w:asciiTheme="majorHAnsi" w:hAnsiTheme="majorHAnsi" w:cstheme="majorHAnsi"/>
          <w:sz w:val="32"/>
        </w:rPr>
      </w:pPr>
      <w:r>
        <w:rPr>
          <w:rFonts w:asciiTheme="majorHAnsi" w:hAnsiTheme="majorHAnsi" w:cstheme="majorHAnsi"/>
          <w:sz w:val="32"/>
        </w:rPr>
        <w:br w:type="page"/>
      </w:r>
    </w:p>
    <w:p w14:paraId="11240EEA" w14:textId="77777777" w:rsidR="00032E12" w:rsidRPr="00F0531B" w:rsidRDefault="00032E12" w:rsidP="00032E12">
      <w:pPr>
        <w:jc w:val="center"/>
        <w:rPr>
          <w:rFonts w:asciiTheme="minorHAnsi" w:hAnsiTheme="minorHAnsi" w:cstheme="minorHAnsi"/>
          <w:b/>
          <w:sz w:val="32"/>
        </w:rPr>
      </w:pPr>
      <w:r w:rsidRPr="00F0531B">
        <w:rPr>
          <w:rFonts w:asciiTheme="minorHAnsi" w:hAnsiTheme="minorHAnsi" w:cstheme="minorHAnsi"/>
          <w:b/>
          <w:sz w:val="32"/>
        </w:rPr>
        <w:lastRenderedPageBreak/>
        <w:t>Introduction</w:t>
      </w:r>
    </w:p>
    <w:p w14:paraId="4201F77B" w14:textId="5490C610" w:rsidR="00F54BC1" w:rsidRPr="00F0531B" w:rsidRDefault="00F5136E" w:rsidP="00917C75">
      <w:pPr>
        <w:spacing w:line="360" w:lineRule="auto"/>
        <w:rPr>
          <w:rFonts w:asciiTheme="minorHAnsi" w:hAnsiTheme="minorHAnsi" w:cstheme="minorHAnsi"/>
        </w:rPr>
      </w:pPr>
      <w:r w:rsidRPr="00F0531B">
        <w:rPr>
          <w:rFonts w:asciiTheme="minorHAnsi" w:hAnsiTheme="minorHAnsi" w:cstheme="minorHAnsi"/>
        </w:rPr>
        <w:t>The Australian Government thanks the House of Representatives Standing Committee</w:t>
      </w:r>
      <w:r w:rsidR="00766E3B">
        <w:rPr>
          <w:rFonts w:asciiTheme="minorHAnsi" w:hAnsiTheme="minorHAnsi" w:cstheme="minorHAnsi"/>
        </w:rPr>
        <w:t xml:space="preserve"> </w:t>
      </w:r>
      <w:r w:rsidRPr="00F0531B">
        <w:rPr>
          <w:rFonts w:asciiTheme="minorHAnsi" w:hAnsiTheme="minorHAnsi" w:cstheme="minorHAnsi"/>
        </w:rPr>
        <w:t>on Health, Aged Care and Sport</w:t>
      </w:r>
      <w:r w:rsidR="00766E3B">
        <w:rPr>
          <w:rFonts w:asciiTheme="minorHAnsi" w:hAnsiTheme="minorHAnsi" w:cstheme="minorHAnsi"/>
        </w:rPr>
        <w:t xml:space="preserve"> (the Standing Committee)</w:t>
      </w:r>
      <w:r w:rsidRPr="00F0531B">
        <w:rPr>
          <w:rFonts w:asciiTheme="minorHAnsi" w:hAnsiTheme="minorHAnsi" w:cstheme="minorHAnsi"/>
        </w:rPr>
        <w:t xml:space="preserve"> for their work in establishing and conducting the Inquiry into Biotoxin-related illnesses. </w:t>
      </w:r>
    </w:p>
    <w:p w14:paraId="5E980057" w14:textId="489523A7" w:rsidR="004C6544" w:rsidRDefault="004C6544" w:rsidP="00917C75">
      <w:pPr>
        <w:spacing w:line="360" w:lineRule="auto"/>
        <w:rPr>
          <w:rFonts w:asciiTheme="minorHAnsi" w:hAnsiTheme="minorHAnsi" w:cstheme="minorHAnsi"/>
        </w:rPr>
      </w:pPr>
      <w:r>
        <w:rPr>
          <w:rFonts w:asciiTheme="minorHAnsi" w:hAnsiTheme="minorHAnsi" w:cstheme="minorHAnsi"/>
        </w:rPr>
        <w:t xml:space="preserve">The Australian Government sympathises with, and is concerned for, those patients who are suffering debilitating symptoms they believe to be associated with exposure to mould and/or biotoxins. At this point in time, further research is required into the link between such symptoms and exposure to mould. The Australian Government acknowledges that there is a need to provide better multidisciplinary care to patients. </w:t>
      </w:r>
    </w:p>
    <w:p w14:paraId="2FE4DB2E" w14:textId="41DD371C" w:rsidR="00917C75" w:rsidRPr="00F0531B" w:rsidRDefault="00917C75" w:rsidP="00917C75">
      <w:pPr>
        <w:spacing w:line="360" w:lineRule="auto"/>
        <w:rPr>
          <w:rFonts w:asciiTheme="minorHAnsi" w:hAnsiTheme="minorHAnsi" w:cstheme="minorHAnsi"/>
        </w:rPr>
      </w:pPr>
      <w:r w:rsidRPr="00F0531B">
        <w:rPr>
          <w:rFonts w:asciiTheme="minorHAnsi" w:hAnsiTheme="minorHAnsi" w:cstheme="minorHAnsi"/>
        </w:rPr>
        <w:t>Furthermore, given that there are many similarities between such symptom complexes and others</w:t>
      </w:r>
      <w:r w:rsidR="00766E3B">
        <w:rPr>
          <w:rFonts w:asciiTheme="minorHAnsi" w:hAnsiTheme="minorHAnsi" w:cstheme="minorHAnsi"/>
        </w:rPr>
        <w:t>,</w:t>
      </w:r>
      <w:r w:rsidRPr="00F0531B">
        <w:rPr>
          <w:rFonts w:asciiTheme="minorHAnsi" w:hAnsiTheme="minorHAnsi" w:cstheme="minorHAnsi"/>
        </w:rPr>
        <w:t xml:space="preserve"> such as symptom </w:t>
      </w:r>
      <w:r w:rsidR="00D9558F" w:rsidRPr="00F0531B">
        <w:rPr>
          <w:rFonts w:asciiTheme="minorHAnsi" w:hAnsiTheme="minorHAnsi" w:cstheme="minorHAnsi"/>
        </w:rPr>
        <w:t xml:space="preserve">complexes attributed to </w:t>
      </w:r>
      <w:r w:rsidRPr="00F0531B">
        <w:rPr>
          <w:rFonts w:asciiTheme="minorHAnsi" w:hAnsiTheme="minorHAnsi" w:cstheme="minorHAnsi"/>
        </w:rPr>
        <w:t>ticks or chronic fatigue-like symptoms</w:t>
      </w:r>
      <w:r w:rsidR="00766E3B">
        <w:rPr>
          <w:rFonts w:asciiTheme="minorHAnsi" w:hAnsiTheme="minorHAnsi" w:cstheme="minorHAnsi"/>
        </w:rPr>
        <w:t>,</w:t>
      </w:r>
      <w:r w:rsidRPr="00F0531B">
        <w:rPr>
          <w:rFonts w:asciiTheme="minorHAnsi" w:hAnsiTheme="minorHAnsi" w:cstheme="minorHAnsi"/>
        </w:rPr>
        <w:t xml:space="preserve"> there is an opportunity to take a broad </w:t>
      </w:r>
      <w:r w:rsidR="00D20F71" w:rsidRPr="00F0531B">
        <w:rPr>
          <w:rFonts w:asciiTheme="minorHAnsi" w:hAnsiTheme="minorHAnsi" w:cstheme="minorHAnsi"/>
        </w:rPr>
        <w:t xml:space="preserve">multidisciplinary </w:t>
      </w:r>
      <w:r w:rsidRPr="00F0531B">
        <w:rPr>
          <w:rFonts w:asciiTheme="minorHAnsi" w:hAnsiTheme="minorHAnsi" w:cstheme="minorHAnsi"/>
        </w:rPr>
        <w:t xml:space="preserve">approach and work with patients, health groups and practitioners and investigate how to provide better care to </w:t>
      </w:r>
      <w:r w:rsidR="00D9558F" w:rsidRPr="00F0531B">
        <w:rPr>
          <w:rFonts w:asciiTheme="minorHAnsi" w:hAnsiTheme="minorHAnsi" w:cstheme="minorHAnsi"/>
        </w:rPr>
        <w:t xml:space="preserve">all </w:t>
      </w:r>
      <w:r w:rsidRPr="00F0531B">
        <w:rPr>
          <w:rFonts w:asciiTheme="minorHAnsi" w:hAnsiTheme="minorHAnsi" w:cstheme="minorHAnsi"/>
        </w:rPr>
        <w:t>patients</w:t>
      </w:r>
      <w:r w:rsidR="00D9558F" w:rsidRPr="00F0531B">
        <w:rPr>
          <w:rFonts w:asciiTheme="minorHAnsi" w:hAnsiTheme="minorHAnsi" w:cstheme="minorHAnsi"/>
        </w:rPr>
        <w:t xml:space="preserve"> with complex symptom groups that are not yet medically explained.</w:t>
      </w:r>
    </w:p>
    <w:p w14:paraId="2F5CE02E" w14:textId="701D3B34" w:rsidR="005D33B7" w:rsidRPr="00F0531B" w:rsidRDefault="00917C75" w:rsidP="00917C75">
      <w:pPr>
        <w:spacing w:line="360" w:lineRule="auto"/>
        <w:rPr>
          <w:rFonts w:asciiTheme="minorHAnsi" w:hAnsiTheme="minorHAnsi" w:cstheme="minorHAnsi"/>
        </w:rPr>
      </w:pPr>
      <w:r w:rsidRPr="00F0531B">
        <w:rPr>
          <w:rFonts w:asciiTheme="minorHAnsi" w:hAnsiTheme="minorHAnsi" w:cstheme="minorHAnsi"/>
        </w:rPr>
        <w:t xml:space="preserve">The Australian Government further notes that the report’s recommendations </w:t>
      </w:r>
      <w:r w:rsidR="00D20F71">
        <w:rPr>
          <w:rFonts w:asciiTheme="minorHAnsi" w:hAnsiTheme="minorHAnsi" w:cstheme="minorHAnsi"/>
        </w:rPr>
        <w:t>include</w:t>
      </w:r>
      <w:r w:rsidRPr="00F0531B">
        <w:rPr>
          <w:rFonts w:asciiTheme="minorHAnsi" w:hAnsiTheme="minorHAnsi" w:cstheme="minorHAnsi"/>
        </w:rPr>
        <w:t xml:space="preserve"> issues that fall primarily within the responsibility of </w:t>
      </w:r>
      <w:r w:rsidR="008B07E6">
        <w:rPr>
          <w:rFonts w:asciiTheme="minorHAnsi" w:hAnsiTheme="minorHAnsi" w:cstheme="minorHAnsi"/>
        </w:rPr>
        <w:t>s</w:t>
      </w:r>
      <w:r w:rsidR="008B07E6" w:rsidRPr="00F0531B">
        <w:rPr>
          <w:rFonts w:asciiTheme="minorHAnsi" w:hAnsiTheme="minorHAnsi" w:cstheme="minorHAnsi"/>
        </w:rPr>
        <w:t xml:space="preserve">tate </w:t>
      </w:r>
      <w:r w:rsidRPr="00F0531B">
        <w:rPr>
          <w:rFonts w:asciiTheme="minorHAnsi" w:hAnsiTheme="minorHAnsi" w:cstheme="minorHAnsi"/>
        </w:rPr>
        <w:t xml:space="preserve">and </w:t>
      </w:r>
      <w:r w:rsidR="008B07E6">
        <w:rPr>
          <w:rFonts w:asciiTheme="minorHAnsi" w:hAnsiTheme="minorHAnsi" w:cstheme="minorHAnsi"/>
        </w:rPr>
        <w:t>t</w:t>
      </w:r>
      <w:r w:rsidR="008B07E6" w:rsidRPr="00F0531B">
        <w:rPr>
          <w:rFonts w:asciiTheme="minorHAnsi" w:hAnsiTheme="minorHAnsi" w:cstheme="minorHAnsi"/>
        </w:rPr>
        <w:t xml:space="preserve">erritory </w:t>
      </w:r>
      <w:r w:rsidR="008B07E6">
        <w:rPr>
          <w:rFonts w:asciiTheme="minorHAnsi" w:hAnsiTheme="minorHAnsi" w:cstheme="minorHAnsi"/>
        </w:rPr>
        <w:t>g</w:t>
      </w:r>
      <w:r w:rsidR="008B07E6" w:rsidRPr="00F0531B">
        <w:rPr>
          <w:rFonts w:asciiTheme="minorHAnsi" w:hAnsiTheme="minorHAnsi" w:cstheme="minorHAnsi"/>
        </w:rPr>
        <w:t>overnments</w:t>
      </w:r>
      <w:r w:rsidRPr="00F0531B">
        <w:rPr>
          <w:rFonts w:asciiTheme="minorHAnsi" w:hAnsiTheme="minorHAnsi" w:cstheme="minorHAnsi"/>
        </w:rPr>
        <w:t xml:space="preserve">. </w:t>
      </w:r>
      <w:r w:rsidR="00D9558F" w:rsidRPr="00F0531B">
        <w:rPr>
          <w:rFonts w:asciiTheme="minorHAnsi" w:hAnsiTheme="minorHAnsi" w:cstheme="minorHAnsi"/>
        </w:rPr>
        <w:t xml:space="preserve">This </w:t>
      </w:r>
      <w:r w:rsidRPr="00F0531B">
        <w:rPr>
          <w:rFonts w:asciiTheme="minorHAnsi" w:hAnsiTheme="minorHAnsi" w:cstheme="minorHAnsi"/>
        </w:rPr>
        <w:t>response is directed</w:t>
      </w:r>
      <w:r w:rsidR="00766E3B">
        <w:rPr>
          <w:rFonts w:asciiTheme="minorHAnsi" w:hAnsiTheme="minorHAnsi" w:cstheme="minorHAnsi"/>
        </w:rPr>
        <w:t xml:space="preserve"> specifically</w:t>
      </w:r>
      <w:r w:rsidRPr="00F0531B">
        <w:rPr>
          <w:rFonts w:asciiTheme="minorHAnsi" w:hAnsiTheme="minorHAnsi" w:cstheme="minorHAnsi"/>
        </w:rPr>
        <w:t xml:space="preserve"> to issues that fall within Commonwealth</w:t>
      </w:r>
      <w:r w:rsidR="00D20F71">
        <w:rPr>
          <w:rFonts w:asciiTheme="minorHAnsi" w:hAnsiTheme="minorHAnsi" w:cstheme="minorHAnsi"/>
        </w:rPr>
        <w:t>’s areas of</w:t>
      </w:r>
      <w:r w:rsidRPr="00F0531B">
        <w:rPr>
          <w:rFonts w:asciiTheme="minorHAnsi" w:hAnsiTheme="minorHAnsi" w:cstheme="minorHAnsi"/>
        </w:rPr>
        <w:t xml:space="preserve"> responsibility. </w:t>
      </w:r>
      <w:r w:rsidR="005D33B7" w:rsidRPr="00F0531B">
        <w:rPr>
          <w:rFonts w:asciiTheme="minorHAnsi" w:hAnsiTheme="minorHAnsi" w:cstheme="minorHAnsi"/>
        </w:rPr>
        <w:br w:type="page"/>
      </w:r>
    </w:p>
    <w:p w14:paraId="19110EE5" w14:textId="77777777" w:rsidR="005D33B7" w:rsidRPr="00F0531B" w:rsidRDefault="005D33B7" w:rsidP="005D33B7">
      <w:pPr>
        <w:jc w:val="center"/>
        <w:rPr>
          <w:rFonts w:asciiTheme="minorHAnsi" w:hAnsiTheme="minorHAnsi" w:cstheme="minorHAnsi"/>
          <w:b/>
          <w:sz w:val="32"/>
        </w:rPr>
      </w:pPr>
      <w:r w:rsidRPr="00F0531B">
        <w:rPr>
          <w:rFonts w:asciiTheme="minorHAnsi" w:hAnsiTheme="minorHAnsi" w:cstheme="minorHAnsi"/>
          <w:b/>
          <w:sz w:val="32"/>
        </w:rPr>
        <w:lastRenderedPageBreak/>
        <w:t>Recommendations and Australian Government Response</w:t>
      </w:r>
      <w:r w:rsidRPr="00F0531B">
        <w:rPr>
          <w:rFonts w:asciiTheme="minorHAnsi" w:hAnsiTheme="minorHAnsi" w:cstheme="minorHAnsi"/>
          <w:b/>
          <w:noProof/>
          <w:lang w:eastAsia="en-AU"/>
        </w:rPr>
        <mc:AlternateContent>
          <mc:Choice Requires="wps">
            <w:drawing>
              <wp:inline distT="0" distB="0" distL="0" distR="0" wp14:anchorId="56FE3A89" wp14:editId="44621F44">
                <wp:extent cx="5372100" cy="19716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971675"/>
                        </a:xfrm>
                        <a:prstGeom prst="rect">
                          <a:avLst/>
                        </a:prstGeom>
                        <a:solidFill>
                          <a:srgbClr val="FFFFFF"/>
                        </a:solidFill>
                        <a:ln w="9525">
                          <a:solidFill>
                            <a:srgbClr val="000000"/>
                          </a:solidFill>
                          <a:miter lim="800000"/>
                          <a:headEnd/>
                          <a:tailEnd/>
                        </a:ln>
                      </wps:spPr>
                      <wps:txbx>
                        <w:txbxContent>
                          <w:p w14:paraId="67D46DB2" w14:textId="77777777" w:rsidR="005D33B7" w:rsidRPr="0012323E" w:rsidRDefault="005D33B7">
                            <w:pPr>
                              <w:rPr>
                                <w:rFonts w:asciiTheme="majorHAnsi" w:hAnsiTheme="majorHAnsi" w:cstheme="majorHAnsi"/>
                                <w:b/>
                              </w:rPr>
                            </w:pPr>
                            <w:r w:rsidRPr="0012323E">
                              <w:rPr>
                                <w:rFonts w:asciiTheme="majorHAnsi" w:hAnsiTheme="majorHAnsi" w:cstheme="majorHAnsi"/>
                                <w:b/>
                              </w:rPr>
                              <w:t>Recommendation One</w:t>
                            </w:r>
                          </w:p>
                          <w:p w14:paraId="5B812E7D" w14:textId="77777777" w:rsidR="0012323E" w:rsidRPr="000E7232" w:rsidRDefault="005D33B7" w:rsidP="0012323E">
                            <w:pPr>
                              <w:rPr>
                                <w:rFonts w:asciiTheme="minorHAnsi" w:hAnsiTheme="minorHAnsi" w:cstheme="minorHAnsi"/>
                              </w:rPr>
                            </w:pPr>
                            <w:r w:rsidRPr="000E7232">
                              <w:rPr>
                                <w:rFonts w:asciiTheme="minorHAnsi" w:hAnsiTheme="minorHAnsi" w:cstheme="minorHAnsi"/>
                              </w:rPr>
                              <w:t xml:space="preserve">The Committee recommends that the Department of Health produce and publish in the short term a fact sheet, and in the medium term undertake further research on: </w:t>
                            </w:r>
                          </w:p>
                          <w:p w14:paraId="05E14FAC" w14:textId="77777777" w:rsidR="0012323E" w:rsidRPr="000E7232" w:rsidRDefault="005D33B7" w:rsidP="0012323E">
                            <w:pPr>
                              <w:pStyle w:val="ListParagraph"/>
                              <w:numPr>
                                <w:ilvl w:val="0"/>
                                <w:numId w:val="2"/>
                              </w:numPr>
                              <w:rPr>
                                <w:rFonts w:asciiTheme="minorHAnsi" w:hAnsiTheme="minorHAnsi" w:cstheme="minorHAnsi"/>
                                <w:b/>
                              </w:rPr>
                            </w:pPr>
                            <w:r w:rsidRPr="000E7232">
                              <w:rPr>
                                <w:rFonts w:asciiTheme="minorHAnsi" w:hAnsiTheme="minorHAnsi" w:cstheme="minorHAnsi"/>
                              </w:rPr>
                              <w:t xml:space="preserve">the potential health effects of exposure to damp and mould; </w:t>
                            </w:r>
                          </w:p>
                          <w:p w14:paraId="2FBA404B" w14:textId="77777777" w:rsidR="0012323E" w:rsidRPr="000E7232" w:rsidRDefault="005D33B7" w:rsidP="0012323E">
                            <w:pPr>
                              <w:pStyle w:val="ListParagraph"/>
                              <w:numPr>
                                <w:ilvl w:val="0"/>
                                <w:numId w:val="2"/>
                              </w:numPr>
                              <w:rPr>
                                <w:rFonts w:asciiTheme="minorHAnsi" w:hAnsiTheme="minorHAnsi" w:cstheme="minorHAnsi"/>
                                <w:b/>
                              </w:rPr>
                            </w:pPr>
                            <w:r w:rsidRPr="000E7232">
                              <w:rPr>
                                <w:rFonts w:asciiTheme="minorHAnsi" w:hAnsiTheme="minorHAnsi" w:cstheme="minorHAnsi"/>
                              </w:rPr>
                              <w:t xml:space="preserve">the prevalence of dampness and mould in the built environment; and </w:t>
                            </w:r>
                          </w:p>
                          <w:p w14:paraId="174149AD" w14:textId="77777777" w:rsidR="005D33B7" w:rsidRPr="000E7232" w:rsidRDefault="005D33B7" w:rsidP="0012323E">
                            <w:pPr>
                              <w:pStyle w:val="ListParagraph"/>
                              <w:numPr>
                                <w:ilvl w:val="0"/>
                                <w:numId w:val="2"/>
                              </w:numPr>
                              <w:rPr>
                                <w:rFonts w:asciiTheme="minorHAnsi" w:hAnsiTheme="minorHAnsi" w:cstheme="minorHAnsi"/>
                                <w:b/>
                              </w:rPr>
                            </w:pPr>
                            <w:r w:rsidRPr="000E7232">
                              <w:rPr>
                                <w:rFonts w:asciiTheme="minorHAnsi" w:hAnsiTheme="minorHAnsi" w:cstheme="minorHAnsi"/>
                              </w:rPr>
                              <w:t>advice on the prevention and removal of mould.</w:t>
                            </w:r>
                          </w:p>
                        </w:txbxContent>
                      </wps:txbx>
                      <wps:bodyPr rot="0" vert="horz" wrap="square" lIns="91440" tIns="45720" rIns="91440" bIns="45720" anchor="t" anchorCtr="0">
                        <a:noAutofit/>
                      </wps:bodyPr>
                    </wps:wsp>
                  </a:graphicData>
                </a:graphic>
              </wp:inline>
            </w:drawing>
          </mc:Choice>
          <mc:Fallback>
            <w:pict>
              <v:shapetype w14:anchorId="56FE3A89" id="_x0000_t202" coordsize="21600,21600" o:spt="202" path="m,l,21600r21600,l21600,xe">
                <v:stroke joinstyle="miter"/>
                <v:path gradientshapeok="t" o:connecttype="rect"/>
              </v:shapetype>
              <v:shape id="Text Box 2" o:spid="_x0000_s1026" type="#_x0000_t202" style="width:423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9C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">
                <v:textbox>
                  <w:txbxContent>
                    <w:p w14:paraId="67D46DB2" w14:textId="77777777" w:rsidR="005D33B7" w:rsidRPr="0012323E" w:rsidRDefault="005D33B7">
                      <w:pPr>
                        <w:rPr>
                          <w:rFonts w:asciiTheme="majorHAnsi" w:hAnsiTheme="majorHAnsi" w:cstheme="majorHAnsi"/>
                          <w:b/>
                        </w:rPr>
                      </w:pPr>
                      <w:r w:rsidRPr="0012323E">
                        <w:rPr>
                          <w:rFonts w:asciiTheme="majorHAnsi" w:hAnsiTheme="majorHAnsi" w:cstheme="majorHAnsi"/>
                          <w:b/>
                        </w:rPr>
                        <w:t>Recommendation One</w:t>
                      </w:r>
                    </w:p>
                    <w:p w14:paraId="5B812E7D" w14:textId="77777777" w:rsidR="0012323E" w:rsidRPr="000E7232" w:rsidRDefault="005D33B7" w:rsidP="0012323E">
                      <w:pPr>
                        <w:rPr>
                          <w:rFonts w:asciiTheme="minorHAnsi" w:hAnsiTheme="minorHAnsi" w:cstheme="minorHAnsi"/>
                        </w:rPr>
                      </w:pPr>
                      <w:r w:rsidRPr="000E7232">
                        <w:rPr>
                          <w:rFonts w:asciiTheme="minorHAnsi" w:hAnsiTheme="minorHAnsi" w:cstheme="minorHAnsi"/>
                        </w:rPr>
                        <w:t xml:space="preserve">The Committee recommends that the Department of Health produce and publish in the short term a fact sheet, and in the medium term undertake further research on: </w:t>
                      </w:r>
                    </w:p>
                    <w:p w14:paraId="05E14FAC" w14:textId="77777777" w:rsidR="0012323E" w:rsidRPr="000E7232" w:rsidRDefault="005D33B7" w:rsidP="0012323E">
                      <w:pPr>
                        <w:pStyle w:val="ListParagraph"/>
                        <w:numPr>
                          <w:ilvl w:val="0"/>
                          <w:numId w:val="2"/>
                        </w:numPr>
                        <w:rPr>
                          <w:rFonts w:asciiTheme="minorHAnsi" w:hAnsiTheme="minorHAnsi" w:cstheme="minorHAnsi"/>
                          <w:b/>
                        </w:rPr>
                      </w:pPr>
                      <w:r w:rsidRPr="000E7232">
                        <w:rPr>
                          <w:rFonts w:asciiTheme="minorHAnsi" w:hAnsiTheme="minorHAnsi" w:cstheme="minorHAnsi"/>
                        </w:rPr>
                        <w:t xml:space="preserve">the potential health effects of exposure to damp and mould; </w:t>
                      </w:r>
                    </w:p>
                    <w:p w14:paraId="2FBA404B" w14:textId="77777777" w:rsidR="0012323E" w:rsidRPr="000E7232" w:rsidRDefault="005D33B7" w:rsidP="0012323E">
                      <w:pPr>
                        <w:pStyle w:val="ListParagraph"/>
                        <w:numPr>
                          <w:ilvl w:val="0"/>
                          <w:numId w:val="2"/>
                        </w:numPr>
                        <w:rPr>
                          <w:rFonts w:asciiTheme="minorHAnsi" w:hAnsiTheme="minorHAnsi" w:cstheme="minorHAnsi"/>
                          <w:b/>
                        </w:rPr>
                      </w:pPr>
                      <w:r w:rsidRPr="000E7232">
                        <w:rPr>
                          <w:rFonts w:asciiTheme="minorHAnsi" w:hAnsiTheme="minorHAnsi" w:cstheme="minorHAnsi"/>
                        </w:rPr>
                        <w:t xml:space="preserve">the prevalence of dampness and mould in the built environment; and </w:t>
                      </w:r>
                    </w:p>
                    <w:p w14:paraId="174149AD" w14:textId="77777777" w:rsidR="005D33B7" w:rsidRPr="000E7232" w:rsidRDefault="005D33B7" w:rsidP="0012323E">
                      <w:pPr>
                        <w:pStyle w:val="ListParagraph"/>
                        <w:numPr>
                          <w:ilvl w:val="0"/>
                          <w:numId w:val="2"/>
                        </w:numPr>
                        <w:rPr>
                          <w:rFonts w:asciiTheme="minorHAnsi" w:hAnsiTheme="minorHAnsi" w:cstheme="minorHAnsi"/>
                          <w:b/>
                        </w:rPr>
                      </w:pPr>
                      <w:proofErr w:type="gramStart"/>
                      <w:r w:rsidRPr="000E7232">
                        <w:rPr>
                          <w:rFonts w:asciiTheme="minorHAnsi" w:hAnsiTheme="minorHAnsi" w:cstheme="minorHAnsi"/>
                        </w:rPr>
                        <w:t>advice</w:t>
                      </w:r>
                      <w:proofErr w:type="gramEnd"/>
                      <w:r w:rsidRPr="000E7232">
                        <w:rPr>
                          <w:rFonts w:asciiTheme="minorHAnsi" w:hAnsiTheme="minorHAnsi" w:cstheme="minorHAnsi"/>
                        </w:rPr>
                        <w:t xml:space="preserve"> on the prevention and removal of mould.</w:t>
                      </w:r>
                    </w:p>
                  </w:txbxContent>
                </v:textbox>
                <w10:anchorlock/>
              </v:shape>
            </w:pict>
          </mc:Fallback>
        </mc:AlternateContent>
      </w:r>
    </w:p>
    <w:p w14:paraId="3E7513ED" w14:textId="1CE69763" w:rsidR="00BA18B8" w:rsidRPr="00F0531B" w:rsidRDefault="009D1978" w:rsidP="00BA18B8">
      <w:pPr>
        <w:spacing w:line="300" w:lineRule="auto"/>
        <w:rPr>
          <w:rFonts w:asciiTheme="minorHAnsi" w:hAnsiTheme="minorHAnsi" w:cstheme="minorHAnsi"/>
        </w:rPr>
      </w:pPr>
      <w:r w:rsidRPr="00F0531B">
        <w:rPr>
          <w:rFonts w:asciiTheme="minorHAnsi" w:hAnsiTheme="minorHAnsi" w:cstheme="minorHAnsi"/>
        </w:rPr>
        <w:t xml:space="preserve">The Australian Government </w:t>
      </w:r>
      <w:r w:rsidR="001A50A9" w:rsidRPr="00F0531B">
        <w:rPr>
          <w:rFonts w:asciiTheme="minorHAnsi" w:hAnsiTheme="minorHAnsi" w:cstheme="minorHAnsi"/>
        </w:rPr>
        <w:t xml:space="preserve">accepts </w:t>
      </w:r>
      <w:r w:rsidR="00C55EBF" w:rsidRPr="00F0531B">
        <w:rPr>
          <w:rFonts w:asciiTheme="minorHAnsi" w:hAnsiTheme="minorHAnsi" w:cstheme="minorHAnsi"/>
        </w:rPr>
        <w:t xml:space="preserve">this recommendation. </w:t>
      </w:r>
      <w:r w:rsidR="00D20F71">
        <w:rPr>
          <w:rFonts w:asciiTheme="minorHAnsi" w:hAnsiTheme="minorHAnsi" w:cstheme="minorHAnsi"/>
        </w:rPr>
        <w:t>S</w:t>
      </w:r>
      <w:r w:rsidR="00F616B4" w:rsidRPr="00F0531B">
        <w:rPr>
          <w:rFonts w:asciiTheme="minorHAnsi" w:hAnsiTheme="minorHAnsi" w:cstheme="minorHAnsi"/>
        </w:rPr>
        <w:t xml:space="preserve">tate </w:t>
      </w:r>
      <w:r w:rsidR="00BA18B8" w:rsidRPr="00F0531B">
        <w:rPr>
          <w:rFonts w:asciiTheme="minorHAnsi" w:hAnsiTheme="minorHAnsi" w:cstheme="minorHAnsi"/>
        </w:rPr>
        <w:t xml:space="preserve">and </w:t>
      </w:r>
      <w:r w:rsidR="00F616B4">
        <w:rPr>
          <w:rFonts w:asciiTheme="minorHAnsi" w:hAnsiTheme="minorHAnsi" w:cstheme="minorHAnsi"/>
        </w:rPr>
        <w:t>t</w:t>
      </w:r>
      <w:r w:rsidR="00F616B4" w:rsidRPr="00F0531B">
        <w:rPr>
          <w:rFonts w:asciiTheme="minorHAnsi" w:hAnsiTheme="minorHAnsi" w:cstheme="minorHAnsi"/>
        </w:rPr>
        <w:t xml:space="preserve">erritory </w:t>
      </w:r>
      <w:r w:rsidR="00F616B4">
        <w:rPr>
          <w:rFonts w:asciiTheme="minorHAnsi" w:hAnsiTheme="minorHAnsi" w:cstheme="minorHAnsi"/>
        </w:rPr>
        <w:t>g</w:t>
      </w:r>
      <w:r w:rsidR="00F616B4" w:rsidRPr="00F0531B">
        <w:rPr>
          <w:rFonts w:asciiTheme="minorHAnsi" w:hAnsiTheme="minorHAnsi" w:cstheme="minorHAnsi"/>
        </w:rPr>
        <w:t xml:space="preserve">overnments </w:t>
      </w:r>
      <w:r w:rsidR="00BA18B8" w:rsidRPr="00F0531B">
        <w:rPr>
          <w:rFonts w:asciiTheme="minorHAnsi" w:hAnsiTheme="minorHAnsi" w:cstheme="minorHAnsi"/>
        </w:rPr>
        <w:t xml:space="preserve">have already published </w:t>
      </w:r>
      <w:r w:rsidR="00C311D0" w:rsidRPr="00F0531B">
        <w:rPr>
          <w:rFonts w:asciiTheme="minorHAnsi" w:hAnsiTheme="minorHAnsi" w:cstheme="minorHAnsi"/>
        </w:rPr>
        <w:t>several fact sheets</w:t>
      </w:r>
      <w:r w:rsidR="00BA18B8" w:rsidRPr="00F0531B">
        <w:rPr>
          <w:rFonts w:asciiTheme="minorHAnsi" w:hAnsiTheme="minorHAnsi" w:cstheme="minorHAnsi"/>
        </w:rPr>
        <w:t xml:space="preserve"> on </w:t>
      </w:r>
      <w:r w:rsidR="00C311D0" w:rsidRPr="00F0531B">
        <w:rPr>
          <w:rFonts w:asciiTheme="minorHAnsi" w:hAnsiTheme="minorHAnsi" w:cstheme="minorHAnsi"/>
        </w:rPr>
        <w:t xml:space="preserve">the health effects of </w:t>
      </w:r>
      <w:r w:rsidR="00BA18B8" w:rsidRPr="00F0531B">
        <w:rPr>
          <w:rFonts w:asciiTheme="minorHAnsi" w:hAnsiTheme="minorHAnsi" w:cstheme="minorHAnsi"/>
        </w:rPr>
        <w:t>mould and dampness</w:t>
      </w:r>
      <w:r w:rsidR="00D20F71">
        <w:rPr>
          <w:rFonts w:asciiTheme="minorHAnsi" w:hAnsiTheme="minorHAnsi" w:cstheme="minorHAnsi"/>
        </w:rPr>
        <w:t>.</w:t>
      </w:r>
      <w:r w:rsidR="00BA18B8" w:rsidRPr="00F0531B">
        <w:rPr>
          <w:rFonts w:asciiTheme="minorHAnsi" w:hAnsiTheme="minorHAnsi" w:cstheme="minorHAnsi"/>
        </w:rPr>
        <w:t xml:space="preserve"> </w:t>
      </w:r>
      <w:r w:rsidR="00D20F71">
        <w:rPr>
          <w:rFonts w:asciiTheme="minorHAnsi" w:hAnsiTheme="minorHAnsi" w:cstheme="minorHAnsi"/>
        </w:rPr>
        <w:t>The</w:t>
      </w:r>
      <w:r w:rsidR="00BA18B8" w:rsidRPr="00F0531B">
        <w:rPr>
          <w:rFonts w:asciiTheme="minorHAnsi" w:hAnsiTheme="minorHAnsi" w:cstheme="minorHAnsi"/>
        </w:rPr>
        <w:t xml:space="preserve"> Australian Government (through the Department of Health) will work with jurisdictions through the Environmental Health Standing Committee (enHealth) of the Australian Health Protection Principal Committee of AHMAC</w:t>
      </w:r>
      <w:r w:rsidR="00766E3B">
        <w:rPr>
          <w:rFonts w:asciiTheme="minorHAnsi" w:hAnsiTheme="minorHAnsi" w:cstheme="minorHAnsi"/>
        </w:rPr>
        <w:t>,</w:t>
      </w:r>
      <w:r w:rsidR="00BA18B8" w:rsidRPr="00F0531B">
        <w:rPr>
          <w:rFonts w:asciiTheme="minorHAnsi" w:hAnsiTheme="minorHAnsi" w:cstheme="minorHAnsi"/>
        </w:rPr>
        <w:t xml:space="preserve"> to develop a new fact sheet</w:t>
      </w:r>
      <w:r w:rsidR="00643F3A" w:rsidRPr="00F0531B">
        <w:rPr>
          <w:rFonts w:asciiTheme="minorHAnsi" w:hAnsiTheme="minorHAnsi" w:cstheme="minorHAnsi"/>
        </w:rPr>
        <w:t xml:space="preserve"> that consolidates this advice</w:t>
      </w:r>
      <w:r w:rsidR="00BA18B8" w:rsidRPr="00F0531B">
        <w:rPr>
          <w:rFonts w:asciiTheme="minorHAnsi" w:hAnsiTheme="minorHAnsi" w:cstheme="minorHAnsi"/>
        </w:rPr>
        <w:t xml:space="preserve">. </w:t>
      </w:r>
    </w:p>
    <w:p w14:paraId="2C8A2F6F" w14:textId="77777777" w:rsidR="007A471D" w:rsidRPr="00F0531B" w:rsidRDefault="007A471D" w:rsidP="00BA18B8">
      <w:pPr>
        <w:spacing w:line="300" w:lineRule="auto"/>
        <w:rPr>
          <w:rFonts w:asciiTheme="minorHAnsi" w:hAnsiTheme="minorHAnsi" w:cstheme="minorHAnsi"/>
        </w:rPr>
      </w:pPr>
      <w:r w:rsidRPr="00F0531B">
        <w:rPr>
          <w:rFonts w:asciiTheme="minorHAnsi" w:hAnsiTheme="minorHAnsi" w:cstheme="minorHAnsi"/>
        </w:rPr>
        <w:br w:type="page"/>
      </w:r>
    </w:p>
    <w:p w14:paraId="14070E44" w14:textId="0A6CFFC8" w:rsidR="002A496D" w:rsidRDefault="002A496D" w:rsidP="002A496D">
      <w:pPr>
        <w:jc w:val="both"/>
        <w:rPr>
          <w:rFonts w:asciiTheme="minorHAnsi" w:hAnsiTheme="minorHAnsi" w:cstheme="minorHAnsi"/>
        </w:rPr>
      </w:pPr>
      <w:r w:rsidRPr="00F0531B">
        <w:rPr>
          <w:rFonts w:asciiTheme="minorHAnsi" w:hAnsiTheme="minorHAnsi" w:cstheme="minorHAnsi"/>
          <w:b/>
          <w:noProof/>
          <w:lang w:eastAsia="en-AU"/>
        </w:rPr>
        <w:lastRenderedPageBreak/>
        <mc:AlternateContent>
          <mc:Choice Requires="wps">
            <w:drawing>
              <wp:inline distT="0" distB="0" distL="0" distR="0" wp14:anchorId="5365B2C8" wp14:editId="6B625905">
                <wp:extent cx="5372100" cy="250507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05075"/>
                        </a:xfrm>
                        <a:prstGeom prst="rect">
                          <a:avLst/>
                        </a:prstGeom>
                        <a:solidFill>
                          <a:srgbClr val="FFFFFF"/>
                        </a:solidFill>
                        <a:ln w="9525">
                          <a:solidFill>
                            <a:srgbClr val="000000"/>
                          </a:solidFill>
                          <a:miter lim="800000"/>
                          <a:headEnd/>
                          <a:tailEnd/>
                        </a:ln>
                      </wps:spPr>
                      <wps:txbx>
                        <w:txbxContent>
                          <w:p w14:paraId="32003943" w14:textId="77777777" w:rsidR="002A496D" w:rsidRPr="0012323E" w:rsidRDefault="002A496D" w:rsidP="002A496D">
                            <w:pPr>
                              <w:rPr>
                                <w:rFonts w:asciiTheme="majorHAnsi" w:hAnsiTheme="majorHAnsi" w:cstheme="majorHAnsi"/>
                                <w:b/>
                              </w:rPr>
                            </w:pPr>
                            <w:r w:rsidRPr="0012323E">
                              <w:rPr>
                                <w:rFonts w:asciiTheme="majorHAnsi" w:hAnsiTheme="majorHAnsi" w:cstheme="majorHAnsi"/>
                                <w:b/>
                              </w:rPr>
                              <w:t xml:space="preserve">Recommendation </w:t>
                            </w:r>
                            <w:r>
                              <w:rPr>
                                <w:rFonts w:asciiTheme="majorHAnsi" w:hAnsiTheme="majorHAnsi" w:cstheme="majorHAnsi"/>
                                <w:b/>
                              </w:rPr>
                              <w:t>Two</w:t>
                            </w:r>
                          </w:p>
                          <w:p w14:paraId="4DA18E9D" w14:textId="77777777" w:rsidR="002A496D" w:rsidRDefault="002A496D" w:rsidP="002A496D">
                            <w:pPr>
                              <w:rPr>
                                <w:rFonts w:asciiTheme="minorHAnsi" w:hAnsiTheme="minorHAnsi" w:cstheme="minorHAnsi"/>
                              </w:rPr>
                            </w:pPr>
                            <w:r w:rsidRPr="00340E4D">
                              <w:rPr>
                                <w:rFonts w:asciiTheme="minorHAnsi" w:hAnsiTheme="minorHAnsi" w:cstheme="minorHAnsi"/>
                              </w:rPr>
                              <w:t xml:space="preserve">The Committee recommends that the Australian Government work with the states and territories to conduct further research into, and develop standards and/or accreditation requirements for the mould testing and remediation industries, which should include consideration of: </w:t>
                            </w:r>
                          </w:p>
                          <w:p w14:paraId="49E8FD9E" w14:textId="77777777" w:rsidR="002A496D" w:rsidRPr="00340E4D" w:rsidRDefault="002A496D" w:rsidP="002A496D">
                            <w:pPr>
                              <w:pStyle w:val="ListParagraph"/>
                              <w:numPr>
                                <w:ilvl w:val="0"/>
                                <w:numId w:val="2"/>
                              </w:numPr>
                              <w:rPr>
                                <w:rFonts w:asciiTheme="minorHAnsi" w:hAnsiTheme="minorHAnsi" w:cstheme="minorHAnsi"/>
                                <w:b/>
                              </w:rPr>
                            </w:pPr>
                            <w:r w:rsidRPr="00340E4D">
                              <w:rPr>
                                <w:rFonts w:asciiTheme="minorHAnsi" w:hAnsiTheme="minorHAnsi" w:cstheme="minorHAnsi"/>
                              </w:rPr>
                              <w:t xml:space="preserve">the most effective methods of testing and remediation of buildings affected by mould and/or moisture; </w:t>
                            </w:r>
                          </w:p>
                          <w:p w14:paraId="0A567569" w14:textId="77777777" w:rsidR="002A496D" w:rsidRPr="00340E4D" w:rsidRDefault="002A496D" w:rsidP="002A496D">
                            <w:pPr>
                              <w:pStyle w:val="ListParagraph"/>
                              <w:numPr>
                                <w:ilvl w:val="0"/>
                                <w:numId w:val="2"/>
                              </w:numPr>
                              <w:rPr>
                                <w:rFonts w:asciiTheme="minorHAnsi" w:hAnsiTheme="minorHAnsi" w:cstheme="minorHAnsi"/>
                                <w:b/>
                              </w:rPr>
                            </w:pPr>
                            <w:r w:rsidRPr="00340E4D">
                              <w:rPr>
                                <w:rFonts w:asciiTheme="minorHAnsi" w:hAnsiTheme="minorHAnsi" w:cstheme="minorHAnsi"/>
                              </w:rPr>
                              <w:t xml:space="preserve">appropriate accreditation requirements for professionals working in these fields; and </w:t>
                            </w:r>
                          </w:p>
                          <w:p w14:paraId="31E2FCE9" w14:textId="77777777" w:rsidR="002A496D" w:rsidRPr="00340E4D" w:rsidRDefault="002A496D" w:rsidP="002A496D">
                            <w:pPr>
                              <w:pStyle w:val="ListParagraph"/>
                              <w:numPr>
                                <w:ilvl w:val="0"/>
                                <w:numId w:val="2"/>
                              </w:numPr>
                              <w:rPr>
                                <w:rFonts w:asciiTheme="minorHAnsi" w:hAnsiTheme="minorHAnsi" w:cstheme="minorHAnsi"/>
                                <w:b/>
                              </w:rPr>
                            </w:pPr>
                            <w:r w:rsidRPr="00340E4D">
                              <w:rPr>
                                <w:rFonts w:asciiTheme="minorHAnsi" w:hAnsiTheme="minorHAnsi" w:cstheme="minorHAnsi"/>
                              </w:rPr>
                              <w:t>options for greater regulatory oversight of these industries.</w:t>
                            </w:r>
                          </w:p>
                        </w:txbxContent>
                      </wps:txbx>
                      <wps:bodyPr rot="0" vert="horz" wrap="square" lIns="91440" tIns="45720" rIns="91440" bIns="45720" anchor="t" anchorCtr="0">
                        <a:noAutofit/>
                      </wps:bodyPr>
                    </wps:wsp>
                  </a:graphicData>
                </a:graphic>
              </wp:inline>
            </w:drawing>
          </mc:Choice>
          <mc:Fallback>
            <w:pict>
              <v:shape w14:anchorId="5365B2C8" id="_x0000_s1027" type="#_x0000_t202" style="width:423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">
                <v:textbox>
                  <w:txbxContent>
                    <w:p w14:paraId="32003943" w14:textId="77777777" w:rsidR="002A496D" w:rsidRPr="0012323E" w:rsidRDefault="002A496D" w:rsidP="002A496D">
                      <w:pPr>
                        <w:rPr>
                          <w:rFonts w:asciiTheme="majorHAnsi" w:hAnsiTheme="majorHAnsi" w:cstheme="majorHAnsi"/>
                          <w:b/>
                        </w:rPr>
                      </w:pPr>
                      <w:r w:rsidRPr="0012323E">
                        <w:rPr>
                          <w:rFonts w:asciiTheme="majorHAnsi" w:hAnsiTheme="majorHAnsi" w:cstheme="majorHAnsi"/>
                          <w:b/>
                        </w:rPr>
                        <w:t xml:space="preserve">Recommendation </w:t>
                      </w:r>
                      <w:r>
                        <w:rPr>
                          <w:rFonts w:asciiTheme="majorHAnsi" w:hAnsiTheme="majorHAnsi" w:cstheme="majorHAnsi"/>
                          <w:b/>
                        </w:rPr>
                        <w:t>Two</w:t>
                      </w:r>
                    </w:p>
                    <w:p w14:paraId="4DA18E9D" w14:textId="77777777" w:rsidR="002A496D" w:rsidRDefault="002A496D" w:rsidP="002A496D">
                      <w:pPr>
                        <w:rPr>
                          <w:rFonts w:asciiTheme="minorHAnsi" w:hAnsiTheme="minorHAnsi" w:cstheme="minorHAnsi"/>
                        </w:rPr>
                      </w:pPr>
                      <w:r w:rsidRPr="00340E4D">
                        <w:rPr>
                          <w:rFonts w:asciiTheme="minorHAnsi" w:hAnsiTheme="minorHAnsi" w:cstheme="minorHAnsi"/>
                        </w:rPr>
                        <w:t xml:space="preserve">The Committee recommends that the Australian Government work with the states and territories to conduct further research into, and develop standards and/or accreditation requirements for the mould testing and remediation industries, which should include consideration of: </w:t>
                      </w:r>
                    </w:p>
                    <w:p w14:paraId="49E8FD9E" w14:textId="77777777" w:rsidR="002A496D" w:rsidRPr="00340E4D" w:rsidRDefault="002A496D" w:rsidP="002A496D">
                      <w:pPr>
                        <w:pStyle w:val="ListParagraph"/>
                        <w:numPr>
                          <w:ilvl w:val="0"/>
                          <w:numId w:val="2"/>
                        </w:numPr>
                        <w:rPr>
                          <w:rFonts w:asciiTheme="minorHAnsi" w:hAnsiTheme="minorHAnsi" w:cstheme="minorHAnsi"/>
                          <w:b/>
                        </w:rPr>
                      </w:pPr>
                      <w:r w:rsidRPr="00340E4D">
                        <w:rPr>
                          <w:rFonts w:asciiTheme="minorHAnsi" w:hAnsiTheme="minorHAnsi" w:cstheme="minorHAnsi"/>
                        </w:rPr>
                        <w:t xml:space="preserve">the most effective methods of testing and remediation of buildings affected by mould and/or moisture; </w:t>
                      </w:r>
                    </w:p>
                    <w:p w14:paraId="0A567569" w14:textId="77777777" w:rsidR="002A496D" w:rsidRPr="00340E4D" w:rsidRDefault="002A496D" w:rsidP="002A496D">
                      <w:pPr>
                        <w:pStyle w:val="ListParagraph"/>
                        <w:numPr>
                          <w:ilvl w:val="0"/>
                          <w:numId w:val="2"/>
                        </w:numPr>
                        <w:rPr>
                          <w:rFonts w:asciiTheme="minorHAnsi" w:hAnsiTheme="minorHAnsi" w:cstheme="minorHAnsi"/>
                          <w:b/>
                        </w:rPr>
                      </w:pPr>
                      <w:r w:rsidRPr="00340E4D">
                        <w:rPr>
                          <w:rFonts w:asciiTheme="minorHAnsi" w:hAnsiTheme="minorHAnsi" w:cstheme="minorHAnsi"/>
                        </w:rPr>
                        <w:t xml:space="preserve">appropriate accreditation requirements for professionals working in these fields; and </w:t>
                      </w:r>
                    </w:p>
                    <w:p w14:paraId="31E2FCE9" w14:textId="77777777" w:rsidR="002A496D" w:rsidRPr="00340E4D" w:rsidRDefault="002A496D" w:rsidP="002A496D">
                      <w:pPr>
                        <w:pStyle w:val="ListParagraph"/>
                        <w:numPr>
                          <w:ilvl w:val="0"/>
                          <w:numId w:val="2"/>
                        </w:numPr>
                        <w:rPr>
                          <w:rFonts w:asciiTheme="minorHAnsi" w:hAnsiTheme="minorHAnsi" w:cstheme="minorHAnsi"/>
                          <w:b/>
                        </w:rPr>
                      </w:pPr>
                      <w:proofErr w:type="gramStart"/>
                      <w:r w:rsidRPr="00340E4D">
                        <w:rPr>
                          <w:rFonts w:asciiTheme="minorHAnsi" w:hAnsiTheme="minorHAnsi" w:cstheme="minorHAnsi"/>
                        </w:rPr>
                        <w:t>options</w:t>
                      </w:r>
                      <w:proofErr w:type="gramEnd"/>
                      <w:r w:rsidRPr="00340E4D">
                        <w:rPr>
                          <w:rFonts w:asciiTheme="minorHAnsi" w:hAnsiTheme="minorHAnsi" w:cstheme="minorHAnsi"/>
                        </w:rPr>
                        <w:t xml:space="preserve"> for greater regulatory oversight of these industries.</w:t>
                      </w:r>
                    </w:p>
                  </w:txbxContent>
                </v:textbox>
                <w10:anchorlock/>
              </v:shape>
            </w:pict>
          </mc:Fallback>
        </mc:AlternateContent>
      </w:r>
    </w:p>
    <w:p w14:paraId="514063C5" w14:textId="15858979" w:rsidR="00972409" w:rsidRDefault="00C74CA3" w:rsidP="00D81AE5">
      <w:pPr>
        <w:rPr>
          <w:rFonts w:asciiTheme="minorHAnsi" w:hAnsiTheme="minorHAnsi" w:cstheme="minorHAnsi"/>
        </w:rPr>
      </w:pPr>
      <w:r>
        <w:rPr>
          <w:rFonts w:asciiTheme="minorHAnsi" w:hAnsiTheme="minorHAnsi" w:cstheme="minorHAnsi"/>
        </w:rPr>
        <w:t xml:space="preserve">The Australian Government accepts this recommendation in relation to determining the most effective methods of testing and remediation of buildings affected by mould and/or moisture. The </w:t>
      </w:r>
      <w:r w:rsidR="00962204">
        <w:rPr>
          <w:rFonts w:asciiTheme="minorHAnsi" w:hAnsiTheme="minorHAnsi" w:cstheme="minorHAnsi"/>
        </w:rPr>
        <w:t xml:space="preserve">Minister for Health </w:t>
      </w:r>
      <w:r w:rsidR="002A2A58">
        <w:rPr>
          <w:rFonts w:asciiTheme="minorHAnsi" w:hAnsiTheme="minorHAnsi" w:cstheme="minorHAnsi"/>
        </w:rPr>
        <w:t>will</w:t>
      </w:r>
      <w:r w:rsidR="00962204">
        <w:rPr>
          <w:rFonts w:asciiTheme="minorHAnsi" w:hAnsiTheme="minorHAnsi" w:cstheme="minorHAnsi"/>
        </w:rPr>
        <w:t xml:space="preserve"> refer this issue to the</w:t>
      </w:r>
      <w:r w:rsidR="00972409">
        <w:rPr>
          <w:rFonts w:asciiTheme="minorHAnsi" w:hAnsiTheme="minorHAnsi" w:cstheme="minorHAnsi"/>
        </w:rPr>
        <w:t xml:space="preserve"> Minister for Industry, Science and Technology, the Hon Karen Andrews MP,</w:t>
      </w:r>
      <w:r w:rsidR="00962204">
        <w:rPr>
          <w:rFonts w:asciiTheme="minorHAnsi" w:hAnsiTheme="minorHAnsi" w:cstheme="minorHAnsi"/>
        </w:rPr>
        <w:t xml:space="preserve"> </w:t>
      </w:r>
      <w:r w:rsidR="00972409">
        <w:rPr>
          <w:rFonts w:asciiTheme="minorHAnsi" w:hAnsiTheme="minorHAnsi" w:cstheme="minorHAnsi"/>
        </w:rPr>
        <w:t xml:space="preserve">as Chair of the Building Ministers’ Forum, </w:t>
      </w:r>
      <w:r w:rsidR="00962204">
        <w:rPr>
          <w:rFonts w:asciiTheme="minorHAnsi" w:hAnsiTheme="minorHAnsi" w:cstheme="minorHAnsi"/>
        </w:rPr>
        <w:t>for consideration</w:t>
      </w:r>
      <w:r w:rsidR="002A2A58">
        <w:rPr>
          <w:rFonts w:asciiTheme="minorHAnsi" w:hAnsiTheme="minorHAnsi" w:cstheme="minorHAnsi"/>
        </w:rPr>
        <w:t xml:space="preserve"> by Building Ministers</w:t>
      </w:r>
      <w:r w:rsidR="00972409">
        <w:rPr>
          <w:rFonts w:asciiTheme="minorHAnsi" w:hAnsiTheme="minorHAnsi" w:cstheme="minorHAnsi"/>
        </w:rPr>
        <w:t>.</w:t>
      </w:r>
    </w:p>
    <w:p w14:paraId="714390E3" w14:textId="4B97C5DB" w:rsidR="007D7BA6" w:rsidRDefault="00962204" w:rsidP="00895B94">
      <w:pPr>
        <w:rPr>
          <w:rFonts w:asciiTheme="minorHAnsi" w:hAnsiTheme="minorHAnsi" w:cstheme="minorHAnsi"/>
        </w:rPr>
      </w:pPr>
      <w:r>
        <w:rPr>
          <w:rFonts w:asciiTheme="minorHAnsi" w:hAnsiTheme="minorHAnsi" w:cstheme="minorHAnsi"/>
        </w:rPr>
        <w:t>The Building Minis</w:t>
      </w:r>
      <w:r w:rsidR="000F1E81">
        <w:rPr>
          <w:rFonts w:asciiTheme="minorHAnsi" w:hAnsiTheme="minorHAnsi" w:cstheme="minorHAnsi"/>
        </w:rPr>
        <w:t>ter</w:t>
      </w:r>
      <w:r>
        <w:rPr>
          <w:rFonts w:asciiTheme="minorHAnsi" w:hAnsiTheme="minorHAnsi" w:cstheme="minorHAnsi"/>
        </w:rPr>
        <w:t>s</w:t>
      </w:r>
      <w:r w:rsidR="000F1E81">
        <w:rPr>
          <w:rFonts w:asciiTheme="minorHAnsi" w:hAnsiTheme="minorHAnsi" w:cstheme="minorHAnsi"/>
        </w:rPr>
        <w:t>’</w:t>
      </w:r>
      <w:r>
        <w:rPr>
          <w:rFonts w:asciiTheme="minorHAnsi" w:hAnsiTheme="minorHAnsi" w:cstheme="minorHAnsi"/>
        </w:rPr>
        <w:t xml:space="preserve"> Forum </w:t>
      </w:r>
      <w:r w:rsidR="00F253D9" w:rsidRPr="00F253D9">
        <w:rPr>
          <w:rFonts w:asciiTheme="minorHAnsi" w:hAnsiTheme="minorHAnsi" w:cstheme="minorHAnsi"/>
          <w:lang w:val="en"/>
        </w:rPr>
        <w:t>oversees policy and regulatory issues affecting Australia’s building and construction industries</w:t>
      </w:r>
      <w:r w:rsidR="00F253D9">
        <w:rPr>
          <w:rFonts w:asciiTheme="minorHAnsi" w:hAnsiTheme="minorHAnsi" w:cstheme="minorHAnsi"/>
          <w:lang w:val="en"/>
        </w:rPr>
        <w:t xml:space="preserve">, and is comprised of the relevant Commonwealth and </w:t>
      </w:r>
      <w:r w:rsidR="0029106A">
        <w:rPr>
          <w:rFonts w:asciiTheme="minorHAnsi" w:hAnsiTheme="minorHAnsi" w:cstheme="minorHAnsi"/>
          <w:lang w:val="en"/>
        </w:rPr>
        <w:t>S</w:t>
      </w:r>
      <w:r w:rsidR="00F253D9">
        <w:rPr>
          <w:rFonts w:asciiTheme="minorHAnsi" w:hAnsiTheme="minorHAnsi" w:cstheme="minorHAnsi"/>
          <w:lang w:val="en"/>
        </w:rPr>
        <w:t xml:space="preserve">tate and </w:t>
      </w:r>
      <w:r w:rsidR="0029106A">
        <w:rPr>
          <w:rFonts w:asciiTheme="minorHAnsi" w:hAnsiTheme="minorHAnsi" w:cstheme="minorHAnsi"/>
          <w:lang w:val="en"/>
        </w:rPr>
        <w:t>T</w:t>
      </w:r>
      <w:r w:rsidR="00F253D9">
        <w:rPr>
          <w:rFonts w:asciiTheme="minorHAnsi" w:hAnsiTheme="minorHAnsi" w:cstheme="minorHAnsi"/>
          <w:lang w:val="en"/>
        </w:rPr>
        <w:t>erritory Ministers</w:t>
      </w:r>
      <w:r w:rsidR="00BF2FDE">
        <w:rPr>
          <w:rFonts w:asciiTheme="minorHAnsi" w:hAnsiTheme="minorHAnsi" w:cstheme="minorHAnsi"/>
          <w:lang w:val="en"/>
        </w:rPr>
        <w:t xml:space="preserve">, noting </w:t>
      </w:r>
      <w:r w:rsidR="00972409">
        <w:rPr>
          <w:rFonts w:asciiTheme="minorHAnsi" w:hAnsiTheme="minorHAnsi" w:cstheme="minorHAnsi"/>
        </w:rPr>
        <w:t>constitutional authority for building regulation sits with state and territory governments.</w:t>
      </w:r>
    </w:p>
    <w:p w14:paraId="1724F572" w14:textId="0A917DA2" w:rsidR="000A7DFE" w:rsidRDefault="00EF028F" w:rsidP="00895B94">
      <w:pPr>
        <w:rPr>
          <w:rFonts w:asciiTheme="minorHAnsi" w:hAnsiTheme="minorHAnsi" w:cstheme="minorHAnsi"/>
        </w:rPr>
      </w:pPr>
      <w:r>
        <w:rPr>
          <w:rFonts w:asciiTheme="minorHAnsi" w:hAnsiTheme="minorHAnsi" w:cstheme="minorHAnsi"/>
        </w:rPr>
        <w:t xml:space="preserve">The Australian Government notes the work of the </w:t>
      </w:r>
      <w:r w:rsidR="00766E3B">
        <w:rPr>
          <w:rFonts w:asciiTheme="minorHAnsi" w:hAnsiTheme="minorHAnsi" w:cstheme="minorHAnsi"/>
        </w:rPr>
        <w:t>Standing C</w:t>
      </w:r>
      <w:r>
        <w:rPr>
          <w:rFonts w:asciiTheme="minorHAnsi" w:hAnsiTheme="minorHAnsi" w:cstheme="minorHAnsi"/>
        </w:rPr>
        <w:t xml:space="preserve">ommittee in reporting on concerns relating to standards and accreditation requirements for </w:t>
      </w:r>
      <w:r w:rsidR="00F253D9">
        <w:rPr>
          <w:rFonts w:asciiTheme="minorHAnsi" w:hAnsiTheme="minorHAnsi" w:cstheme="minorHAnsi"/>
        </w:rPr>
        <w:t xml:space="preserve">professionals in </w:t>
      </w:r>
      <w:r>
        <w:rPr>
          <w:rFonts w:asciiTheme="minorHAnsi" w:hAnsiTheme="minorHAnsi" w:cstheme="minorHAnsi"/>
        </w:rPr>
        <w:t>the mould testing and remediation industries</w:t>
      </w:r>
      <w:r w:rsidR="00962204">
        <w:rPr>
          <w:rFonts w:asciiTheme="minorHAnsi" w:hAnsiTheme="minorHAnsi" w:cstheme="minorHAnsi"/>
        </w:rPr>
        <w:t>, however t</w:t>
      </w:r>
      <w:r>
        <w:rPr>
          <w:rFonts w:asciiTheme="minorHAnsi" w:hAnsiTheme="minorHAnsi" w:cstheme="minorHAnsi"/>
        </w:rPr>
        <w:t>he</w:t>
      </w:r>
      <w:r w:rsidRPr="00EF028F">
        <w:rPr>
          <w:rFonts w:asciiTheme="minorHAnsi" w:hAnsiTheme="minorHAnsi" w:cstheme="minorHAnsi"/>
        </w:rPr>
        <w:t xml:space="preserve"> development of standards and/or accreditation requirements for mould testing and remediation industries is the responsibility of industry and/or relevant regulators.</w:t>
      </w:r>
      <w:r>
        <w:rPr>
          <w:rFonts w:asciiTheme="minorHAnsi" w:hAnsiTheme="minorHAnsi" w:cstheme="minorHAnsi"/>
        </w:rPr>
        <w:t xml:space="preserve"> </w:t>
      </w:r>
      <w:r w:rsidRPr="00EF028F">
        <w:rPr>
          <w:rFonts w:asciiTheme="minorHAnsi" w:hAnsiTheme="minorHAnsi" w:cstheme="minorHAnsi"/>
        </w:rPr>
        <w:t>Indoor environmental professionals, certified occupational hygienists, mycologists and building biologists are largely trained throu</w:t>
      </w:r>
      <w:r>
        <w:rPr>
          <w:rFonts w:asciiTheme="minorHAnsi" w:hAnsiTheme="minorHAnsi" w:cstheme="minorHAnsi"/>
        </w:rPr>
        <w:t>gh the higher education sector.</w:t>
      </w:r>
    </w:p>
    <w:p w14:paraId="5CE63C34" w14:textId="14F63CEA" w:rsidR="000A7DFE" w:rsidRDefault="008E1ABB" w:rsidP="000A7DFE">
      <w:pPr>
        <w:rPr>
          <w:rFonts w:asciiTheme="minorHAnsi" w:hAnsiTheme="minorHAnsi" w:cstheme="minorHAnsi"/>
        </w:rPr>
      </w:pPr>
      <w:r>
        <w:rPr>
          <w:rFonts w:asciiTheme="minorHAnsi" w:hAnsiTheme="minorHAnsi" w:cstheme="minorHAnsi"/>
        </w:rPr>
        <w:t xml:space="preserve">Professional cleaners </w:t>
      </w:r>
      <w:r w:rsidR="000A7DFE" w:rsidRPr="00EF028F">
        <w:rPr>
          <w:rFonts w:asciiTheme="minorHAnsi" w:hAnsiTheme="minorHAnsi" w:cstheme="minorHAnsi"/>
        </w:rPr>
        <w:t xml:space="preserve">are trained through the vocational education and training (VET) system. The Property Services Industry Reference Committee (IRC) </w:t>
      </w:r>
      <w:r w:rsidR="000A7DFE">
        <w:rPr>
          <w:rFonts w:asciiTheme="minorHAnsi" w:hAnsiTheme="minorHAnsi" w:cstheme="minorHAnsi"/>
        </w:rPr>
        <w:t xml:space="preserve">of the Australian Industry and Skills Committee (AISC) </w:t>
      </w:r>
      <w:r w:rsidR="000A7DFE" w:rsidRPr="00EF028F">
        <w:rPr>
          <w:rFonts w:asciiTheme="minorHAnsi" w:hAnsiTheme="minorHAnsi" w:cstheme="minorHAnsi"/>
        </w:rPr>
        <w:t xml:space="preserve">is responsible for </w:t>
      </w:r>
      <w:r w:rsidR="000A7DFE">
        <w:rPr>
          <w:rFonts w:asciiTheme="minorHAnsi" w:hAnsiTheme="minorHAnsi" w:cstheme="minorHAnsi"/>
        </w:rPr>
        <w:t>reviewing</w:t>
      </w:r>
      <w:r w:rsidR="000A7DFE" w:rsidRPr="00EF028F">
        <w:rPr>
          <w:rFonts w:asciiTheme="minorHAnsi" w:hAnsiTheme="minorHAnsi" w:cstheme="minorHAnsi"/>
        </w:rPr>
        <w:t xml:space="preserve"> the relevant VET qualifications</w:t>
      </w:r>
      <w:r w:rsidR="000A7DFE">
        <w:rPr>
          <w:rFonts w:asciiTheme="minorHAnsi" w:hAnsiTheme="minorHAnsi" w:cstheme="minorHAnsi"/>
        </w:rPr>
        <w:t xml:space="preserve"> </w:t>
      </w:r>
      <w:r w:rsidR="000A7DFE">
        <w:rPr>
          <w:rFonts w:ascii="Calibri" w:hAnsi="Calibri" w:cs="Calibri"/>
        </w:rPr>
        <w:t>and ensuring they are responsive to current and emerging industry needs</w:t>
      </w:r>
      <w:r w:rsidR="000A7DFE" w:rsidRPr="00EF028F">
        <w:rPr>
          <w:rFonts w:asciiTheme="minorHAnsi" w:hAnsiTheme="minorHAnsi" w:cstheme="minorHAnsi"/>
        </w:rPr>
        <w:t xml:space="preserve">. </w:t>
      </w:r>
      <w:r w:rsidR="000A7DFE">
        <w:rPr>
          <w:rFonts w:asciiTheme="minorHAnsi" w:hAnsiTheme="minorHAnsi" w:cstheme="minorHAnsi"/>
        </w:rPr>
        <w:t>The Property Services IRC is supported by Artibus Innovation</w:t>
      </w:r>
      <w:r w:rsidR="00911EF8">
        <w:rPr>
          <w:rStyle w:val="FootnoteReference"/>
          <w:rFonts w:asciiTheme="minorHAnsi" w:hAnsiTheme="minorHAnsi" w:cstheme="minorHAnsi"/>
        </w:rPr>
        <w:footnoteReference w:id="1"/>
      </w:r>
      <w:r w:rsidR="000A7DFE">
        <w:rPr>
          <w:rFonts w:asciiTheme="minorHAnsi" w:hAnsiTheme="minorHAnsi" w:cstheme="minorHAnsi"/>
        </w:rPr>
        <w:t xml:space="preserve">. </w:t>
      </w:r>
    </w:p>
    <w:p w14:paraId="616926B0" w14:textId="567E0CFE" w:rsidR="00E278D0" w:rsidRPr="00F0531B" w:rsidRDefault="000A7DFE" w:rsidP="007D7BA6">
      <w:pPr>
        <w:rPr>
          <w:rFonts w:asciiTheme="minorHAnsi" w:hAnsiTheme="minorHAnsi" w:cstheme="minorHAnsi"/>
        </w:rPr>
      </w:pPr>
      <w:r>
        <w:rPr>
          <w:rFonts w:asciiTheme="minorHAnsi" w:hAnsiTheme="minorHAnsi" w:cstheme="minorHAnsi"/>
        </w:rPr>
        <w:t>The mould testing and remediation industries are encouraged to engage with the Property Services IRC, through Artibus Innovation, to ensure relevant qualifications address industry skills needs.</w:t>
      </w:r>
      <w:r w:rsidR="007A471D" w:rsidRPr="00F0531B">
        <w:rPr>
          <w:rFonts w:asciiTheme="minorHAnsi" w:hAnsiTheme="minorHAnsi" w:cstheme="minorHAnsi"/>
        </w:rPr>
        <w:br w:type="page"/>
      </w:r>
    </w:p>
    <w:p w14:paraId="628FAE72" w14:textId="77777777" w:rsidR="002A496D" w:rsidRDefault="00123221" w:rsidP="006A0A0E">
      <w:pPr>
        <w:rPr>
          <w:rFonts w:asciiTheme="minorHAnsi" w:hAnsiTheme="minorHAnsi" w:cstheme="minorHAnsi"/>
        </w:rPr>
      </w:pPr>
      <w:r w:rsidRPr="00F0531B">
        <w:rPr>
          <w:rFonts w:asciiTheme="minorHAnsi" w:hAnsiTheme="minorHAnsi" w:cstheme="minorHAnsi"/>
          <w:b/>
          <w:noProof/>
          <w:lang w:eastAsia="en-AU"/>
        </w:rPr>
        <w:lastRenderedPageBreak/>
        <mc:AlternateContent>
          <mc:Choice Requires="wps">
            <w:drawing>
              <wp:inline distT="0" distB="0" distL="0" distR="0" wp14:anchorId="3C3C3358" wp14:editId="0C5539F1">
                <wp:extent cx="5372100" cy="1404620"/>
                <wp:effectExtent l="0" t="0" r="1905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174E6B74" w14:textId="77777777" w:rsidR="00123221" w:rsidRPr="0012323E" w:rsidRDefault="00123221" w:rsidP="00123221">
                            <w:pPr>
                              <w:rPr>
                                <w:rFonts w:asciiTheme="majorHAnsi" w:hAnsiTheme="majorHAnsi" w:cstheme="majorHAnsi"/>
                                <w:b/>
                              </w:rPr>
                            </w:pPr>
                            <w:r w:rsidRPr="0012323E">
                              <w:rPr>
                                <w:rFonts w:asciiTheme="majorHAnsi" w:hAnsiTheme="majorHAnsi" w:cstheme="majorHAnsi"/>
                                <w:b/>
                              </w:rPr>
                              <w:t xml:space="preserve">Recommendation </w:t>
                            </w:r>
                            <w:r>
                              <w:rPr>
                                <w:rFonts w:asciiTheme="majorHAnsi" w:hAnsiTheme="majorHAnsi" w:cstheme="majorHAnsi"/>
                                <w:b/>
                              </w:rPr>
                              <w:t>Three</w:t>
                            </w:r>
                          </w:p>
                          <w:p w14:paraId="367CF152" w14:textId="77777777" w:rsidR="00123221" w:rsidRPr="00F03F6D" w:rsidRDefault="00E278D0" w:rsidP="00F03F6D">
                            <w:pPr>
                              <w:rPr>
                                <w:rFonts w:asciiTheme="minorHAnsi" w:hAnsiTheme="minorHAnsi" w:cstheme="minorHAnsi"/>
                                <w:b/>
                              </w:rPr>
                            </w:pPr>
                            <w:r w:rsidRPr="00E278D0">
                              <w:rPr>
                                <w:rFonts w:asciiTheme="minorHAnsi" w:hAnsiTheme="minorHAnsi" w:cstheme="minorHAnsi"/>
                              </w:rPr>
                              <w:t>The Committee recommends that the Australian Government work with the states and territories to ensure that tenants in rental properties, aged care facilities, and community, social and public housing are provided with timely information about disclosure and rectification of any previous or existing mould and/or water damage issues in a property before entering into a residential leasing agreement.</w:t>
                            </w:r>
                          </w:p>
                        </w:txbxContent>
                      </wps:txbx>
                      <wps:bodyPr rot="0" vert="horz" wrap="square" lIns="91440" tIns="45720" rIns="91440" bIns="45720" anchor="t" anchorCtr="0">
                        <a:spAutoFit/>
                      </wps:bodyPr>
                    </wps:wsp>
                  </a:graphicData>
                </a:graphic>
              </wp:inline>
            </w:drawing>
          </mc:Choice>
          <mc:Fallback>
            <w:pict>
              <v:shape w14:anchorId="3C3C3358" id="_x0000_s1028" type="#_x0000_t202" style="width:4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">
                <v:textbox style="mso-fit-shape-to-text:t">
                  <w:txbxContent>
                    <w:p w14:paraId="174E6B74" w14:textId="77777777" w:rsidR="00123221" w:rsidRPr="0012323E" w:rsidRDefault="00123221" w:rsidP="00123221">
                      <w:pPr>
                        <w:rPr>
                          <w:rFonts w:asciiTheme="majorHAnsi" w:hAnsiTheme="majorHAnsi" w:cstheme="majorHAnsi"/>
                          <w:b/>
                        </w:rPr>
                      </w:pPr>
                      <w:r w:rsidRPr="0012323E">
                        <w:rPr>
                          <w:rFonts w:asciiTheme="majorHAnsi" w:hAnsiTheme="majorHAnsi" w:cstheme="majorHAnsi"/>
                          <w:b/>
                        </w:rPr>
                        <w:t xml:space="preserve">Recommendation </w:t>
                      </w:r>
                      <w:r>
                        <w:rPr>
                          <w:rFonts w:asciiTheme="majorHAnsi" w:hAnsiTheme="majorHAnsi" w:cstheme="majorHAnsi"/>
                          <w:b/>
                        </w:rPr>
                        <w:t>Three</w:t>
                      </w:r>
                    </w:p>
                    <w:p w14:paraId="367CF152" w14:textId="77777777" w:rsidR="00123221" w:rsidRPr="00F03F6D" w:rsidRDefault="00E278D0" w:rsidP="00F03F6D">
                      <w:pPr>
                        <w:rPr>
                          <w:rFonts w:asciiTheme="minorHAnsi" w:hAnsiTheme="minorHAnsi" w:cstheme="minorHAnsi"/>
                          <w:b/>
                        </w:rPr>
                      </w:pPr>
                      <w:r w:rsidRPr="00E278D0">
                        <w:rPr>
                          <w:rFonts w:asciiTheme="minorHAnsi" w:hAnsiTheme="minorHAnsi" w:cstheme="minorHAnsi"/>
                        </w:rPr>
                        <w:t>The Committee recommends that the Australian Government work with the states and territories to ensure that tenants in rental properties, aged care facilities, and community, social and public housing are provided with timely information about disclosure and rectification of any previous or existing mould and/or water damage issues in a property before entering into a residential leasing agreement.</w:t>
                      </w:r>
                    </w:p>
                  </w:txbxContent>
                </v:textbox>
                <w10:anchorlock/>
              </v:shape>
            </w:pict>
          </mc:Fallback>
        </mc:AlternateContent>
      </w:r>
    </w:p>
    <w:p w14:paraId="16E2B068" w14:textId="0733A00C" w:rsidR="00962204" w:rsidRDefault="00962204" w:rsidP="006A0A0E">
      <w:pPr>
        <w:rPr>
          <w:rFonts w:asciiTheme="minorHAnsi" w:hAnsiTheme="minorHAnsi" w:cstheme="minorHAnsi"/>
        </w:rPr>
      </w:pPr>
      <w:r>
        <w:rPr>
          <w:rFonts w:asciiTheme="minorHAnsi" w:hAnsiTheme="minorHAnsi" w:cstheme="minorHAnsi"/>
        </w:rPr>
        <w:t>The Australian Government</w:t>
      </w:r>
      <w:r w:rsidR="009C055B">
        <w:rPr>
          <w:rFonts w:asciiTheme="minorHAnsi" w:hAnsiTheme="minorHAnsi" w:cstheme="minorHAnsi"/>
        </w:rPr>
        <w:t xml:space="preserve"> will write to states and territories to notify them of this recommendation</w:t>
      </w:r>
      <w:r>
        <w:rPr>
          <w:rFonts w:asciiTheme="minorHAnsi" w:hAnsiTheme="minorHAnsi" w:cstheme="minorHAnsi"/>
        </w:rPr>
        <w:t>. While t</w:t>
      </w:r>
      <w:r w:rsidRPr="00F0531B">
        <w:rPr>
          <w:rFonts w:asciiTheme="minorHAnsi" w:hAnsiTheme="minorHAnsi" w:cstheme="minorHAnsi"/>
        </w:rPr>
        <w:t xml:space="preserve">he </w:t>
      </w:r>
      <w:r w:rsidR="00DE3FF9" w:rsidRPr="00F0531B">
        <w:rPr>
          <w:rFonts w:asciiTheme="minorHAnsi" w:hAnsiTheme="minorHAnsi" w:cstheme="minorHAnsi"/>
        </w:rPr>
        <w:t xml:space="preserve">Australian Government acknowledges the work of the </w:t>
      </w:r>
      <w:r w:rsidR="000F1E81">
        <w:rPr>
          <w:rFonts w:asciiTheme="minorHAnsi" w:hAnsiTheme="minorHAnsi" w:cstheme="minorHAnsi"/>
        </w:rPr>
        <w:t>Standing C</w:t>
      </w:r>
      <w:r w:rsidR="000F1E81" w:rsidRPr="00F0531B">
        <w:rPr>
          <w:rFonts w:asciiTheme="minorHAnsi" w:hAnsiTheme="minorHAnsi" w:cstheme="minorHAnsi"/>
        </w:rPr>
        <w:t xml:space="preserve">ommittee </w:t>
      </w:r>
      <w:r w:rsidR="00DE3FF9" w:rsidRPr="00F0531B">
        <w:rPr>
          <w:rFonts w:asciiTheme="minorHAnsi" w:hAnsiTheme="minorHAnsi" w:cstheme="minorHAnsi"/>
        </w:rPr>
        <w:t>in investigating issues relating to mould and/or water damage in housing</w:t>
      </w:r>
      <w:r>
        <w:rPr>
          <w:rFonts w:asciiTheme="minorHAnsi" w:hAnsiTheme="minorHAnsi" w:cstheme="minorHAnsi"/>
        </w:rPr>
        <w:t xml:space="preserve">, </w:t>
      </w:r>
      <w:r w:rsidR="000F1E81">
        <w:rPr>
          <w:rFonts w:asciiTheme="minorHAnsi" w:hAnsiTheme="minorHAnsi" w:cstheme="minorHAnsi"/>
        </w:rPr>
        <w:t>tenancy law</w:t>
      </w:r>
      <w:r w:rsidRPr="00F0531B">
        <w:rPr>
          <w:rFonts w:asciiTheme="minorHAnsi" w:hAnsiTheme="minorHAnsi" w:cstheme="minorHAnsi"/>
        </w:rPr>
        <w:t xml:space="preserve"> and the day-to-day management of communit</w:t>
      </w:r>
      <w:r w:rsidR="000F1E81">
        <w:rPr>
          <w:rFonts w:asciiTheme="minorHAnsi" w:hAnsiTheme="minorHAnsi" w:cstheme="minorHAnsi"/>
        </w:rPr>
        <w:t>y and public housing</w:t>
      </w:r>
      <w:r w:rsidRPr="00F0531B">
        <w:rPr>
          <w:rFonts w:asciiTheme="minorHAnsi" w:hAnsiTheme="minorHAnsi" w:cstheme="minorHAnsi"/>
        </w:rPr>
        <w:t xml:space="preserve"> </w:t>
      </w:r>
      <w:r>
        <w:rPr>
          <w:rFonts w:asciiTheme="minorHAnsi" w:hAnsiTheme="minorHAnsi" w:cstheme="minorHAnsi"/>
        </w:rPr>
        <w:t>are</w:t>
      </w:r>
      <w:r w:rsidRPr="00F0531B">
        <w:rPr>
          <w:rFonts w:asciiTheme="minorHAnsi" w:hAnsiTheme="minorHAnsi" w:cstheme="minorHAnsi"/>
        </w:rPr>
        <w:t xml:space="preserve"> the responsibility of individual state and territory governments. This includes decisions about the maintenance of dwellings and determining</w:t>
      </w:r>
      <w:r>
        <w:rPr>
          <w:rFonts w:asciiTheme="minorHAnsi" w:hAnsiTheme="minorHAnsi" w:cstheme="minorHAnsi"/>
        </w:rPr>
        <w:t xml:space="preserve"> associated</w:t>
      </w:r>
      <w:r w:rsidRPr="00F0531B">
        <w:rPr>
          <w:rFonts w:asciiTheme="minorHAnsi" w:hAnsiTheme="minorHAnsi" w:cstheme="minorHAnsi"/>
        </w:rPr>
        <w:t xml:space="preserve"> health risks.</w:t>
      </w:r>
      <w:r w:rsidR="00DE3FF9" w:rsidRPr="00F0531B">
        <w:rPr>
          <w:rFonts w:asciiTheme="minorHAnsi" w:hAnsiTheme="minorHAnsi" w:cstheme="minorHAnsi"/>
        </w:rPr>
        <w:t xml:space="preserve"> </w:t>
      </w:r>
    </w:p>
    <w:p w14:paraId="59432A4E" w14:textId="7B4936BD" w:rsidR="006306A3" w:rsidRPr="00CE7AC9" w:rsidRDefault="00DE3FF9" w:rsidP="006306A3">
      <w:pPr>
        <w:rPr>
          <w:rFonts w:asciiTheme="minorHAnsi" w:hAnsiTheme="minorHAnsi" w:cstheme="minorHAnsi"/>
        </w:rPr>
      </w:pPr>
      <w:r w:rsidRPr="00F0531B">
        <w:rPr>
          <w:rFonts w:asciiTheme="minorHAnsi" w:hAnsiTheme="minorHAnsi" w:cstheme="minorHAnsi"/>
        </w:rPr>
        <w:t xml:space="preserve">The Australian Government provides funding to the states and territories to improve housing outcomes across the spectrum.  This includes $1.5 billion in funding each year under the National Housing and Homelessness Agreement. </w:t>
      </w:r>
      <w:r w:rsidR="006306A3" w:rsidRPr="00CE7AC9">
        <w:rPr>
          <w:rFonts w:asciiTheme="minorHAnsi" w:hAnsiTheme="minorHAnsi" w:cstheme="minorHAnsi"/>
        </w:rPr>
        <w:t xml:space="preserve">The Aged Care Quality and Safety Commission accredits aged care services subsidised by the Australian Government, and monitors compliance with </w:t>
      </w:r>
      <w:r w:rsidR="006306A3">
        <w:rPr>
          <w:rFonts w:asciiTheme="minorHAnsi" w:hAnsiTheme="minorHAnsi" w:cstheme="minorHAnsi"/>
        </w:rPr>
        <w:t xml:space="preserve">the </w:t>
      </w:r>
      <w:r w:rsidR="006306A3" w:rsidRPr="00CE7AC9">
        <w:rPr>
          <w:rFonts w:asciiTheme="minorHAnsi" w:hAnsiTheme="minorHAnsi" w:cstheme="minorHAnsi"/>
        </w:rPr>
        <w:t>Aged Care Quality Standards. The accredited organisation’s service environment</w:t>
      </w:r>
      <w:r w:rsidR="006306A3">
        <w:rPr>
          <w:rFonts w:asciiTheme="minorHAnsi" w:hAnsiTheme="minorHAnsi" w:cstheme="minorHAnsi"/>
        </w:rPr>
        <w:t>,</w:t>
      </w:r>
      <w:r w:rsidR="006306A3" w:rsidRPr="00CE7AC9">
        <w:rPr>
          <w:rFonts w:asciiTheme="minorHAnsi" w:hAnsiTheme="minorHAnsi" w:cstheme="minorHAnsi"/>
        </w:rPr>
        <w:t xml:space="preserve"> and information provided to consumers</w:t>
      </w:r>
      <w:r w:rsidR="006306A3">
        <w:rPr>
          <w:rFonts w:asciiTheme="minorHAnsi" w:hAnsiTheme="minorHAnsi" w:cstheme="minorHAnsi"/>
        </w:rPr>
        <w:t>,</w:t>
      </w:r>
      <w:r w:rsidR="006306A3" w:rsidRPr="00CE7AC9">
        <w:rPr>
          <w:rFonts w:asciiTheme="minorHAnsi" w:hAnsiTheme="minorHAnsi" w:cstheme="minorHAnsi"/>
        </w:rPr>
        <w:t xml:space="preserve"> form part of these </w:t>
      </w:r>
      <w:r w:rsidR="006306A3">
        <w:rPr>
          <w:rFonts w:asciiTheme="minorHAnsi" w:hAnsiTheme="minorHAnsi" w:cstheme="minorHAnsi"/>
        </w:rPr>
        <w:t xml:space="preserve">Quality </w:t>
      </w:r>
      <w:r w:rsidR="006306A3" w:rsidRPr="00CE7AC9">
        <w:rPr>
          <w:rFonts w:asciiTheme="minorHAnsi" w:hAnsiTheme="minorHAnsi" w:cstheme="minorHAnsi"/>
        </w:rPr>
        <w:t>Standards.</w:t>
      </w:r>
    </w:p>
    <w:p w14:paraId="0B05896D" w14:textId="48D13E16" w:rsidR="006A0A0E" w:rsidRDefault="006A0A0E" w:rsidP="006A0A0E">
      <w:pPr>
        <w:rPr>
          <w:rFonts w:asciiTheme="minorHAnsi" w:hAnsiTheme="minorHAnsi" w:cstheme="minorHAnsi"/>
        </w:rPr>
      </w:pPr>
    </w:p>
    <w:p w14:paraId="4479050B" w14:textId="46428213" w:rsidR="00E278D0" w:rsidRPr="00F0531B" w:rsidRDefault="00E278D0" w:rsidP="00895B94">
      <w:pPr>
        <w:rPr>
          <w:rFonts w:asciiTheme="minorHAnsi" w:hAnsiTheme="minorHAnsi" w:cstheme="minorHAnsi"/>
        </w:rPr>
      </w:pPr>
      <w:r w:rsidRPr="00F0531B">
        <w:rPr>
          <w:rFonts w:asciiTheme="minorHAnsi" w:hAnsiTheme="minorHAnsi" w:cstheme="minorHAnsi"/>
        </w:rPr>
        <w:br w:type="page"/>
      </w:r>
    </w:p>
    <w:p w14:paraId="76EE86A7" w14:textId="77777777" w:rsidR="002A496D" w:rsidRDefault="00E278D0" w:rsidP="00F253D9">
      <w:pPr>
        <w:rPr>
          <w:rFonts w:asciiTheme="minorHAnsi" w:hAnsiTheme="minorHAnsi" w:cstheme="minorHAnsi"/>
        </w:rPr>
      </w:pPr>
      <w:r w:rsidRPr="00F0531B">
        <w:rPr>
          <w:rFonts w:asciiTheme="minorHAnsi" w:hAnsiTheme="minorHAnsi" w:cstheme="minorHAnsi"/>
          <w:b/>
          <w:noProof/>
          <w:lang w:eastAsia="en-AU"/>
        </w:rPr>
        <w:lastRenderedPageBreak/>
        <mc:AlternateContent>
          <mc:Choice Requires="wps">
            <w:drawing>
              <wp:inline distT="0" distB="0" distL="0" distR="0" wp14:anchorId="40EEA6C0" wp14:editId="3A630A26">
                <wp:extent cx="5372100" cy="12954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74800"/>
                        </a:xfrm>
                        <a:prstGeom prst="rect">
                          <a:avLst/>
                        </a:prstGeom>
                        <a:solidFill>
                          <a:srgbClr val="FFFFFF"/>
                        </a:solidFill>
                        <a:ln w="9525">
                          <a:solidFill>
                            <a:srgbClr val="000000"/>
                          </a:solidFill>
                          <a:miter lim="800000"/>
                          <a:headEnd/>
                          <a:tailEnd/>
                        </a:ln>
                      </wps:spPr>
                      <wps:txbx>
                        <w:txbxContent>
                          <w:p w14:paraId="040A4BDB" w14:textId="77777777" w:rsidR="00E278D0" w:rsidRPr="0012323E" w:rsidRDefault="00E278D0" w:rsidP="00E278D0">
                            <w:pPr>
                              <w:rPr>
                                <w:rFonts w:asciiTheme="majorHAnsi" w:hAnsiTheme="majorHAnsi" w:cstheme="majorHAnsi"/>
                                <w:b/>
                              </w:rPr>
                            </w:pPr>
                            <w:r w:rsidRPr="0012323E">
                              <w:rPr>
                                <w:rFonts w:asciiTheme="majorHAnsi" w:hAnsiTheme="majorHAnsi" w:cstheme="majorHAnsi"/>
                                <w:b/>
                              </w:rPr>
                              <w:t xml:space="preserve">Recommendation </w:t>
                            </w:r>
                            <w:r>
                              <w:rPr>
                                <w:rFonts w:asciiTheme="majorHAnsi" w:hAnsiTheme="majorHAnsi" w:cstheme="majorHAnsi"/>
                                <w:b/>
                              </w:rPr>
                              <w:t>Four</w:t>
                            </w:r>
                          </w:p>
                          <w:p w14:paraId="1A0CB80C" w14:textId="77777777" w:rsidR="00E278D0" w:rsidRPr="00F03F6D" w:rsidRDefault="00F03F6D" w:rsidP="00F03F6D">
                            <w:pPr>
                              <w:rPr>
                                <w:rFonts w:ascii="Calibri" w:hAnsi="Calibri" w:cs="Calibri"/>
                                <w:b/>
                              </w:rPr>
                            </w:pPr>
                            <w:r w:rsidRPr="00F03F6D">
                              <w:rPr>
                                <w:rFonts w:ascii="Calibri" w:hAnsi="Calibri" w:cs="Calibri"/>
                              </w:rPr>
                              <w:t>The Committee recommends that the Australian Government work with states and territories to conduct further research into the adequacy of current building codes and standards related to the prevention and remediation of dampness and mould in buildings.</w:t>
                            </w:r>
                          </w:p>
                          <w:p w14:paraId="74FD73A1" w14:textId="77777777" w:rsidR="00F03F6D" w:rsidRDefault="00F03F6D"/>
                        </w:txbxContent>
                      </wps:txbx>
                      <wps:bodyPr rot="0" vert="horz" wrap="square" lIns="91440" tIns="45720" rIns="91440" bIns="45720" anchor="t" anchorCtr="0">
                        <a:noAutofit/>
                      </wps:bodyPr>
                    </wps:wsp>
                  </a:graphicData>
                </a:graphic>
              </wp:inline>
            </w:drawing>
          </mc:Choice>
          <mc:Fallback>
            <w:pict>
              <v:shape w14:anchorId="40EEA6C0" id="Text Box 3" o:spid="_x0000_s1029" type="#_x0000_t202" style="width:423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">
                <v:textbox>
                  <w:txbxContent>
                    <w:p w14:paraId="040A4BDB" w14:textId="77777777" w:rsidR="00E278D0" w:rsidRPr="0012323E" w:rsidRDefault="00E278D0" w:rsidP="00E278D0">
                      <w:pPr>
                        <w:rPr>
                          <w:rFonts w:asciiTheme="majorHAnsi" w:hAnsiTheme="majorHAnsi" w:cstheme="majorHAnsi"/>
                          <w:b/>
                        </w:rPr>
                      </w:pPr>
                      <w:r w:rsidRPr="0012323E">
                        <w:rPr>
                          <w:rFonts w:asciiTheme="majorHAnsi" w:hAnsiTheme="majorHAnsi" w:cstheme="majorHAnsi"/>
                          <w:b/>
                        </w:rPr>
                        <w:t xml:space="preserve">Recommendation </w:t>
                      </w:r>
                      <w:r>
                        <w:rPr>
                          <w:rFonts w:asciiTheme="majorHAnsi" w:hAnsiTheme="majorHAnsi" w:cstheme="majorHAnsi"/>
                          <w:b/>
                        </w:rPr>
                        <w:t>Four</w:t>
                      </w:r>
                    </w:p>
                    <w:p w14:paraId="1A0CB80C" w14:textId="77777777" w:rsidR="00E278D0" w:rsidRPr="00F03F6D" w:rsidRDefault="00F03F6D" w:rsidP="00F03F6D">
                      <w:pPr>
                        <w:rPr>
                          <w:rFonts w:ascii="Calibri" w:hAnsi="Calibri" w:cs="Calibri"/>
                          <w:b/>
                        </w:rPr>
                      </w:pPr>
                      <w:r w:rsidRPr="00F03F6D">
                        <w:rPr>
                          <w:rFonts w:ascii="Calibri" w:hAnsi="Calibri" w:cs="Calibri"/>
                        </w:rPr>
                        <w:t>The Committee recommends that the Australian Government work with states and territories to conduct further research into the adequacy of current building codes and standards related to the prevention and remediation of dampness and mould in buildings.</w:t>
                      </w:r>
                    </w:p>
                    <w:p w14:paraId="74FD73A1" w14:textId="77777777" w:rsidR="00F03F6D" w:rsidRDefault="00F03F6D"/>
                  </w:txbxContent>
                </v:textbox>
                <w10:anchorlock/>
              </v:shape>
            </w:pict>
          </mc:Fallback>
        </mc:AlternateContent>
      </w:r>
    </w:p>
    <w:p w14:paraId="5E5D04DB" w14:textId="368066A5" w:rsidR="0038400D" w:rsidRDefault="00F616B4" w:rsidP="00F253D9">
      <w:pPr>
        <w:rPr>
          <w:rFonts w:asciiTheme="minorHAnsi" w:hAnsiTheme="minorHAnsi" w:cstheme="minorHAnsi"/>
        </w:rPr>
      </w:pPr>
      <w:r>
        <w:rPr>
          <w:rFonts w:asciiTheme="minorHAnsi" w:hAnsiTheme="minorHAnsi" w:cstheme="minorHAnsi"/>
        </w:rPr>
        <w:t xml:space="preserve">The Australian Government </w:t>
      </w:r>
      <w:r w:rsidR="00962204">
        <w:rPr>
          <w:rFonts w:asciiTheme="minorHAnsi" w:hAnsiTheme="minorHAnsi" w:cstheme="minorHAnsi"/>
        </w:rPr>
        <w:t xml:space="preserve">accepts this recommendation. </w:t>
      </w:r>
    </w:p>
    <w:p w14:paraId="5064E5B2" w14:textId="4B0B9BA7" w:rsidR="00C21C3A" w:rsidRDefault="009E6A3A" w:rsidP="008D2B2A">
      <w:pPr>
        <w:rPr>
          <w:rFonts w:asciiTheme="minorHAnsi" w:hAnsiTheme="minorHAnsi" w:cstheme="minorHAnsi"/>
        </w:rPr>
      </w:pPr>
      <w:r>
        <w:rPr>
          <w:rFonts w:asciiTheme="minorHAnsi" w:hAnsiTheme="minorHAnsi" w:cstheme="minorHAnsi"/>
        </w:rPr>
        <w:t>The Minister for Health will refer this issue to the Minister for Industry, Science and Technology, the Hon Karen Andrews MP, as Chair of the Building Ministers’ Forum</w:t>
      </w:r>
      <w:r w:rsidR="0043770C">
        <w:rPr>
          <w:rFonts w:asciiTheme="minorHAnsi" w:hAnsiTheme="minorHAnsi" w:cstheme="minorHAnsi"/>
        </w:rPr>
        <w:t>,</w:t>
      </w:r>
      <w:r w:rsidR="00F10356">
        <w:rPr>
          <w:rFonts w:asciiTheme="minorHAnsi" w:hAnsiTheme="minorHAnsi" w:cstheme="minorHAnsi"/>
        </w:rPr>
        <w:t xml:space="preserve"> </w:t>
      </w:r>
      <w:r>
        <w:rPr>
          <w:rFonts w:asciiTheme="minorHAnsi" w:hAnsiTheme="minorHAnsi" w:cstheme="minorHAnsi"/>
        </w:rPr>
        <w:t>for consideration by Building Ministers</w:t>
      </w:r>
      <w:r w:rsidR="000F14D8">
        <w:rPr>
          <w:rFonts w:asciiTheme="minorHAnsi" w:hAnsiTheme="minorHAnsi" w:cstheme="minorHAnsi"/>
        </w:rPr>
        <w:t xml:space="preserve">, </w:t>
      </w:r>
      <w:r w:rsidR="000F14D8">
        <w:rPr>
          <w:rFonts w:asciiTheme="minorHAnsi" w:hAnsiTheme="minorHAnsi" w:cstheme="minorHAnsi"/>
          <w:lang w:val="en"/>
        </w:rPr>
        <w:t>noting</w:t>
      </w:r>
      <w:r w:rsidR="008D2B2A">
        <w:rPr>
          <w:rFonts w:asciiTheme="minorHAnsi" w:hAnsiTheme="minorHAnsi" w:cstheme="minorHAnsi"/>
          <w:lang w:val="en"/>
        </w:rPr>
        <w:t xml:space="preserve"> </w:t>
      </w:r>
      <w:r w:rsidR="008D2B2A">
        <w:rPr>
          <w:rFonts w:asciiTheme="minorHAnsi" w:hAnsiTheme="minorHAnsi" w:cstheme="minorHAnsi"/>
        </w:rPr>
        <w:t>constitutional authority for building regulation sits with state and territory governments</w:t>
      </w:r>
      <w:r w:rsidR="00C21C3A">
        <w:rPr>
          <w:rFonts w:asciiTheme="minorHAnsi" w:hAnsiTheme="minorHAnsi" w:cstheme="minorHAnsi"/>
        </w:rPr>
        <w:t>.</w:t>
      </w:r>
    </w:p>
    <w:p w14:paraId="12B8D354" w14:textId="190C789F" w:rsidR="008D2B2A" w:rsidRDefault="00C938E5" w:rsidP="008D2B2A">
      <w:pPr>
        <w:rPr>
          <w:rFonts w:asciiTheme="minorHAnsi" w:hAnsiTheme="minorHAnsi" w:cstheme="minorHAnsi"/>
        </w:rPr>
      </w:pPr>
      <w:r>
        <w:rPr>
          <w:rFonts w:asciiTheme="minorHAnsi" w:hAnsiTheme="minorHAnsi" w:cstheme="minorHAnsi"/>
        </w:rPr>
        <w:t>T</w:t>
      </w:r>
      <w:r w:rsidR="008D2B2A" w:rsidRPr="00D80ED9">
        <w:rPr>
          <w:rFonts w:asciiTheme="minorHAnsi" w:hAnsiTheme="minorHAnsi" w:cstheme="minorHAnsi"/>
        </w:rPr>
        <w:t xml:space="preserve">he </w:t>
      </w:r>
      <w:r w:rsidR="008D2B2A">
        <w:rPr>
          <w:rFonts w:asciiTheme="minorHAnsi" w:hAnsiTheme="minorHAnsi" w:cstheme="minorHAnsi"/>
        </w:rPr>
        <w:t>A</w:t>
      </w:r>
      <w:r w:rsidR="0043770C">
        <w:rPr>
          <w:rFonts w:asciiTheme="minorHAnsi" w:hAnsiTheme="minorHAnsi" w:cstheme="minorHAnsi"/>
        </w:rPr>
        <w:t xml:space="preserve">ustralian </w:t>
      </w:r>
      <w:r w:rsidR="008D2B2A">
        <w:rPr>
          <w:rFonts w:asciiTheme="minorHAnsi" w:hAnsiTheme="minorHAnsi" w:cstheme="minorHAnsi"/>
        </w:rPr>
        <w:t>B</w:t>
      </w:r>
      <w:r w:rsidR="0043770C">
        <w:rPr>
          <w:rFonts w:asciiTheme="minorHAnsi" w:hAnsiTheme="minorHAnsi" w:cstheme="minorHAnsi"/>
        </w:rPr>
        <w:t xml:space="preserve">uilding </w:t>
      </w:r>
      <w:r w:rsidR="008D2B2A">
        <w:rPr>
          <w:rFonts w:asciiTheme="minorHAnsi" w:hAnsiTheme="minorHAnsi" w:cstheme="minorHAnsi"/>
        </w:rPr>
        <w:t>C</w:t>
      </w:r>
      <w:r w:rsidR="0043770C">
        <w:rPr>
          <w:rFonts w:asciiTheme="minorHAnsi" w:hAnsiTheme="minorHAnsi" w:cstheme="minorHAnsi"/>
        </w:rPr>
        <w:t xml:space="preserve">odes </w:t>
      </w:r>
      <w:r w:rsidR="008D2B2A">
        <w:rPr>
          <w:rFonts w:asciiTheme="minorHAnsi" w:hAnsiTheme="minorHAnsi" w:cstheme="minorHAnsi"/>
        </w:rPr>
        <w:t>B</w:t>
      </w:r>
      <w:r w:rsidR="0043770C">
        <w:rPr>
          <w:rFonts w:asciiTheme="minorHAnsi" w:hAnsiTheme="minorHAnsi" w:cstheme="minorHAnsi"/>
        </w:rPr>
        <w:t>oard (ABCB)</w:t>
      </w:r>
      <w:r w:rsidR="008D2B2A">
        <w:rPr>
          <w:rFonts w:asciiTheme="minorHAnsi" w:hAnsiTheme="minorHAnsi" w:cstheme="minorHAnsi"/>
        </w:rPr>
        <w:t xml:space="preserve"> is </w:t>
      </w:r>
      <w:r w:rsidR="008D2B2A" w:rsidRPr="00D80ED9">
        <w:rPr>
          <w:rFonts w:asciiTheme="minorHAnsi" w:hAnsiTheme="minorHAnsi" w:cstheme="minorHAnsi"/>
        </w:rPr>
        <w:t>established and funded by an Intergovernmental Agreement between the Australian Government and all state and territory governments</w:t>
      </w:r>
      <w:r w:rsidR="008D2B2A">
        <w:rPr>
          <w:rFonts w:asciiTheme="minorHAnsi" w:hAnsiTheme="minorHAnsi" w:cstheme="minorHAnsi"/>
        </w:rPr>
        <w:t>.</w:t>
      </w:r>
      <w:r w:rsidR="000F14D8">
        <w:rPr>
          <w:rFonts w:asciiTheme="minorHAnsi" w:hAnsiTheme="minorHAnsi" w:cstheme="minorHAnsi"/>
        </w:rPr>
        <w:t xml:space="preserve"> </w:t>
      </w:r>
    </w:p>
    <w:p w14:paraId="44BDEE48" w14:textId="08E74076" w:rsidR="00D56985" w:rsidRDefault="00F87925" w:rsidP="003B7CFF">
      <w:pPr>
        <w:rPr>
          <w:rFonts w:asciiTheme="minorHAnsi" w:hAnsiTheme="minorHAnsi" w:cstheme="minorHAnsi"/>
        </w:rPr>
      </w:pPr>
      <w:r>
        <w:rPr>
          <w:rFonts w:asciiTheme="minorHAnsi" w:hAnsiTheme="minorHAnsi" w:cstheme="minorHAnsi"/>
        </w:rPr>
        <w:t>The ABCB</w:t>
      </w:r>
      <w:r w:rsidR="008B0562" w:rsidRPr="00F0531B">
        <w:rPr>
          <w:rFonts w:asciiTheme="minorHAnsi" w:hAnsiTheme="minorHAnsi" w:cstheme="minorHAnsi"/>
        </w:rPr>
        <w:t xml:space="preserve"> </w:t>
      </w:r>
      <w:r w:rsidR="003B7CFF" w:rsidRPr="00F0531B">
        <w:rPr>
          <w:rFonts w:asciiTheme="minorHAnsi" w:hAnsiTheme="minorHAnsi" w:cstheme="minorHAnsi"/>
        </w:rPr>
        <w:t xml:space="preserve">develops the National Construction Code (NCC) on behalf of the Commonwealth and all state and territory governments. </w:t>
      </w:r>
      <w:r w:rsidR="006B18D4">
        <w:rPr>
          <w:rFonts w:asciiTheme="minorHAnsi" w:hAnsiTheme="minorHAnsi" w:cstheme="minorHAnsi"/>
        </w:rPr>
        <w:t>Through the NCC, the ABCB’s objective is to develop and maintain nationally consistent, minimum necessary standards to efficiently achieve safety, health, amenity, accessibility, and sustainability in the design, construction, performance and liveability of building and construction.</w:t>
      </w:r>
      <w:r w:rsidR="003D2E0B">
        <w:rPr>
          <w:rFonts w:asciiTheme="minorHAnsi" w:hAnsiTheme="minorHAnsi" w:cstheme="minorHAnsi"/>
        </w:rPr>
        <w:t xml:space="preserve"> The NCC only applies to new buildings and new building work in existing buildings.</w:t>
      </w:r>
    </w:p>
    <w:p w14:paraId="2894C77A" w14:textId="456B1487" w:rsidR="003B7CFF" w:rsidRPr="00F0531B" w:rsidRDefault="003B7CFF" w:rsidP="003B7CFF">
      <w:pPr>
        <w:rPr>
          <w:rFonts w:asciiTheme="minorHAnsi" w:hAnsiTheme="minorHAnsi" w:cstheme="minorHAnsi"/>
        </w:rPr>
      </w:pPr>
      <w:r w:rsidRPr="00F0531B">
        <w:rPr>
          <w:rFonts w:asciiTheme="minorHAnsi" w:hAnsiTheme="minorHAnsi" w:cstheme="minorHAnsi"/>
        </w:rPr>
        <w:t>Avoid</w:t>
      </w:r>
      <w:r w:rsidR="00766E3B">
        <w:rPr>
          <w:rFonts w:asciiTheme="minorHAnsi" w:hAnsiTheme="minorHAnsi" w:cstheme="minorHAnsi"/>
        </w:rPr>
        <w:t>ing</w:t>
      </w:r>
      <w:r w:rsidRPr="00F0531B">
        <w:rPr>
          <w:rFonts w:asciiTheme="minorHAnsi" w:hAnsiTheme="minorHAnsi" w:cstheme="minorHAnsi"/>
        </w:rPr>
        <w:t xml:space="preserve"> mould </w:t>
      </w:r>
      <w:r w:rsidR="00766E3B">
        <w:rPr>
          <w:rFonts w:asciiTheme="minorHAnsi" w:hAnsiTheme="minorHAnsi" w:cstheme="minorHAnsi"/>
        </w:rPr>
        <w:t xml:space="preserve">arising </w:t>
      </w:r>
      <w:r w:rsidRPr="00F0531B">
        <w:rPr>
          <w:rFonts w:asciiTheme="minorHAnsi" w:hAnsiTheme="minorHAnsi" w:cstheme="minorHAnsi"/>
        </w:rPr>
        <w:t xml:space="preserve">from condensation in buildings is heavily reliant on occupant behaviour, such as </w:t>
      </w:r>
      <w:r w:rsidR="00766E3B">
        <w:rPr>
          <w:rFonts w:asciiTheme="minorHAnsi" w:hAnsiTheme="minorHAnsi" w:cstheme="minorHAnsi"/>
        </w:rPr>
        <w:t xml:space="preserve">ensuring </w:t>
      </w:r>
      <w:r w:rsidRPr="00F0531B">
        <w:rPr>
          <w:rFonts w:asciiTheme="minorHAnsi" w:hAnsiTheme="minorHAnsi" w:cstheme="minorHAnsi"/>
        </w:rPr>
        <w:t xml:space="preserve">room ventilation, and therefore regulation such as the NCC and standards relevant to building design have only limited effect on condensation. </w:t>
      </w:r>
      <w:r w:rsidR="00042E31">
        <w:rPr>
          <w:rFonts w:asciiTheme="minorHAnsi" w:hAnsiTheme="minorHAnsi" w:cstheme="minorHAnsi"/>
        </w:rPr>
        <w:t>As discussed in relation to Recommendation One, the Australian Government will work with state and territory governments to issue a new fact sheet that consolidates advice on how to avoid development of mould.</w:t>
      </w:r>
    </w:p>
    <w:p w14:paraId="6EB54F8F" w14:textId="695E33B6" w:rsidR="003B7CFF" w:rsidRPr="00F0531B" w:rsidRDefault="003B7CFF" w:rsidP="003B7CFF">
      <w:pPr>
        <w:rPr>
          <w:rFonts w:asciiTheme="minorHAnsi" w:hAnsiTheme="minorHAnsi" w:cstheme="minorHAnsi"/>
        </w:rPr>
      </w:pPr>
      <w:r w:rsidRPr="00F0531B">
        <w:rPr>
          <w:rFonts w:asciiTheme="minorHAnsi" w:hAnsiTheme="minorHAnsi" w:cstheme="minorHAnsi"/>
        </w:rPr>
        <w:t xml:space="preserve">The ABCB has issued guidelines on condensation management, the </w:t>
      </w:r>
      <w:r w:rsidRPr="00F0531B">
        <w:rPr>
          <w:rFonts w:asciiTheme="minorHAnsi" w:hAnsiTheme="minorHAnsi" w:cstheme="minorHAnsi"/>
          <w:i/>
        </w:rPr>
        <w:t>Condensation in Buildings Handbook,</w:t>
      </w:r>
      <w:r w:rsidRPr="00F0531B">
        <w:rPr>
          <w:rFonts w:asciiTheme="minorHAnsi" w:hAnsiTheme="minorHAnsi" w:cstheme="minorHAnsi"/>
        </w:rPr>
        <w:t xml:space="preserve"> updated most recently in </w:t>
      </w:r>
      <w:r w:rsidR="008B0562">
        <w:rPr>
          <w:rFonts w:asciiTheme="minorHAnsi" w:hAnsiTheme="minorHAnsi" w:cstheme="minorHAnsi"/>
        </w:rPr>
        <w:t xml:space="preserve">July </w:t>
      </w:r>
      <w:r w:rsidR="008B0562" w:rsidRPr="00F0531B">
        <w:rPr>
          <w:rFonts w:asciiTheme="minorHAnsi" w:hAnsiTheme="minorHAnsi" w:cstheme="minorHAnsi"/>
        </w:rPr>
        <w:t>201</w:t>
      </w:r>
      <w:r w:rsidR="008B0562">
        <w:rPr>
          <w:rFonts w:asciiTheme="minorHAnsi" w:hAnsiTheme="minorHAnsi" w:cstheme="minorHAnsi"/>
        </w:rPr>
        <w:t>9</w:t>
      </w:r>
      <w:r w:rsidR="00766E3B">
        <w:rPr>
          <w:rFonts w:asciiTheme="minorHAnsi" w:hAnsiTheme="minorHAnsi" w:cstheme="minorHAnsi"/>
          <w:i/>
        </w:rPr>
        <w:t>.</w:t>
      </w:r>
      <w:r w:rsidR="00766E3B" w:rsidRPr="00D21EF3">
        <w:rPr>
          <w:rFonts w:asciiTheme="minorHAnsi" w:hAnsiTheme="minorHAnsi" w:cstheme="minorHAnsi"/>
        </w:rPr>
        <w:t xml:space="preserve"> This document</w:t>
      </w:r>
      <w:r w:rsidRPr="00F0531B">
        <w:rPr>
          <w:rFonts w:asciiTheme="minorHAnsi" w:hAnsiTheme="minorHAnsi" w:cstheme="minorHAnsi"/>
        </w:rPr>
        <w:t xml:space="preserve"> assist</w:t>
      </w:r>
      <w:r w:rsidR="00D21EF3">
        <w:rPr>
          <w:rFonts w:asciiTheme="minorHAnsi" w:hAnsiTheme="minorHAnsi" w:cstheme="minorHAnsi"/>
        </w:rPr>
        <w:t>s</w:t>
      </w:r>
      <w:r w:rsidRPr="00F0531B">
        <w:rPr>
          <w:rFonts w:asciiTheme="minorHAnsi" w:hAnsiTheme="minorHAnsi" w:cstheme="minorHAnsi"/>
        </w:rPr>
        <w:t xml:space="preserve"> architects, designers and builders in the assessment and the management of the risk of condensation and its consequences.</w:t>
      </w:r>
    </w:p>
    <w:p w14:paraId="3CBA22A7" w14:textId="4F73762A" w:rsidR="003B7CFF" w:rsidRPr="00F0531B" w:rsidRDefault="003B7CFF" w:rsidP="003B7CFF">
      <w:pPr>
        <w:rPr>
          <w:rFonts w:asciiTheme="minorHAnsi" w:hAnsiTheme="minorHAnsi" w:cstheme="minorHAnsi"/>
        </w:rPr>
      </w:pPr>
      <w:r w:rsidRPr="00F0531B">
        <w:rPr>
          <w:rFonts w:asciiTheme="minorHAnsi" w:hAnsiTheme="minorHAnsi" w:cstheme="minorHAnsi"/>
        </w:rPr>
        <w:t xml:space="preserve">The ABCB has conducted research and </w:t>
      </w:r>
      <w:r w:rsidR="00EB63AB">
        <w:rPr>
          <w:rFonts w:asciiTheme="minorHAnsi" w:hAnsiTheme="minorHAnsi" w:cstheme="minorHAnsi"/>
        </w:rPr>
        <w:t xml:space="preserve">implemented </w:t>
      </w:r>
      <w:r w:rsidR="00B72090">
        <w:rPr>
          <w:rFonts w:asciiTheme="minorHAnsi" w:hAnsiTheme="minorHAnsi" w:cstheme="minorHAnsi"/>
        </w:rPr>
        <w:t>Stage One condensation mitigation provisions</w:t>
      </w:r>
      <w:r w:rsidR="00EB63AB">
        <w:rPr>
          <w:rFonts w:asciiTheme="minorHAnsi" w:hAnsiTheme="minorHAnsi" w:cstheme="minorHAnsi"/>
        </w:rPr>
        <w:t xml:space="preserve"> </w:t>
      </w:r>
      <w:r w:rsidRPr="00F0531B">
        <w:rPr>
          <w:rFonts w:asciiTheme="minorHAnsi" w:hAnsiTheme="minorHAnsi" w:cstheme="minorHAnsi"/>
        </w:rPr>
        <w:t xml:space="preserve">to partly address condensation concerns in NCC 2019 (in residential buildings). </w:t>
      </w:r>
      <w:r w:rsidR="00B72090">
        <w:rPr>
          <w:rFonts w:asciiTheme="minorHAnsi" w:hAnsiTheme="minorHAnsi" w:cstheme="minorHAnsi"/>
        </w:rPr>
        <w:t xml:space="preserve">Stage Two condensation mitigation provisions </w:t>
      </w:r>
      <w:r w:rsidR="00A349B8">
        <w:rPr>
          <w:rFonts w:asciiTheme="minorHAnsi" w:hAnsiTheme="minorHAnsi" w:cstheme="minorHAnsi"/>
        </w:rPr>
        <w:t>are</w:t>
      </w:r>
      <w:r w:rsidR="00DC1272">
        <w:rPr>
          <w:rFonts w:asciiTheme="minorHAnsi" w:hAnsiTheme="minorHAnsi" w:cstheme="minorHAnsi"/>
        </w:rPr>
        <w:t xml:space="preserve"> being</w:t>
      </w:r>
      <w:r w:rsidRPr="00F0531B">
        <w:rPr>
          <w:rFonts w:asciiTheme="minorHAnsi" w:hAnsiTheme="minorHAnsi" w:cstheme="minorHAnsi"/>
        </w:rPr>
        <w:t xml:space="preserve"> developed in conjunction with a review of the residential energy efficiency measures and </w:t>
      </w:r>
      <w:r w:rsidR="00510BFC">
        <w:rPr>
          <w:rFonts w:asciiTheme="minorHAnsi" w:hAnsiTheme="minorHAnsi" w:cstheme="minorHAnsi"/>
        </w:rPr>
        <w:t xml:space="preserve">will be </w:t>
      </w:r>
      <w:r w:rsidRPr="00F0531B">
        <w:rPr>
          <w:rFonts w:asciiTheme="minorHAnsi" w:hAnsiTheme="minorHAnsi" w:cstheme="minorHAnsi"/>
        </w:rPr>
        <w:t>considered for inclusion in</w:t>
      </w:r>
      <w:r w:rsidR="00DC1272">
        <w:rPr>
          <w:rFonts w:asciiTheme="minorHAnsi" w:hAnsiTheme="minorHAnsi" w:cstheme="minorHAnsi"/>
        </w:rPr>
        <w:t xml:space="preserve"> </w:t>
      </w:r>
      <w:r w:rsidR="00510BFC">
        <w:rPr>
          <w:rFonts w:asciiTheme="minorHAnsi" w:hAnsiTheme="minorHAnsi" w:cstheme="minorHAnsi"/>
        </w:rPr>
        <w:t xml:space="preserve">a </w:t>
      </w:r>
      <w:r w:rsidR="00DC1272">
        <w:rPr>
          <w:rFonts w:asciiTheme="minorHAnsi" w:hAnsiTheme="minorHAnsi" w:cstheme="minorHAnsi"/>
        </w:rPr>
        <w:t>subsequent version of the</w:t>
      </w:r>
      <w:r w:rsidRPr="00F0531B">
        <w:rPr>
          <w:rFonts w:asciiTheme="minorHAnsi" w:hAnsiTheme="minorHAnsi" w:cstheme="minorHAnsi"/>
        </w:rPr>
        <w:t xml:space="preserve"> NCC.</w:t>
      </w:r>
      <w:r w:rsidR="00B72090">
        <w:rPr>
          <w:rFonts w:asciiTheme="minorHAnsi" w:hAnsiTheme="minorHAnsi" w:cstheme="minorHAnsi"/>
        </w:rPr>
        <w:t xml:space="preserve"> </w:t>
      </w:r>
    </w:p>
    <w:p w14:paraId="4BD02454" w14:textId="021D624D" w:rsidR="003B7CFF" w:rsidRPr="00F0531B" w:rsidRDefault="003B7CFF" w:rsidP="003B7CFF">
      <w:pPr>
        <w:rPr>
          <w:rFonts w:asciiTheme="minorHAnsi" w:hAnsiTheme="minorHAnsi" w:cstheme="minorHAnsi"/>
        </w:rPr>
      </w:pPr>
      <w:r w:rsidRPr="00F0531B">
        <w:rPr>
          <w:rFonts w:asciiTheme="minorHAnsi" w:hAnsiTheme="minorHAnsi" w:cstheme="minorHAnsi"/>
        </w:rPr>
        <w:t>It should be noted that the NCC and</w:t>
      </w:r>
      <w:r w:rsidR="00766E3B">
        <w:rPr>
          <w:rFonts w:asciiTheme="minorHAnsi" w:hAnsiTheme="minorHAnsi" w:cstheme="minorHAnsi"/>
        </w:rPr>
        <w:t xml:space="preserve"> associated</w:t>
      </w:r>
      <w:r w:rsidRPr="00F0531B">
        <w:rPr>
          <w:rFonts w:asciiTheme="minorHAnsi" w:hAnsiTheme="minorHAnsi" w:cstheme="minorHAnsi"/>
        </w:rPr>
        <w:t xml:space="preserve"> standards cannot influence circumstances where sources of moisture and mould occur as a result of non-compliance with the NCC. </w:t>
      </w:r>
    </w:p>
    <w:p w14:paraId="6DFB0829" w14:textId="77777777" w:rsidR="00F03F6D" w:rsidRPr="00F0531B" w:rsidRDefault="00F03F6D">
      <w:pPr>
        <w:rPr>
          <w:rFonts w:asciiTheme="minorHAnsi" w:hAnsiTheme="minorHAnsi" w:cstheme="minorHAnsi"/>
        </w:rPr>
      </w:pPr>
      <w:r w:rsidRPr="00F0531B">
        <w:rPr>
          <w:rFonts w:asciiTheme="minorHAnsi" w:hAnsiTheme="minorHAnsi" w:cstheme="minorHAnsi"/>
        </w:rPr>
        <w:br w:type="page"/>
      </w:r>
    </w:p>
    <w:p w14:paraId="61494E73" w14:textId="77777777" w:rsidR="002A496D" w:rsidRDefault="00F03F6D" w:rsidP="0012323E">
      <w:pPr>
        <w:rPr>
          <w:rFonts w:asciiTheme="minorHAnsi" w:hAnsiTheme="minorHAnsi" w:cstheme="minorHAnsi"/>
        </w:rPr>
      </w:pPr>
      <w:r w:rsidRPr="00F0531B">
        <w:rPr>
          <w:rFonts w:asciiTheme="minorHAnsi" w:hAnsiTheme="minorHAnsi" w:cstheme="minorHAnsi"/>
          <w:b/>
          <w:noProof/>
          <w:lang w:eastAsia="en-AU"/>
        </w:rPr>
        <w:lastRenderedPageBreak/>
        <mc:AlternateContent>
          <mc:Choice Requires="wps">
            <w:drawing>
              <wp:inline distT="0" distB="0" distL="0" distR="0" wp14:anchorId="223B9BA6" wp14:editId="4C147C86">
                <wp:extent cx="5372100" cy="2649855"/>
                <wp:effectExtent l="0" t="0" r="19050" b="171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49855"/>
                        </a:xfrm>
                        <a:prstGeom prst="rect">
                          <a:avLst/>
                        </a:prstGeom>
                        <a:solidFill>
                          <a:srgbClr val="FFFFFF"/>
                        </a:solidFill>
                        <a:ln w="9525">
                          <a:solidFill>
                            <a:srgbClr val="000000"/>
                          </a:solidFill>
                          <a:miter lim="800000"/>
                          <a:headEnd/>
                          <a:tailEnd/>
                        </a:ln>
                      </wps:spPr>
                      <wps:txbx>
                        <w:txbxContent>
                          <w:p w14:paraId="414CF769" w14:textId="77777777" w:rsidR="00F03F6D" w:rsidRPr="0012323E" w:rsidRDefault="00F03F6D" w:rsidP="00F03F6D">
                            <w:pPr>
                              <w:rPr>
                                <w:rFonts w:asciiTheme="majorHAnsi" w:hAnsiTheme="majorHAnsi" w:cstheme="majorHAnsi"/>
                                <w:b/>
                              </w:rPr>
                            </w:pPr>
                            <w:r w:rsidRPr="0012323E">
                              <w:rPr>
                                <w:rFonts w:asciiTheme="majorHAnsi" w:hAnsiTheme="majorHAnsi" w:cstheme="majorHAnsi"/>
                                <w:b/>
                              </w:rPr>
                              <w:t xml:space="preserve">Recommendation </w:t>
                            </w:r>
                            <w:r>
                              <w:rPr>
                                <w:rFonts w:asciiTheme="majorHAnsi" w:hAnsiTheme="majorHAnsi" w:cstheme="majorHAnsi"/>
                                <w:b/>
                              </w:rPr>
                              <w:t>Five</w:t>
                            </w:r>
                          </w:p>
                          <w:p w14:paraId="40BC3DE1" w14:textId="52BAADE8" w:rsidR="00F03F6D" w:rsidRDefault="00F03F6D" w:rsidP="00F03F6D">
                            <w:pPr>
                              <w:rPr>
                                <w:rFonts w:asciiTheme="minorHAnsi" w:hAnsiTheme="minorHAnsi" w:cstheme="minorHAnsi"/>
                              </w:rPr>
                            </w:pPr>
                            <w:r w:rsidRPr="00F03F6D">
                              <w:rPr>
                                <w:rFonts w:asciiTheme="minorHAnsi" w:hAnsiTheme="minorHAnsi" w:cstheme="minorHAnsi"/>
                              </w:rPr>
                              <w:t xml:space="preserve">The Committee recommends the Department of Health conduct a review into the treatment of patients presenting with complex illnesses that are difficult to diagnose such as those with CIRS-like symptoms. </w:t>
                            </w:r>
                          </w:p>
                          <w:p w14:paraId="109EA633" w14:textId="77777777" w:rsidR="00F03F6D" w:rsidRDefault="00F03F6D" w:rsidP="00F03F6D">
                            <w:pPr>
                              <w:rPr>
                                <w:rFonts w:asciiTheme="minorHAnsi" w:hAnsiTheme="minorHAnsi" w:cstheme="minorHAnsi"/>
                              </w:rPr>
                            </w:pPr>
                            <w:r w:rsidRPr="00F03F6D">
                              <w:rPr>
                                <w:rFonts w:asciiTheme="minorHAnsi" w:hAnsiTheme="minorHAnsi" w:cstheme="minorHAnsi"/>
                              </w:rPr>
                              <w:t xml:space="preserve">This review should consider: </w:t>
                            </w:r>
                          </w:p>
                          <w:p w14:paraId="315AB49E" w14:textId="77777777" w:rsidR="00F03F6D" w:rsidRDefault="00F03F6D" w:rsidP="00F03F6D">
                            <w:pPr>
                              <w:pStyle w:val="ListParagraph"/>
                              <w:numPr>
                                <w:ilvl w:val="0"/>
                                <w:numId w:val="3"/>
                              </w:numPr>
                              <w:rPr>
                                <w:rFonts w:asciiTheme="minorHAnsi" w:hAnsiTheme="minorHAnsi" w:cstheme="minorHAnsi"/>
                              </w:rPr>
                            </w:pPr>
                            <w:r w:rsidRPr="00F03F6D">
                              <w:rPr>
                                <w:rFonts w:asciiTheme="minorHAnsi" w:hAnsiTheme="minorHAnsi" w:cstheme="minorHAnsi"/>
                              </w:rPr>
                              <w:t xml:space="preserve">methods to ensure patients with complex conditions, such as individuals reporting to have CIRS, are provided with effective and timely treatment and support (with the aim of reducing ‘doctor shopping’); and </w:t>
                            </w:r>
                          </w:p>
                          <w:p w14:paraId="7FCFCCD0" w14:textId="77777777" w:rsidR="00F03F6D" w:rsidRPr="00F03F6D" w:rsidRDefault="00F03F6D" w:rsidP="00F03F6D">
                            <w:pPr>
                              <w:pStyle w:val="ListParagraph"/>
                              <w:numPr>
                                <w:ilvl w:val="0"/>
                                <w:numId w:val="3"/>
                              </w:numPr>
                              <w:rPr>
                                <w:rFonts w:asciiTheme="minorHAnsi" w:hAnsiTheme="minorHAnsi" w:cstheme="minorHAnsi"/>
                              </w:rPr>
                            </w:pPr>
                            <w:r w:rsidRPr="00F03F6D">
                              <w:rPr>
                                <w:rFonts w:asciiTheme="minorHAnsi" w:hAnsiTheme="minorHAnsi" w:cstheme="minorHAnsi"/>
                              </w:rPr>
                              <w:t>whether doctors require further support in order to: identify environmental impacts on health; manage complex conditions; and provide appropriate treatment.</w:t>
                            </w:r>
                          </w:p>
                        </w:txbxContent>
                      </wps:txbx>
                      <wps:bodyPr rot="0" vert="horz" wrap="square" lIns="91440" tIns="45720" rIns="91440" bIns="45720" anchor="t" anchorCtr="0">
                        <a:noAutofit/>
                      </wps:bodyPr>
                    </wps:wsp>
                  </a:graphicData>
                </a:graphic>
              </wp:inline>
            </w:drawing>
          </mc:Choice>
          <mc:Fallback>
            <w:pict>
              <v:shape w14:anchorId="223B9BA6" id="Text Box 4" o:spid="_x0000_s1030" type="#_x0000_t202" style="width:423pt;height:20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">
                <v:textbox>
                  <w:txbxContent>
                    <w:p w14:paraId="414CF769" w14:textId="77777777" w:rsidR="00F03F6D" w:rsidRPr="0012323E" w:rsidRDefault="00F03F6D" w:rsidP="00F03F6D">
                      <w:pPr>
                        <w:rPr>
                          <w:rFonts w:asciiTheme="majorHAnsi" w:hAnsiTheme="majorHAnsi" w:cstheme="majorHAnsi"/>
                          <w:b/>
                        </w:rPr>
                      </w:pPr>
                      <w:r w:rsidRPr="0012323E">
                        <w:rPr>
                          <w:rFonts w:asciiTheme="majorHAnsi" w:hAnsiTheme="majorHAnsi" w:cstheme="majorHAnsi"/>
                          <w:b/>
                        </w:rPr>
                        <w:t xml:space="preserve">Recommendation </w:t>
                      </w:r>
                      <w:r>
                        <w:rPr>
                          <w:rFonts w:asciiTheme="majorHAnsi" w:hAnsiTheme="majorHAnsi" w:cstheme="majorHAnsi"/>
                          <w:b/>
                        </w:rPr>
                        <w:t>Five</w:t>
                      </w:r>
                    </w:p>
                    <w:p w14:paraId="40BC3DE1" w14:textId="52BAADE8" w:rsidR="00F03F6D" w:rsidRDefault="00F03F6D" w:rsidP="00F03F6D">
                      <w:pPr>
                        <w:rPr>
                          <w:rFonts w:asciiTheme="minorHAnsi" w:hAnsiTheme="minorHAnsi" w:cstheme="minorHAnsi"/>
                        </w:rPr>
                      </w:pPr>
                      <w:r w:rsidRPr="00F03F6D">
                        <w:rPr>
                          <w:rFonts w:asciiTheme="minorHAnsi" w:hAnsiTheme="minorHAnsi" w:cstheme="minorHAnsi"/>
                        </w:rPr>
                        <w:t xml:space="preserve">The Committee recommends the Department of Health conduct a review into the treatment of patients presenting with complex illnesses that are difficult to diagnose such as those with CIRS-like symptoms. </w:t>
                      </w:r>
                    </w:p>
                    <w:p w14:paraId="109EA633" w14:textId="77777777" w:rsidR="00F03F6D" w:rsidRDefault="00F03F6D" w:rsidP="00F03F6D">
                      <w:pPr>
                        <w:rPr>
                          <w:rFonts w:asciiTheme="minorHAnsi" w:hAnsiTheme="minorHAnsi" w:cstheme="minorHAnsi"/>
                        </w:rPr>
                      </w:pPr>
                      <w:r w:rsidRPr="00F03F6D">
                        <w:rPr>
                          <w:rFonts w:asciiTheme="minorHAnsi" w:hAnsiTheme="minorHAnsi" w:cstheme="minorHAnsi"/>
                        </w:rPr>
                        <w:t xml:space="preserve">This review should consider: </w:t>
                      </w:r>
                    </w:p>
                    <w:p w14:paraId="315AB49E" w14:textId="77777777" w:rsidR="00F03F6D" w:rsidRDefault="00F03F6D" w:rsidP="00F03F6D">
                      <w:pPr>
                        <w:pStyle w:val="ListParagraph"/>
                        <w:numPr>
                          <w:ilvl w:val="0"/>
                          <w:numId w:val="3"/>
                        </w:numPr>
                        <w:rPr>
                          <w:rFonts w:asciiTheme="minorHAnsi" w:hAnsiTheme="minorHAnsi" w:cstheme="minorHAnsi"/>
                        </w:rPr>
                      </w:pPr>
                      <w:r w:rsidRPr="00F03F6D">
                        <w:rPr>
                          <w:rFonts w:asciiTheme="minorHAnsi" w:hAnsiTheme="minorHAnsi" w:cstheme="minorHAnsi"/>
                        </w:rPr>
                        <w:t xml:space="preserve">methods to ensure patients with complex conditions, such as individuals reporting to have CIRS, are provided with effective and timely treatment and support (with the aim of reducing ‘doctor shopping’); and </w:t>
                      </w:r>
                    </w:p>
                    <w:p w14:paraId="7FCFCCD0" w14:textId="77777777" w:rsidR="00F03F6D" w:rsidRPr="00F03F6D" w:rsidRDefault="00F03F6D" w:rsidP="00F03F6D">
                      <w:pPr>
                        <w:pStyle w:val="ListParagraph"/>
                        <w:numPr>
                          <w:ilvl w:val="0"/>
                          <w:numId w:val="3"/>
                        </w:numPr>
                        <w:rPr>
                          <w:rFonts w:asciiTheme="minorHAnsi" w:hAnsiTheme="minorHAnsi" w:cstheme="minorHAnsi"/>
                        </w:rPr>
                      </w:pPr>
                      <w:proofErr w:type="gramStart"/>
                      <w:r w:rsidRPr="00F03F6D">
                        <w:rPr>
                          <w:rFonts w:asciiTheme="minorHAnsi" w:hAnsiTheme="minorHAnsi" w:cstheme="minorHAnsi"/>
                        </w:rPr>
                        <w:t>whether</w:t>
                      </w:r>
                      <w:proofErr w:type="gramEnd"/>
                      <w:r w:rsidRPr="00F03F6D">
                        <w:rPr>
                          <w:rFonts w:asciiTheme="minorHAnsi" w:hAnsiTheme="minorHAnsi" w:cstheme="minorHAnsi"/>
                        </w:rPr>
                        <w:t xml:space="preserve"> doctors require further support in order to: identify environmental impacts on health; manage complex conditions; and provide appropriate treatment.</w:t>
                      </w:r>
                    </w:p>
                  </w:txbxContent>
                </v:textbox>
                <w10:anchorlock/>
              </v:shape>
            </w:pict>
          </mc:Fallback>
        </mc:AlternateContent>
      </w:r>
    </w:p>
    <w:p w14:paraId="5463FB62" w14:textId="39FE066D" w:rsidR="00F54BC1" w:rsidRPr="00F0531B" w:rsidRDefault="008B1D3D" w:rsidP="0012323E">
      <w:pPr>
        <w:rPr>
          <w:rFonts w:asciiTheme="minorHAnsi" w:hAnsiTheme="minorHAnsi" w:cstheme="minorHAnsi"/>
        </w:rPr>
      </w:pPr>
      <w:r w:rsidRPr="00F0531B">
        <w:rPr>
          <w:rFonts w:asciiTheme="minorHAnsi" w:hAnsiTheme="minorHAnsi" w:cstheme="minorHAnsi"/>
        </w:rPr>
        <w:t xml:space="preserve">The Australian Government </w:t>
      </w:r>
      <w:r w:rsidR="00ED0E52">
        <w:rPr>
          <w:rFonts w:asciiTheme="minorHAnsi" w:hAnsiTheme="minorHAnsi" w:cstheme="minorHAnsi"/>
        </w:rPr>
        <w:t xml:space="preserve">accepts this recommendation, and </w:t>
      </w:r>
      <w:r w:rsidRPr="00F0531B">
        <w:rPr>
          <w:rFonts w:asciiTheme="minorHAnsi" w:hAnsiTheme="minorHAnsi" w:cstheme="minorHAnsi"/>
        </w:rPr>
        <w:t xml:space="preserve">appreciates that </w:t>
      </w:r>
      <w:r w:rsidR="00C91656" w:rsidRPr="00F0531B">
        <w:rPr>
          <w:rFonts w:asciiTheme="minorHAnsi" w:hAnsiTheme="minorHAnsi" w:cstheme="minorHAnsi"/>
        </w:rPr>
        <w:t xml:space="preserve">many patients </w:t>
      </w:r>
      <w:r w:rsidR="00116F3B" w:rsidRPr="00F0531B">
        <w:rPr>
          <w:rFonts w:asciiTheme="minorHAnsi" w:hAnsiTheme="minorHAnsi" w:cstheme="minorHAnsi"/>
        </w:rPr>
        <w:t xml:space="preserve">experiencing debilitating symptom complexes </w:t>
      </w:r>
      <w:r w:rsidR="00C91656" w:rsidRPr="00F0531B">
        <w:rPr>
          <w:rFonts w:asciiTheme="minorHAnsi" w:hAnsiTheme="minorHAnsi" w:cstheme="minorHAnsi"/>
        </w:rPr>
        <w:t xml:space="preserve">have not been provided with </w:t>
      </w:r>
      <w:r w:rsidR="007E1830" w:rsidRPr="00F0531B">
        <w:rPr>
          <w:rFonts w:asciiTheme="minorHAnsi" w:hAnsiTheme="minorHAnsi" w:cstheme="minorHAnsi"/>
        </w:rPr>
        <w:t xml:space="preserve">ideal </w:t>
      </w:r>
      <w:r w:rsidR="00C91656" w:rsidRPr="00F0531B">
        <w:rPr>
          <w:rFonts w:asciiTheme="minorHAnsi" w:hAnsiTheme="minorHAnsi" w:cstheme="minorHAnsi"/>
        </w:rPr>
        <w:t xml:space="preserve">multi-disciplinary care and support, and that there is a need to offer more </w:t>
      </w:r>
      <w:r w:rsidR="00FB0624">
        <w:rPr>
          <w:rFonts w:asciiTheme="minorHAnsi" w:hAnsiTheme="minorHAnsi" w:cstheme="minorHAnsi"/>
        </w:rPr>
        <w:t>education to the medical profession in the form of clinical guidelines</w:t>
      </w:r>
      <w:r w:rsidR="00C91656" w:rsidRPr="00F0531B">
        <w:rPr>
          <w:rFonts w:asciiTheme="minorHAnsi" w:hAnsiTheme="minorHAnsi" w:cstheme="minorHAnsi"/>
        </w:rPr>
        <w:t>. The Australian Government notes that the Department of Health will work with practitioners, patient groups and health bodies to develop clinical guidelines (Recommendation Seven) for general practitioners</w:t>
      </w:r>
      <w:r w:rsidR="00766E3B">
        <w:rPr>
          <w:rFonts w:asciiTheme="minorHAnsi" w:hAnsiTheme="minorHAnsi" w:cstheme="minorHAnsi"/>
        </w:rPr>
        <w:t>,</w:t>
      </w:r>
      <w:r w:rsidR="00C91656" w:rsidRPr="00F0531B">
        <w:rPr>
          <w:rFonts w:asciiTheme="minorHAnsi" w:hAnsiTheme="minorHAnsi" w:cstheme="minorHAnsi"/>
        </w:rPr>
        <w:t xml:space="preserve"> to assist with the diagnosis, treatment and management of such symptom complexes. </w:t>
      </w:r>
    </w:p>
    <w:p w14:paraId="5274FF76" w14:textId="2AADB370" w:rsidR="00F03F6D" w:rsidRPr="00F0531B" w:rsidRDefault="00ED0E52" w:rsidP="0012323E">
      <w:pPr>
        <w:rPr>
          <w:rFonts w:asciiTheme="minorHAnsi" w:hAnsiTheme="minorHAnsi" w:cstheme="minorHAnsi"/>
        </w:rPr>
      </w:pPr>
      <w:r>
        <w:rPr>
          <w:rFonts w:asciiTheme="minorHAnsi" w:hAnsiTheme="minorHAnsi" w:cstheme="minorHAnsi"/>
        </w:rPr>
        <w:t>T</w:t>
      </w:r>
      <w:r w:rsidR="00C91656" w:rsidRPr="00F0531B">
        <w:rPr>
          <w:rFonts w:asciiTheme="minorHAnsi" w:hAnsiTheme="minorHAnsi" w:cstheme="minorHAnsi"/>
        </w:rPr>
        <w:t xml:space="preserve">he </w:t>
      </w:r>
      <w:r w:rsidR="00CB0220">
        <w:rPr>
          <w:rFonts w:asciiTheme="minorHAnsi" w:hAnsiTheme="minorHAnsi" w:cstheme="minorHAnsi"/>
        </w:rPr>
        <w:t xml:space="preserve">Australian Government, through the </w:t>
      </w:r>
      <w:r w:rsidR="00C91656" w:rsidRPr="00F0531B">
        <w:rPr>
          <w:rFonts w:asciiTheme="minorHAnsi" w:hAnsiTheme="minorHAnsi" w:cstheme="minorHAnsi"/>
        </w:rPr>
        <w:t>Department of Health</w:t>
      </w:r>
      <w:r w:rsidR="00B67542">
        <w:rPr>
          <w:rFonts w:asciiTheme="minorHAnsi" w:hAnsiTheme="minorHAnsi" w:cstheme="minorHAnsi"/>
        </w:rPr>
        <w:t>,</w:t>
      </w:r>
      <w:r w:rsidR="00C91656" w:rsidRPr="00F0531B">
        <w:rPr>
          <w:rFonts w:asciiTheme="minorHAnsi" w:hAnsiTheme="minorHAnsi" w:cstheme="minorHAnsi"/>
        </w:rPr>
        <w:t xml:space="preserve"> will </w:t>
      </w:r>
      <w:r>
        <w:rPr>
          <w:rFonts w:asciiTheme="minorHAnsi" w:hAnsiTheme="minorHAnsi" w:cstheme="minorHAnsi"/>
        </w:rPr>
        <w:t xml:space="preserve">implement this recommendation </w:t>
      </w:r>
      <w:r w:rsidR="00ED7D51">
        <w:rPr>
          <w:rFonts w:asciiTheme="minorHAnsi" w:hAnsiTheme="minorHAnsi" w:cstheme="minorHAnsi"/>
        </w:rPr>
        <w:t>through implementation of</w:t>
      </w:r>
      <w:r>
        <w:rPr>
          <w:rFonts w:asciiTheme="minorHAnsi" w:hAnsiTheme="minorHAnsi" w:cstheme="minorHAnsi"/>
        </w:rPr>
        <w:t xml:space="preserve"> Recommendation Seven. </w:t>
      </w:r>
    </w:p>
    <w:p w14:paraId="6D79215D" w14:textId="77777777" w:rsidR="00F03F6D" w:rsidRPr="00F0531B" w:rsidRDefault="00F03F6D">
      <w:pPr>
        <w:rPr>
          <w:rFonts w:asciiTheme="minorHAnsi" w:hAnsiTheme="minorHAnsi" w:cstheme="minorHAnsi"/>
        </w:rPr>
      </w:pPr>
      <w:r w:rsidRPr="00F0531B">
        <w:rPr>
          <w:rFonts w:asciiTheme="minorHAnsi" w:hAnsiTheme="minorHAnsi" w:cstheme="minorHAnsi"/>
        </w:rPr>
        <w:br w:type="page"/>
      </w:r>
    </w:p>
    <w:p w14:paraId="3D31254A" w14:textId="77777777" w:rsidR="002A496D" w:rsidRDefault="00643F3A" w:rsidP="00CB0220">
      <w:pPr>
        <w:rPr>
          <w:rFonts w:asciiTheme="minorHAnsi" w:hAnsiTheme="minorHAnsi" w:cstheme="minorHAnsi"/>
        </w:rPr>
      </w:pPr>
      <w:r w:rsidRPr="00F0531B">
        <w:rPr>
          <w:rFonts w:asciiTheme="minorHAnsi" w:hAnsiTheme="minorHAnsi" w:cstheme="minorHAnsi"/>
          <w:b/>
          <w:noProof/>
          <w:lang w:eastAsia="en-AU"/>
        </w:rPr>
        <w:lastRenderedPageBreak/>
        <mc:AlternateContent>
          <mc:Choice Requires="wps">
            <w:drawing>
              <wp:inline distT="0" distB="0" distL="0" distR="0" wp14:anchorId="6846A8EC" wp14:editId="3C2148E2">
                <wp:extent cx="5372100" cy="1473200"/>
                <wp:effectExtent l="0" t="0" r="19050" b="127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73200"/>
                        </a:xfrm>
                        <a:prstGeom prst="rect">
                          <a:avLst/>
                        </a:prstGeom>
                        <a:solidFill>
                          <a:srgbClr val="FFFFFF"/>
                        </a:solidFill>
                        <a:ln w="9525">
                          <a:solidFill>
                            <a:srgbClr val="000000"/>
                          </a:solidFill>
                          <a:miter lim="800000"/>
                          <a:headEnd/>
                          <a:tailEnd/>
                        </a:ln>
                      </wps:spPr>
                      <wps:txbx>
                        <w:txbxContent>
                          <w:p w14:paraId="0097592A" w14:textId="77777777" w:rsidR="00F03F6D" w:rsidRPr="0012323E" w:rsidRDefault="00F03F6D" w:rsidP="00F03F6D">
                            <w:pPr>
                              <w:rPr>
                                <w:rFonts w:asciiTheme="majorHAnsi" w:hAnsiTheme="majorHAnsi" w:cstheme="majorHAnsi"/>
                                <w:b/>
                              </w:rPr>
                            </w:pPr>
                            <w:r w:rsidRPr="0012323E">
                              <w:rPr>
                                <w:rFonts w:asciiTheme="majorHAnsi" w:hAnsiTheme="majorHAnsi" w:cstheme="majorHAnsi"/>
                                <w:b/>
                              </w:rPr>
                              <w:t xml:space="preserve">Recommendation </w:t>
                            </w:r>
                            <w:r>
                              <w:rPr>
                                <w:rFonts w:asciiTheme="majorHAnsi" w:hAnsiTheme="majorHAnsi" w:cstheme="majorHAnsi"/>
                                <w:b/>
                              </w:rPr>
                              <w:t>Six</w:t>
                            </w:r>
                          </w:p>
                          <w:p w14:paraId="49444978" w14:textId="3D44FF77" w:rsidR="00F03F6D" w:rsidRPr="00F03F6D" w:rsidRDefault="00F03F6D" w:rsidP="00F03F6D">
                            <w:pPr>
                              <w:rPr>
                                <w:rFonts w:asciiTheme="minorHAnsi" w:hAnsiTheme="minorHAnsi" w:cstheme="minorHAnsi"/>
                              </w:rPr>
                            </w:pPr>
                            <w:r w:rsidRPr="00F03F6D">
                              <w:rPr>
                                <w:rFonts w:asciiTheme="minorHAnsi" w:hAnsiTheme="minorHAnsi" w:cstheme="minorHAnsi"/>
                              </w:rPr>
                              <w:t>The Committee recommends that the Australian Government commission the National Health and Medical Research Council to conduct research into CIRS-like syndromes with a view to assisting in the diagnosis, treatment and management of patients. Research should also examine any links between mould and biotoxins and complex symptoms most commonly reported as typifying CIRS.</w:t>
                            </w:r>
                          </w:p>
                        </w:txbxContent>
                      </wps:txbx>
                      <wps:bodyPr rot="0" vert="horz" wrap="square" lIns="91440" tIns="45720" rIns="91440" bIns="45720" anchor="t" anchorCtr="0">
                        <a:noAutofit/>
                      </wps:bodyPr>
                    </wps:wsp>
                  </a:graphicData>
                </a:graphic>
              </wp:inline>
            </w:drawing>
          </mc:Choice>
          <mc:Fallback>
            <w:pict>
              <v:shape w14:anchorId="6846A8EC" id="Text Box 5" o:spid="_x0000_s1031" type="#_x0000_t202" style="width:423pt;height: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">
                <v:textbox>
                  <w:txbxContent>
                    <w:p w14:paraId="0097592A" w14:textId="77777777" w:rsidR="00F03F6D" w:rsidRPr="0012323E" w:rsidRDefault="00F03F6D" w:rsidP="00F03F6D">
                      <w:pPr>
                        <w:rPr>
                          <w:rFonts w:asciiTheme="majorHAnsi" w:hAnsiTheme="majorHAnsi" w:cstheme="majorHAnsi"/>
                          <w:b/>
                        </w:rPr>
                      </w:pPr>
                      <w:r w:rsidRPr="0012323E">
                        <w:rPr>
                          <w:rFonts w:asciiTheme="majorHAnsi" w:hAnsiTheme="majorHAnsi" w:cstheme="majorHAnsi"/>
                          <w:b/>
                        </w:rPr>
                        <w:t xml:space="preserve">Recommendation </w:t>
                      </w:r>
                      <w:r>
                        <w:rPr>
                          <w:rFonts w:asciiTheme="majorHAnsi" w:hAnsiTheme="majorHAnsi" w:cstheme="majorHAnsi"/>
                          <w:b/>
                        </w:rPr>
                        <w:t>Six</w:t>
                      </w:r>
                    </w:p>
                    <w:p w14:paraId="49444978" w14:textId="3D44FF77" w:rsidR="00F03F6D" w:rsidRPr="00F03F6D" w:rsidRDefault="00F03F6D" w:rsidP="00F03F6D">
                      <w:pPr>
                        <w:rPr>
                          <w:rFonts w:asciiTheme="minorHAnsi" w:hAnsiTheme="minorHAnsi" w:cstheme="minorHAnsi"/>
                        </w:rPr>
                      </w:pPr>
                      <w:r w:rsidRPr="00F03F6D">
                        <w:rPr>
                          <w:rFonts w:asciiTheme="minorHAnsi" w:hAnsiTheme="minorHAnsi" w:cstheme="minorHAnsi"/>
                        </w:rPr>
                        <w:t xml:space="preserve">The Committee recommends that the Australian Government commission the National Health and Medical Research Council to conduct research into CIRS-like syndromes with a view to assisting in the diagnosis, treatment and management of patients. Research should also examine any links between mould and </w:t>
                      </w:r>
                      <w:proofErr w:type="spellStart"/>
                      <w:r w:rsidRPr="00F03F6D">
                        <w:rPr>
                          <w:rFonts w:asciiTheme="minorHAnsi" w:hAnsiTheme="minorHAnsi" w:cstheme="minorHAnsi"/>
                        </w:rPr>
                        <w:t>biotoxins</w:t>
                      </w:r>
                      <w:proofErr w:type="spellEnd"/>
                      <w:r w:rsidRPr="00F03F6D">
                        <w:rPr>
                          <w:rFonts w:asciiTheme="minorHAnsi" w:hAnsiTheme="minorHAnsi" w:cstheme="minorHAnsi"/>
                        </w:rPr>
                        <w:t xml:space="preserve"> and complex symptoms most commonly reported as typifying CIRS.</w:t>
                      </w:r>
                    </w:p>
                  </w:txbxContent>
                </v:textbox>
                <w10:anchorlock/>
              </v:shape>
            </w:pict>
          </mc:Fallback>
        </mc:AlternateContent>
      </w:r>
    </w:p>
    <w:p w14:paraId="10A8AEA8" w14:textId="2C07AAD3" w:rsidR="00CB0220" w:rsidRPr="00CB0220" w:rsidRDefault="00CB0220" w:rsidP="00CB0220">
      <w:pPr>
        <w:rPr>
          <w:rFonts w:asciiTheme="minorHAnsi" w:hAnsiTheme="minorHAnsi" w:cstheme="minorHAnsi"/>
        </w:rPr>
      </w:pPr>
      <w:r w:rsidRPr="00CB0220">
        <w:rPr>
          <w:rFonts w:asciiTheme="minorHAnsi" w:hAnsiTheme="minorHAnsi" w:cstheme="minorHAnsi"/>
        </w:rPr>
        <w:t>The Australian Government accepts the recommendation and recognises the need to develop a better understanding of how people with chronic symptom complexes, such as those associated with exposure to biotoxins, can be more effectively diagnosed, treated and managed in the health system.</w:t>
      </w:r>
    </w:p>
    <w:p w14:paraId="32411B14" w14:textId="23462F5F" w:rsidR="00CB0220" w:rsidRPr="00CB0220" w:rsidRDefault="00CB0220" w:rsidP="00CB0220">
      <w:pPr>
        <w:rPr>
          <w:rFonts w:asciiTheme="minorHAnsi" w:hAnsiTheme="minorHAnsi" w:cstheme="minorHAnsi"/>
        </w:rPr>
      </w:pPr>
      <w:r>
        <w:rPr>
          <w:rFonts w:asciiTheme="minorHAnsi" w:hAnsiTheme="minorHAnsi" w:cstheme="minorHAnsi"/>
        </w:rPr>
        <w:t>The National Health and Medical Research Council (</w:t>
      </w:r>
      <w:r w:rsidRPr="00CB0220">
        <w:rPr>
          <w:rFonts w:asciiTheme="minorHAnsi" w:hAnsiTheme="minorHAnsi" w:cstheme="minorHAnsi"/>
        </w:rPr>
        <w:t>NHMRC</w:t>
      </w:r>
      <w:r>
        <w:rPr>
          <w:rFonts w:asciiTheme="minorHAnsi" w:hAnsiTheme="minorHAnsi" w:cstheme="minorHAnsi"/>
        </w:rPr>
        <w:t>)</w:t>
      </w:r>
      <w:r w:rsidRPr="00CB0220">
        <w:rPr>
          <w:rFonts w:asciiTheme="minorHAnsi" w:hAnsiTheme="minorHAnsi" w:cstheme="minorHAnsi"/>
        </w:rPr>
        <w:t xml:space="preserve"> is the government’s lead agency for funding outstanding health and medical research that contributes to significant improvements in individual and population health. NHMRC awards research funding based on rigorous, competitive peer review that identifies the best science and most significant research.</w:t>
      </w:r>
    </w:p>
    <w:p w14:paraId="74526E46" w14:textId="2ABEC858" w:rsidR="00CB0220" w:rsidRPr="00CB0220" w:rsidRDefault="00CB0220" w:rsidP="00CB0220">
      <w:pPr>
        <w:rPr>
          <w:rFonts w:asciiTheme="minorHAnsi" w:hAnsiTheme="minorHAnsi" w:cstheme="minorHAnsi"/>
        </w:rPr>
      </w:pPr>
      <w:r w:rsidRPr="00CB0220">
        <w:rPr>
          <w:rFonts w:asciiTheme="minorHAnsi" w:hAnsiTheme="minorHAnsi" w:cstheme="minorHAnsi"/>
        </w:rPr>
        <w:t>One of NHMRC’s grant schemes, Targeted Calls for Research (TCR), has a small annual budget allocation to allow for a one-time solicitation of grant applications to address a specific or emerging health issue. The scope, objectives and selection criteria of a TCR are highly specified to ensure successful applications fulfil the desired outcomes of the call and ad</w:t>
      </w:r>
      <w:r>
        <w:rPr>
          <w:rFonts w:asciiTheme="minorHAnsi" w:hAnsiTheme="minorHAnsi" w:cstheme="minorHAnsi"/>
        </w:rPr>
        <w:t xml:space="preserve">dress a specific research gap. </w:t>
      </w:r>
    </w:p>
    <w:p w14:paraId="4EFA590D" w14:textId="70736633" w:rsidR="004F0149" w:rsidRPr="00F0531B" w:rsidRDefault="00CB0220" w:rsidP="00664530">
      <w:pPr>
        <w:rPr>
          <w:rFonts w:asciiTheme="minorHAnsi" w:hAnsiTheme="minorHAnsi" w:cstheme="minorHAnsi"/>
        </w:rPr>
      </w:pPr>
      <w:r w:rsidRPr="00CB0220">
        <w:rPr>
          <w:rFonts w:asciiTheme="minorHAnsi" w:hAnsiTheme="minorHAnsi" w:cstheme="minorHAnsi"/>
        </w:rPr>
        <w:t>NHMRC will engage relevant experts and patient support groups to discuss the gaps identified by the Inquiry in defining the scope for a TCR that would open in late 2020.</w:t>
      </w:r>
    </w:p>
    <w:p w14:paraId="68C79BAC" w14:textId="77777777" w:rsidR="00664530" w:rsidRPr="00F0531B" w:rsidRDefault="00664530" w:rsidP="00664530">
      <w:pPr>
        <w:rPr>
          <w:rFonts w:asciiTheme="minorHAnsi" w:hAnsiTheme="minorHAnsi" w:cstheme="minorHAnsi"/>
        </w:rPr>
      </w:pPr>
    </w:p>
    <w:p w14:paraId="3580EEAD" w14:textId="77777777" w:rsidR="00F03F6D" w:rsidRPr="00F0531B" w:rsidRDefault="00F03F6D">
      <w:pPr>
        <w:rPr>
          <w:rFonts w:asciiTheme="minorHAnsi" w:hAnsiTheme="minorHAnsi" w:cstheme="minorHAnsi"/>
        </w:rPr>
      </w:pPr>
      <w:r w:rsidRPr="00F0531B">
        <w:rPr>
          <w:rFonts w:asciiTheme="minorHAnsi" w:hAnsiTheme="minorHAnsi" w:cstheme="minorHAnsi"/>
        </w:rPr>
        <w:br w:type="page"/>
      </w:r>
    </w:p>
    <w:p w14:paraId="4B302922" w14:textId="77777777" w:rsidR="002A496D" w:rsidRDefault="00E0030D" w:rsidP="004E24DD">
      <w:pPr>
        <w:rPr>
          <w:rFonts w:asciiTheme="minorHAnsi" w:hAnsiTheme="minorHAnsi" w:cstheme="minorHAnsi"/>
        </w:rPr>
      </w:pPr>
      <w:r w:rsidRPr="00F0531B">
        <w:rPr>
          <w:rFonts w:asciiTheme="minorHAnsi" w:hAnsiTheme="minorHAnsi" w:cstheme="minorHAnsi"/>
          <w:b/>
          <w:noProof/>
          <w:lang w:eastAsia="en-AU"/>
        </w:rPr>
        <w:lastRenderedPageBreak/>
        <mc:AlternateContent>
          <mc:Choice Requires="wps">
            <w:drawing>
              <wp:inline distT="0" distB="0" distL="0" distR="0" wp14:anchorId="223BA210" wp14:editId="20613A81">
                <wp:extent cx="5372100" cy="1211580"/>
                <wp:effectExtent l="0" t="0" r="19050"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11580"/>
                        </a:xfrm>
                        <a:prstGeom prst="rect">
                          <a:avLst/>
                        </a:prstGeom>
                        <a:solidFill>
                          <a:srgbClr val="FFFFFF"/>
                        </a:solidFill>
                        <a:ln w="9525">
                          <a:solidFill>
                            <a:srgbClr val="000000"/>
                          </a:solidFill>
                          <a:miter lim="800000"/>
                          <a:headEnd/>
                          <a:tailEnd/>
                        </a:ln>
                      </wps:spPr>
                      <wps:txbx>
                        <w:txbxContent>
                          <w:p w14:paraId="6FE177EC" w14:textId="77777777" w:rsidR="00E0030D" w:rsidRPr="00E0030D" w:rsidRDefault="00E0030D" w:rsidP="00E0030D">
                            <w:pPr>
                              <w:rPr>
                                <w:rFonts w:asciiTheme="minorHAnsi" w:hAnsiTheme="minorHAnsi" w:cstheme="minorHAnsi"/>
                                <w:b/>
                              </w:rPr>
                            </w:pPr>
                            <w:r w:rsidRPr="00E0030D">
                              <w:rPr>
                                <w:rFonts w:asciiTheme="minorHAnsi" w:hAnsiTheme="minorHAnsi" w:cstheme="minorHAnsi"/>
                                <w:b/>
                              </w:rPr>
                              <w:t>Recommendation Seven</w:t>
                            </w:r>
                          </w:p>
                          <w:p w14:paraId="37C29EB5" w14:textId="77777777" w:rsidR="00E0030D" w:rsidRPr="00E0030D" w:rsidRDefault="00E0030D" w:rsidP="00E0030D">
                            <w:pPr>
                              <w:rPr>
                                <w:rFonts w:asciiTheme="minorHAnsi" w:hAnsiTheme="minorHAnsi" w:cstheme="minorHAnsi"/>
                              </w:rPr>
                            </w:pPr>
                            <w:r w:rsidRPr="00E0030D">
                              <w:rPr>
                                <w:rFonts w:asciiTheme="minorHAnsi" w:hAnsiTheme="minorHAnsi" w:cstheme="minorHAnsi"/>
                              </w:rPr>
                              <w:t>The Committee recommends that the Department of Health, in consultation with patient groups, medical practitioners, and health bodies, develop clinical guidelines for general practitioners for the diagnosis, treatment and management of CIRS-like conditions.</w:t>
                            </w:r>
                          </w:p>
                        </w:txbxContent>
                      </wps:txbx>
                      <wps:bodyPr rot="0" vert="horz" wrap="square" lIns="91440" tIns="45720" rIns="91440" bIns="45720" anchor="t" anchorCtr="0">
                        <a:noAutofit/>
                      </wps:bodyPr>
                    </wps:wsp>
                  </a:graphicData>
                </a:graphic>
              </wp:inline>
            </w:drawing>
          </mc:Choice>
          <mc:Fallback>
            <w:pict>
              <v:shape w14:anchorId="223BA210" id="Text Box 6" o:spid="_x0000_s1032" type="#_x0000_t202" style="width:423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">
                <v:textbox>
                  <w:txbxContent>
                    <w:p w14:paraId="6FE177EC" w14:textId="77777777" w:rsidR="00E0030D" w:rsidRPr="00E0030D" w:rsidRDefault="00E0030D" w:rsidP="00E0030D">
                      <w:pPr>
                        <w:rPr>
                          <w:rFonts w:asciiTheme="minorHAnsi" w:hAnsiTheme="minorHAnsi" w:cstheme="minorHAnsi"/>
                          <w:b/>
                        </w:rPr>
                      </w:pPr>
                      <w:r w:rsidRPr="00E0030D">
                        <w:rPr>
                          <w:rFonts w:asciiTheme="minorHAnsi" w:hAnsiTheme="minorHAnsi" w:cstheme="minorHAnsi"/>
                          <w:b/>
                        </w:rPr>
                        <w:t>Recommendation Seven</w:t>
                      </w:r>
                    </w:p>
                    <w:p w14:paraId="37C29EB5" w14:textId="77777777" w:rsidR="00E0030D" w:rsidRPr="00E0030D" w:rsidRDefault="00E0030D" w:rsidP="00E0030D">
                      <w:pPr>
                        <w:rPr>
                          <w:rFonts w:asciiTheme="minorHAnsi" w:hAnsiTheme="minorHAnsi" w:cstheme="minorHAnsi"/>
                        </w:rPr>
                      </w:pPr>
                      <w:r w:rsidRPr="00E0030D">
                        <w:rPr>
                          <w:rFonts w:asciiTheme="minorHAnsi" w:hAnsiTheme="minorHAnsi" w:cstheme="minorHAnsi"/>
                        </w:rPr>
                        <w:t>The Committee recommends that the Department of Health, in consultation with patient groups, medical practitioners, and health bodies, develop clinical guidelines for general practitioners for the diagnosis, treatment and management of CIRS-like conditions.</w:t>
                      </w:r>
                    </w:p>
                  </w:txbxContent>
                </v:textbox>
                <w10:anchorlock/>
              </v:shape>
            </w:pict>
          </mc:Fallback>
        </mc:AlternateContent>
      </w:r>
    </w:p>
    <w:p w14:paraId="7AD7AC30" w14:textId="1E9EBFC8" w:rsidR="004E24DD" w:rsidRPr="00F0531B" w:rsidRDefault="00CC44AC" w:rsidP="004E24DD">
      <w:pPr>
        <w:rPr>
          <w:rFonts w:asciiTheme="minorHAnsi" w:hAnsiTheme="minorHAnsi" w:cstheme="minorHAnsi"/>
        </w:rPr>
      </w:pPr>
      <w:r w:rsidRPr="00F0531B">
        <w:rPr>
          <w:rFonts w:asciiTheme="minorHAnsi" w:hAnsiTheme="minorHAnsi" w:cstheme="minorHAnsi"/>
        </w:rPr>
        <w:t>The Australian Government</w:t>
      </w:r>
      <w:r w:rsidR="005E622D">
        <w:rPr>
          <w:rFonts w:asciiTheme="minorHAnsi" w:hAnsiTheme="minorHAnsi" w:cstheme="minorHAnsi"/>
        </w:rPr>
        <w:t xml:space="preserve"> </w:t>
      </w:r>
      <w:r w:rsidR="004E24DD">
        <w:rPr>
          <w:rFonts w:asciiTheme="minorHAnsi" w:hAnsiTheme="minorHAnsi" w:cstheme="minorHAnsi"/>
        </w:rPr>
        <w:t xml:space="preserve">supports </w:t>
      </w:r>
      <w:r w:rsidR="005E622D">
        <w:rPr>
          <w:rFonts w:asciiTheme="minorHAnsi" w:hAnsiTheme="minorHAnsi" w:cstheme="minorHAnsi"/>
        </w:rPr>
        <w:t>t</w:t>
      </w:r>
      <w:r w:rsidR="004E24DD">
        <w:rPr>
          <w:rFonts w:asciiTheme="minorHAnsi" w:hAnsiTheme="minorHAnsi" w:cstheme="minorHAnsi"/>
        </w:rPr>
        <w:t>he</w:t>
      </w:r>
      <w:r w:rsidR="00917C75" w:rsidRPr="00F0531B">
        <w:rPr>
          <w:rFonts w:asciiTheme="minorHAnsi" w:hAnsiTheme="minorHAnsi" w:cstheme="minorHAnsi"/>
        </w:rPr>
        <w:t xml:space="preserve"> develop</w:t>
      </w:r>
      <w:r w:rsidR="004E24DD">
        <w:rPr>
          <w:rFonts w:asciiTheme="minorHAnsi" w:hAnsiTheme="minorHAnsi" w:cstheme="minorHAnsi"/>
        </w:rPr>
        <w:t>ment of</w:t>
      </w:r>
      <w:r w:rsidR="00917C75" w:rsidRPr="00F0531B">
        <w:rPr>
          <w:rFonts w:asciiTheme="minorHAnsi" w:hAnsiTheme="minorHAnsi" w:cstheme="minorHAnsi"/>
        </w:rPr>
        <w:t xml:space="preserve"> </w:t>
      </w:r>
      <w:r w:rsidR="004E24DD">
        <w:rPr>
          <w:rFonts w:asciiTheme="minorHAnsi" w:hAnsiTheme="minorHAnsi" w:cstheme="minorHAnsi"/>
        </w:rPr>
        <w:t xml:space="preserve">general clinical </w:t>
      </w:r>
      <w:r w:rsidR="00917C75" w:rsidRPr="00F0531B">
        <w:rPr>
          <w:rFonts w:asciiTheme="minorHAnsi" w:hAnsiTheme="minorHAnsi" w:cstheme="minorHAnsi"/>
        </w:rPr>
        <w:t xml:space="preserve">guidelines for general practitioners </w:t>
      </w:r>
      <w:r w:rsidR="004E24DD">
        <w:rPr>
          <w:rFonts w:asciiTheme="minorHAnsi" w:hAnsiTheme="minorHAnsi" w:cstheme="minorHAnsi"/>
        </w:rPr>
        <w:t xml:space="preserve">to support the management of patient groups with multiple unexplained symptoms. </w:t>
      </w:r>
      <w:r w:rsidR="00C22B96">
        <w:rPr>
          <w:rFonts w:asciiTheme="minorHAnsi" w:hAnsiTheme="minorHAnsi" w:cstheme="minorHAnsi"/>
        </w:rPr>
        <w:t>Given the clear overlap between various syndromes of unexplained symptom complexes, t</w:t>
      </w:r>
      <w:r w:rsidR="004E24DD" w:rsidRPr="00F0531B">
        <w:rPr>
          <w:rFonts w:asciiTheme="minorHAnsi" w:hAnsiTheme="minorHAnsi" w:cstheme="minorHAnsi"/>
        </w:rPr>
        <w:t xml:space="preserve">he development of such guidelines </w:t>
      </w:r>
      <w:r w:rsidR="00C22B96">
        <w:rPr>
          <w:rFonts w:asciiTheme="minorHAnsi" w:hAnsiTheme="minorHAnsi" w:cstheme="minorHAnsi"/>
        </w:rPr>
        <w:t xml:space="preserve">outlining the clinical approach to manage patients with multiple unexplained symptom complexes </w:t>
      </w:r>
      <w:r w:rsidR="004E24DD">
        <w:rPr>
          <w:rFonts w:asciiTheme="minorHAnsi" w:hAnsiTheme="minorHAnsi" w:cstheme="minorHAnsi"/>
        </w:rPr>
        <w:t>should</w:t>
      </w:r>
      <w:r w:rsidR="004E24DD" w:rsidRPr="00F0531B">
        <w:rPr>
          <w:rFonts w:asciiTheme="minorHAnsi" w:hAnsiTheme="minorHAnsi" w:cstheme="minorHAnsi"/>
        </w:rPr>
        <w:t xml:space="preserve"> build on ongoing work to develop a diagnostic pathway for physicians </w:t>
      </w:r>
      <w:r w:rsidR="004E24DD">
        <w:rPr>
          <w:rFonts w:asciiTheme="minorHAnsi" w:hAnsiTheme="minorHAnsi" w:cstheme="minorHAnsi"/>
        </w:rPr>
        <w:t>of</w:t>
      </w:r>
      <w:r w:rsidR="004E24DD" w:rsidRPr="00F0531B">
        <w:rPr>
          <w:rFonts w:asciiTheme="minorHAnsi" w:hAnsiTheme="minorHAnsi" w:cstheme="minorHAnsi"/>
        </w:rPr>
        <w:t xml:space="preserve"> patients suffering debilitating symptoms attributed to ticks</w:t>
      </w:r>
      <w:r w:rsidR="004E24DD">
        <w:rPr>
          <w:rFonts w:asciiTheme="minorHAnsi" w:hAnsiTheme="minorHAnsi" w:cstheme="minorHAnsi"/>
        </w:rPr>
        <w:t>.</w:t>
      </w:r>
    </w:p>
    <w:p w14:paraId="16A45078" w14:textId="46E83644" w:rsidR="00F03F6D" w:rsidRPr="002A496D" w:rsidRDefault="00766E3B" w:rsidP="0012323E">
      <w:pPr>
        <w:rPr>
          <w:rFonts w:asciiTheme="minorHAnsi" w:hAnsiTheme="minorHAnsi" w:cstheme="minorHAnsi"/>
          <w:lang w:val="en-US"/>
        </w:rPr>
      </w:pPr>
      <w:r>
        <w:rPr>
          <w:rFonts w:asciiTheme="minorHAnsi" w:hAnsiTheme="minorHAnsi" w:cstheme="minorHAnsi"/>
        </w:rPr>
        <w:t xml:space="preserve">These guidelines should </w:t>
      </w:r>
      <w:r w:rsidR="00757C16" w:rsidRPr="00F0531B">
        <w:rPr>
          <w:rFonts w:asciiTheme="minorHAnsi" w:hAnsiTheme="minorHAnsi" w:cstheme="minorHAnsi"/>
        </w:rPr>
        <w:t>emphasise the need for multidisciplinary approach to patient care, involving general practitioners</w:t>
      </w:r>
      <w:r w:rsidR="00057D4D">
        <w:rPr>
          <w:rFonts w:asciiTheme="minorHAnsi" w:hAnsiTheme="minorHAnsi" w:cstheme="minorHAnsi"/>
        </w:rPr>
        <w:t xml:space="preserve"> and allied health professionals</w:t>
      </w:r>
      <w:r w:rsidR="00757C16" w:rsidRPr="00F0531B">
        <w:rPr>
          <w:rFonts w:asciiTheme="minorHAnsi" w:hAnsiTheme="minorHAnsi" w:cstheme="minorHAnsi"/>
        </w:rPr>
        <w:t xml:space="preserve"> as well as specialists such as general physicians, infectious diseases physicians, clinical allergists, clinical immunologists and psychiatrists.</w:t>
      </w:r>
      <w:r w:rsidR="005E622D">
        <w:rPr>
          <w:rFonts w:asciiTheme="minorHAnsi" w:hAnsiTheme="minorHAnsi" w:cstheme="minorHAnsi"/>
        </w:rPr>
        <w:t xml:space="preserve"> </w:t>
      </w:r>
    </w:p>
    <w:sectPr w:rsidR="00F03F6D" w:rsidRPr="002A496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DC03F" w14:textId="77777777" w:rsidR="00C52856" w:rsidRDefault="00C52856" w:rsidP="00ED61A4">
      <w:pPr>
        <w:spacing w:after="0" w:line="240" w:lineRule="auto"/>
      </w:pPr>
      <w:r>
        <w:separator/>
      </w:r>
    </w:p>
  </w:endnote>
  <w:endnote w:type="continuationSeparator" w:id="0">
    <w:p w14:paraId="54E397D4" w14:textId="77777777" w:rsidR="00C52856" w:rsidRDefault="00C52856" w:rsidP="00ED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361065"/>
      <w:docPartObj>
        <w:docPartGallery w:val="Page Numbers (Bottom of Page)"/>
        <w:docPartUnique/>
      </w:docPartObj>
    </w:sdtPr>
    <w:sdtEndPr/>
    <w:sdtContent>
      <w:sdt>
        <w:sdtPr>
          <w:id w:val="-1769616900"/>
          <w:docPartObj>
            <w:docPartGallery w:val="Page Numbers (Top of Page)"/>
            <w:docPartUnique/>
          </w:docPartObj>
        </w:sdtPr>
        <w:sdtEndPr/>
        <w:sdtContent>
          <w:p w14:paraId="5A6D6A52" w14:textId="170C2185" w:rsidR="00895B94" w:rsidRDefault="00895B94">
            <w:pPr>
              <w:pStyle w:val="Footer"/>
              <w:jc w:val="right"/>
            </w:pPr>
            <w:r>
              <w:t xml:space="preserve">Page </w:t>
            </w:r>
            <w:r>
              <w:rPr>
                <w:b/>
                <w:bCs/>
              </w:rPr>
              <w:fldChar w:fldCharType="begin"/>
            </w:r>
            <w:r>
              <w:rPr>
                <w:b/>
                <w:bCs/>
              </w:rPr>
              <w:instrText xml:space="preserve"> PAGE </w:instrText>
            </w:r>
            <w:r>
              <w:rPr>
                <w:b/>
                <w:bCs/>
              </w:rPr>
              <w:fldChar w:fldCharType="separate"/>
            </w:r>
            <w:r w:rsidR="00801216">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801216">
              <w:rPr>
                <w:b/>
                <w:bCs/>
                <w:noProof/>
              </w:rPr>
              <w:t>9</w:t>
            </w:r>
            <w:r>
              <w:rPr>
                <w:b/>
                <w:bCs/>
              </w:rPr>
              <w:fldChar w:fldCharType="end"/>
            </w:r>
          </w:p>
        </w:sdtContent>
      </w:sdt>
    </w:sdtContent>
  </w:sdt>
  <w:p w14:paraId="4064BC45" w14:textId="77777777" w:rsidR="00895B94" w:rsidRDefault="0089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24CD" w14:textId="77777777" w:rsidR="00C52856" w:rsidRDefault="00C52856" w:rsidP="00ED61A4">
      <w:pPr>
        <w:spacing w:after="0" w:line="240" w:lineRule="auto"/>
      </w:pPr>
      <w:r>
        <w:separator/>
      </w:r>
    </w:p>
  </w:footnote>
  <w:footnote w:type="continuationSeparator" w:id="0">
    <w:p w14:paraId="215C9806" w14:textId="77777777" w:rsidR="00C52856" w:rsidRDefault="00C52856" w:rsidP="00ED61A4">
      <w:pPr>
        <w:spacing w:after="0" w:line="240" w:lineRule="auto"/>
      </w:pPr>
      <w:r>
        <w:continuationSeparator/>
      </w:r>
    </w:p>
  </w:footnote>
  <w:footnote w:id="1">
    <w:p w14:paraId="458B8805" w14:textId="11B1B572" w:rsidR="00911EF8" w:rsidRPr="00F31C63" w:rsidRDefault="00911EF8">
      <w:pPr>
        <w:pStyle w:val="FootnoteText"/>
        <w:rPr>
          <w:rFonts w:asciiTheme="majorHAnsi" w:hAnsiTheme="majorHAnsi" w:cstheme="majorHAnsi"/>
        </w:rPr>
      </w:pPr>
      <w:r w:rsidRPr="00F31C63">
        <w:rPr>
          <w:rStyle w:val="FootnoteReference"/>
          <w:rFonts w:asciiTheme="majorHAnsi" w:hAnsiTheme="majorHAnsi" w:cstheme="majorHAnsi"/>
        </w:rPr>
        <w:footnoteRef/>
      </w:r>
      <w:r w:rsidRPr="00F31C63">
        <w:rPr>
          <w:rFonts w:asciiTheme="majorHAnsi" w:hAnsiTheme="majorHAnsi" w:cstheme="majorHAnsi"/>
        </w:rPr>
        <w:t xml:space="preserve"> Artibus Innovation has been commissioned by the Australian </w:t>
      </w:r>
      <w:r w:rsidR="000F1E81">
        <w:rPr>
          <w:rFonts w:asciiTheme="majorHAnsi" w:hAnsiTheme="majorHAnsi" w:cstheme="majorHAnsi"/>
        </w:rPr>
        <w:t>G</w:t>
      </w:r>
      <w:r w:rsidR="000F1E81" w:rsidRPr="00F31C63">
        <w:rPr>
          <w:rFonts w:asciiTheme="majorHAnsi" w:hAnsiTheme="majorHAnsi" w:cstheme="majorHAnsi"/>
        </w:rPr>
        <w:t xml:space="preserve">overnment </w:t>
      </w:r>
      <w:r w:rsidRPr="00F31C63">
        <w:rPr>
          <w:rFonts w:asciiTheme="majorHAnsi" w:hAnsiTheme="majorHAnsi" w:cstheme="majorHAnsi"/>
        </w:rPr>
        <w:t>to support the Industry Reference Committees for Construction, Plumbing and Services and Property Services in their work reviewing, renewing and developing vocational education and training within their sectors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BF6"/>
    <w:multiLevelType w:val="hybridMultilevel"/>
    <w:tmpl w:val="44FC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FD1A43"/>
    <w:multiLevelType w:val="hybridMultilevel"/>
    <w:tmpl w:val="64AC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D31454"/>
    <w:multiLevelType w:val="hybridMultilevel"/>
    <w:tmpl w:val="26CE35D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35CF0CC0"/>
    <w:multiLevelType w:val="hybridMultilevel"/>
    <w:tmpl w:val="ADAC4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2B63E6"/>
    <w:multiLevelType w:val="hybridMultilevel"/>
    <w:tmpl w:val="83A6F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F8"/>
    <w:rsid w:val="00032E12"/>
    <w:rsid w:val="00042E31"/>
    <w:rsid w:val="0005589A"/>
    <w:rsid w:val="00057D4D"/>
    <w:rsid w:val="00065605"/>
    <w:rsid w:val="00066817"/>
    <w:rsid w:val="000A7DFE"/>
    <w:rsid w:val="000D3504"/>
    <w:rsid w:val="000E7232"/>
    <w:rsid w:val="000F14D8"/>
    <w:rsid w:val="000F1E81"/>
    <w:rsid w:val="000F3083"/>
    <w:rsid w:val="000F624D"/>
    <w:rsid w:val="0011577B"/>
    <w:rsid w:val="00116F3B"/>
    <w:rsid w:val="00123221"/>
    <w:rsid w:val="0012323E"/>
    <w:rsid w:val="0014195E"/>
    <w:rsid w:val="0017100D"/>
    <w:rsid w:val="001A50A9"/>
    <w:rsid w:val="001E40EE"/>
    <w:rsid w:val="00222F8B"/>
    <w:rsid w:val="00236FAE"/>
    <w:rsid w:val="00274A69"/>
    <w:rsid w:val="00276A50"/>
    <w:rsid w:val="00280050"/>
    <w:rsid w:val="0029106A"/>
    <w:rsid w:val="002A2A58"/>
    <w:rsid w:val="002A496D"/>
    <w:rsid w:val="002C026C"/>
    <w:rsid w:val="002D028F"/>
    <w:rsid w:val="002E601D"/>
    <w:rsid w:val="00340E4D"/>
    <w:rsid w:val="003630A7"/>
    <w:rsid w:val="0038400D"/>
    <w:rsid w:val="003B7CFF"/>
    <w:rsid w:val="003C21A3"/>
    <w:rsid w:val="003D2E0B"/>
    <w:rsid w:val="003E1813"/>
    <w:rsid w:val="003E31F9"/>
    <w:rsid w:val="003E697C"/>
    <w:rsid w:val="003E7AA8"/>
    <w:rsid w:val="003F026E"/>
    <w:rsid w:val="00425A18"/>
    <w:rsid w:val="004376F5"/>
    <w:rsid w:val="0043770C"/>
    <w:rsid w:val="00480065"/>
    <w:rsid w:val="004C6544"/>
    <w:rsid w:val="004E24DD"/>
    <w:rsid w:val="004F0149"/>
    <w:rsid w:val="004F12C3"/>
    <w:rsid w:val="00510BFC"/>
    <w:rsid w:val="0054313C"/>
    <w:rsid w:val="005431F8"/>
    <w:rsid w:val="00551DD2"/>
    <w:rsid w:val="005A066E"/>
    <w:rsid w:val="005B3987"/>
    <w:rsid w:val="005C223A"/>
    <w:rsid w:val="005D33B7"/>
    <w:rsid w:val="005D6240"/>
    <w:rsid w:val="005E4F0B"/>
    <w:rsid w:val="005E53E8"/>
    <w:rsid w:val="005E622D"/>
    <w:rsid w:val="005E701A"/>
    <w:rsid w:val="006010C8"/>
    <w:rsid w:val="00625C6C"/>
    <w:rsid w:val="006306A3"/>
    <w:rsid w:val="00632160"/>
    <w:rsid w:val="00643F3A"/>
    <w:rsid w:val="00664530"/>
    <w:rsid w:val="00673E69"/>
    <w:rsid w:val="0069454B"/>
    <w:rsid w:val="00697279"/>
    <w:rsid w:val="006A0A0E"/>
    <w:rsid w:val="006B18D4"/>
    <w:rsid w:val="006B56EC"/>
    <w:rsid w:val="00757C16"/>
    <w:rsid w:val="00766E3B"/>
    <w:rsid w:val="007728EE"/>
    <w:rsid w:val="0078312B"/>
    <w:rsid w:val="00790418"/>
    <w:rsid w:val="007930E9"/>
    <w:rsid w:val="007A471D"/>
    <w:rsid w:val="007D7BA6"/>
    <w:rsid w:val="007E1830"/>
    <w:rsid w:val="00801216"/>
    <w:rsid w:val="00813259"/>
    <w:rsid w:val="00814BB5"/>
    <w:rsid w:val="00845514"/>
    <w:rsid w:val="0085385C"/>
    <w:rsid w:val="00895AC5"/>
    <w:rsid w:val="00895B94"/>
    <w:rsid w:val="008B0562"/>
    <w:rsid w:val="008B07E6"/>
    <w:rsid w:val="008B1D3D"/>
    <w:rsid w:val="008D2B2A"/>
    <w:rsid w:val="008E1ABB"/>
    <w:rsid w:val="008E2929"/>
    <w:rsid w:val="00902F97"/>
    <w:rsid w:val="00905E50"/>
    <w:rsid w:val="00911EF8"/>
    <w:rsid w:val="00917C75"/>
    <w:rsid w:val="009334AE"/>
    <w:rsid w:val="0095563A"/>
    <w:rsid w:val="00957732"/>
    <w:rsid w:val="00962204"/>
    <w:rsid w:val="00972409"/>
    <w:rsid w:val="0098148F"/>
    <w:rsid w:val="00994A0D"/>
    <w:rsid w:val="009C055B"/>
    <w:rsid w:val="009D1978"/>
    <w:rsid w:val="009E6A3A"/>
    <w:rsid w:val="00A349B8"/>
    <w:rsid w:val="00A651B8"/>
    <w:rsid w:val="00B328FA"/>
    <w:rsid w:val="00B67542"/>
    <w:rsid w:val="00B72090"/>
    <w:rsid w:val="00B86DE6"/>
    <w:rsid w:val="00B86E41"/>
    <w:rsid w:val="00BA18B8"/>
    <w:rsid w:val="00BA1CD6"/>
    <w:rsid w:val="00BF2FDE"/>
    <w:rsid w:val="00C21C3A"/>
    <w:rsid w:val="00C22B96"/>
    <w:rsid w:val="00C311D0"/>
    <w:rsid w:val="00C37C99"/>
    <w:rsid w:val="00C52856"/>
    <w:rsid w:val="00C55EBF"/>
    <w:rsid w:val="00C62F2A"/>
    <w:rsid w:val="00C74CA3"/>
    <w:rsid w:val="00C7780B"/>
    <w:rsid w:val="00C91656"/>
    <w:rsid w:val="00C938E5"/>
    <w:rsid w:val="00C95066"/>
    <w:rsid w:val="00CA35B2"/>
    <w:rsid w:val="00CB0220"/>
    <w:rsid w:val="00CC2F01"/>
    <w:rsid w:val="00CC44AC"/>
    <w:rsid w:val="00D20F71"/>
    <w:rsid w:val="00D21EF3"/>
    <w:rsid w:val="00D533AA"/>
    <w:rsid w:val="00D56985"/>
    <w:rsid w:val="00D64AEB"/>
    <w:rsid w:val="00D80ED9"/>
    <w:rsid w:val="00D81AE5"/>
    <w:rsid w:val="00D9558F"/>
    <w:rsid w:val="00DC1272"/>
    <w:rsid w:val="00DE3FF9"/>
    <w:rsid w:val="00E0030D"/>
    <w:rsid w:val="00E278D0"/>
    <w:rsid w:val="00E37C72"/>
    <w:rsid w:val="00E512A1"/>
    <w:rsid w:val="00EB63AB"/>
    <w:rsid w:val="00ED0E52"/>
    <w:rsid w:val="00ED61A4"/>
    <w:rsid w:val="00ED7D51"/>
    <w:rsid w:val="00EF028F"/>
    <w:rsid w:val="00F03F6D"/>
    <w:rsid w:val="00F0531B"/>
    <w:rsid w:val="00F10356"/>
    <w:rsid w:val="00F14D6C"/>
    <w:rsid w:val="00F253D9"/>
    <w:rsid w:val="00F31C63"/>
    <w:rsid w:val="00F5136E"/>
    <w:rsid w:val="00F54BC1"/>
    <w:rsid w:val="00F616B4"/>
    <w:rsid w:val="00F83838"/>
    <w:rsid w:val="00F87925"/>
    <w:rsid w:val="00FB0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4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23E"/>
    <w:pPr>
      <w:ind w:left="720"/>
      <w:contextualSpacing/>
    </w:pPr>
  </w:style>
  <w:style w:type="character" w:styleId="CommentReference">
    <w:name w:val="annotation reference"/>
    <w:basedOn w:val="DefaultParagraphFont"/>
    <w:uiPriority w:val="99"/>
    <w:semiHidden/>
    <w:unhideWhenUsed/>
    <w:rsid w:val="00697279"/>
    <w:rPr>
      <w:sz w:val="16"/>
      <w:szCs w:val="16"/>
    </w:rPr>
  </w:style>
  <w:style w:type="paragraph" w:styleId="CommentText">
    <w:name w:val="annotation text"/>
    <w:basedOn w:val="Normal"/>
    <w:link w:val="CommentTextChar"/>
    <w:uiPriority w:val="99"/>
    <w:semiHidden/>
    <w:unhideWhenUsed/>
    <w:rsid w:val="00697279"/>
    <w:pPr>
      <w:spacing w:line="240" w:lineRule="auto"/>
    </w:pPr>
    <w:rPr>
      <w:sz w:val="20"/>
      <w:szCs w:val="20"/>
    </w:rPr>
  </w:style>
  <w:style w:type="character" w:customStyle="1" w:styleId="CommentTextChar">
    <w:name w:val="Comment Text Char"/>
    <w:basedOn w:val="DefaultParagraphFont"/>
    <w:link w:val="CommentText"/>
    <w:uiPriority w:val="99"/>
    <w:semiHidden/>
    <w:rsid w:val="00697279"/>
    <w:rPr>
      <w:sz w:val="20"/>
      <w:szCs w:val="20"/>
    </w:rPr>
  </w:style>
  <w:style w:type="paragraph" w:styleId="CommentSubject">
    <w:name w:val="annotation subject"/>
    <w:basedOn w:val="CommentText"/>
    <w:next w:val="CommentText"/>
    <w:link w:val="CommentSubjectChar"/>
    <w:uiPriority w:val="99"/>
    <w:semiHidden/>
    <w:unhideWhenUsed/>
    <w:rsid w:val="00697279"/>
    <w:rPr>
      <w:b/>
      <w:bCs/>
    </w:rPr>
  </w:style>
  <w:style w:type="character" w:customStyle="1" w:styleId="CommentSubjectChar">
    <w:name w:val="Comment Subject Char"/>
    <w:basedOn w:val="CommentTextChar"/>
    <w:link w:val="CommentSubject"/>
    <w:uiPriority w:val="99"/>
    <w:semiHidden/>
    <w:rsid w:val="00697279"/>
    <w:rPr>
      <w:b/>
      <w:bCs/>
      <w:sz w:val="20"/>
      <w:szCs w:val="20"/>
    </w:rPr>
  </w:style>
  <w:style w:type="paragraph" w:styleId="BalloonText">
    <w:name w:val="Balloon Text"/>
    <w:basedOn w:val="Normal"/>
    <w:link w:val="BalloonTextChar"/>
    <w:uiPriority w:val="99"/>
    <w:semiHidden/>
    <w:unhideWhenUsed/>
    <w:rsid w:val="00697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279"/>
    <w:rPr>
      <w:rFonts w:ascii="Segoe UI" w:hAnsi="Segoe UI" w:cs="Segoe UI"/>
      <w:sz w:val="18"/>
      <w:szCs w:val="18"/>
    </w:rPr>
  </w:style>
  <w:style w:type="paragraph" w:styleId="Header">
    <w:name w:val="header"/>
    <w:basedOn w:val="Normal"/>
    <w:link w:val="HeaderChar"/>
    <w:uiPriority w:val="99"/>
    <w:unhideWhenUsed/>
    <w:rsid w:val="00ED6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1A4"/>
  </w:style>
  <w:style w:type="paragraph" w:styleId="Footer">
    <w:name w:val="footer"/>
    <w:basedOn w:val="Normal"/>
    <w:link w:val="FooterChar"/>
    <w:uiPriority w:val="99"/>
    <w:unhideWhenUsed/>
    <w:rsid w:val="00ED6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1A4"/>
  </w:style>
  <w:style w:type="paragraph" w:styleId="FootnoteText">
    <w:name w:val="footnote text"/>
    <w:basedOn w:val="Normal"/>
    <w:link w:val="FootnoteTextChar"/>
    <w:uiPriority w:val="99"/>
    <w:semiHidden/>
    <w:unhideWhenUsed/>
    <w:rsid w:val="00911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EF8"/>
    <w:rPr>
      <w:sz w:val="20"/>
      <w:szCs w:val="20"/>
    </w:rPr>
  </w:style>
  <w:style w:type="character" w:styleId="FootnoteReference">
    <w:name w:val="footnote reference"/>
    <w:basedOn w:val="DefaultParagraphFont"/>
    <w:uiPriority w:val="99"/>
    <w:semiHidden/>
    <w:unhideWhenUsed/>
    <w:rsid w:val="00911EF8"/>
    <w:rPr>
      <w:vertAlign w:val="superscript"/>
    </w:rPr>
  </w:style>
  <w:style w:type="paragraph" w:styleId="Revision">
    <w:name w:val="Revision"/>
    <w:hidden/>
    <w:uiPriority w:val="99"/>
    <w:semiHidden/>
    <w:rsid w:val="00291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113">
      <w:bodyDiv w:val="1"/>
      <w:marLeft w:val="0"/>
      <w:marRight w:val="0"/>
      <w:marTop w:val="0"/>
      <w:marBottom w:val="0"/>
      <w:divBdr>
        <w:top w:val="none" w:sz="0" w:space="0" w:color="auto"/>
        <w:left w:val="none" w:sz="0" w:space="0" w:color="auto"/>
        <w:bottom w:val="none" w:sz="0" w:space="0" w:color="auto"/>
        <w:right w:val="none" w:sz="0" w:space="0" w:color="auto"/>
      </w:divBdr>
    </w:div>
    <w:div w:id="362825262">
      <w:bodyDiv w:val="1"/>
      <w:marLeft w:val="0"/>
      <w:marRight w:val="0"/>
      <w:marTop w:val="0"/>
      <w:marBottom w:val="0"/>
      <w:divBdr>
        <w:top w:val="none" w:sz="0" w:space="0" w:color="auto"/>
        <w:left w:val="none" w:sz="0" w:space="0" w:color="auto"/>
        <w:bottom w:val="none" w:sz="0" w:space="0" w:color="auto"/>
        <w:right w:val="none" w:sz="0" w:space="0" w:color="auto"/>
      </w:divBdr>
    </w:div>
    <w:div w:id="865027310">
      <w:bodyDiv w:val="1"/>
      <w:marLeft w:val="0"/>
      <w:marRight w:val="0"/>
      <w:marTop w:val="0"/>
      <w:marBottom w:val="0"/>
      <w:divBdr>
        <w:top w:val="none" w:sz="0" w:space="0" w:color="auto"/>
        <w:left w:val="none" w:sz="0" w:space="0" w:color="auto"/>
        <w:bottom w:val="none" w:sz="0" w:space="0" w:color="auto"/>
        <w:right w:val="none" w:sz="0" w:space="0" w:color="auto"/>
      </w:divBdr>
    </w:div>
    <w:div w:id="911280006">
      <w:bodyDiv w:val="1"/>
      <w:marLeft w:val="0"/>
      <w:marRight w:val="0"/>
      <w:marTop w:val="0"/>
      <w:marBottom w:val="0"/>
      <w:divBdr>
        <w:top w:val="none" w:sz="0" w:space="0" w:color="auto"/>
        <w:left w:val="none" w:sz="0" w:space="0" w:color="auto"/>
        <w:bottom w:val="none" w:sz="0" w:space="0" w:color="auto"/>
        <w:right w:val="none" w:sz="0" w:space="0" w:color="auto"/>
      </w:divBdr>
    </w:div>
    <w:div w:id="18084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89A487F-9855-4890-A2FA-68CF8D9A7E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F5BDDA65ED64B9D0E133DD9F6DE89" ma:contentTypeVersion="" ma:contentTypeDescription="PDMS Document Site Content Type" ma:contentTypeScope="" ma:versionID="03de4943f1d1ab1f929fc7e66a83c12b">
  <xsd:schema xmlns:xsd="http://www.w3.org/2001/XMLSchema" xmlns:xs="http://www.w3.org/2001/XMLSchema" xmlns:p="http://schemas.microsoft.com/office/2006/metadata/properties" xmlns:ns2="289A487F-9855-4890-A2FA-68CF8D9A7E4F" targetNamespace="http://schemas.microsoft.com/office/2006/metadata/properties" ma:root="true" ma:fieldsID="d20ac01d4e243a2b873679117263a72a" ns2:_="">
    <xsd:import namespace="289A487F-9855-4890-A2FA-68CF8D9A7E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A487F-9855-4890-A2FA-68CF8D9A7E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70FD-512D-43F4-8F56-45D3FD2B590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89A487F-9855-4890-A2FA-68CF8D9A7E4F"/>
    <ds:schemaRef ds:uri="http://purl.org/dc/terms/"/>
    <ds:schemaRef ds:uri="http://www.w3.org/XML/1998/namespace"/>
  </ds:schemaRefs>
</ds:datastoreItem>
</file>

<file path=customXml/itemProps2.xml><?xml version="1.0" encoding="utf-8"?>
<ds:datastoreItem xmlns:ds="http://schemas.openxmlformats.org/officeDocument/2006/customXml" ds:itemID="{5A1EFCD7-1A6E-4892-9B72-B0903179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A487F-9855-4890-A2FA-68CF8D9A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2FA88-C1EF-4FE9-B204-3FFDE25E034E}">
  <ds:schemaRefs>
    <ds:schemaRef ds:uri="http://schemas.microsoft.com/sharepoint/v3/contenttype/forms"/>
  </ds:schemaRefs>
</ds:datastoreItem>
</file>

<file path=customXml/itemProps4.xml><?xml version="1.0" encoding="utf-8"?>
<ds:datastoreItem xmlns:ds="http://schemas.openxmlformats.org/officeDocument/2006/customXml" ds:itemID="{E1755014-1586-40C4-9684-A61689B3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2020-02-04T23:18:00Z</dcterms:created>
  <dcterms:modified xsi:type="dcterms:W3CDTF">2020-03-02T06:12:00Z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0x010100266966F133664895A6EE3632470D45F500A92F5BDDA65ED64B9D0E133DD9F6DE89</vt:lpwstr>
  </property>
</Properties>
</file>