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E9" w:rsidRPr="005C6815" w:rsidRDefault="00B51A92" w:rsidP="005C6815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6815">
        <w:rPr>
          <w:rFonts w:ascii="Times New Roman" w:hAnsi="Times New Roman" w:cs="Times New Roman"/>
          <w:sz w:val="24"/>
          <w:szCs w:val="24"/>
        </w:rPr>
        <w:t xml:space="preserve">Governments’ </w:t>
      </w:r>
      <w:r w:rsidR="000A464A" w:rsidRPr="005C6815">
        <w:rPr>
          <w:rFonts w:ascii="Times New Roman" w:hAnsi="Times New Roman" w:cs="Times New Roman"/>
          <w:sz w:val="24"/>
          <w:szCs w:val="24"/>
        </w:rPr>
        <w:t>Statement on</w:t>
      </w:r>
      <w:r w:rsidR="00122575" w:rsidRPr="005C6815">
        <w:rPr>
          <w:rFonts w:ascii="Times New Roman" w:hAnsi="Times New Roman" w:cs="Times New Roman"/>
          <w:sz w:val="24"/>
          <w:szCs w:val="24"/>
        </w:rPr>
        <w:t xml:space="preserve"> the Analysis of the Australian Eye and Tissue Sector</w:t>
      </w:r>
    </w:p>
    <w:bookmarkEnd w:id="0"/>
    <w:p w:rsidR="00440BE9" w:rsidRDefault="00440BE9" w:rsidP="00440BE9">
      <w:pPr>
        <w:rPr>
          <w:szCs w:val="24"/>
        </w:rPr>
      </w:pPr>
    </w:p>
    <w:p w:rsidR="00440BE9" w:rsidRDefault="00440BE9" w:rsidP="00440BE9">
      <w:pPr>
        <w:rPr>
          <w:szCs w:val="24"/>
        </w:rPr>
      </w:pPr>
      <w:r>
        <w:rPr>
          <w:szCs w:val="24"/>
        </w:rPr>
        <w:t>In June 2015</w:t>
      </w:r>
      <w:r w:rsidR="000A464A">
        <w:rPr>
          <w:szCs w:val="24"/>
        </w:rPr>
        <w:t>, at the r</w:t>
      </w:r>
      <w:r w:rsidR="00D4304A">
        <w:rPr>
          <w:szCs w:val="24"/>
        </w:rPr>
        <w:t>equest of the Commonwealth and State and T</w:t>
      </w:r>
      <w:r w:rsidR="000A464A">
        <w:rPr>
          <w:szCs w:val="24"/>
        </w:rPr>
        <w:t xml:space="preserve">erritory governments, </w:t>
      </w:r>
      <w:r>
        <w:rPr>
          <w:szCs w:val="24"/>
        </w:rPr>
        <w:t xml:space="preserve">PricewaterhouseCoopers undertook an Analysis of the Australian Eye and Tissue Sector. The report from the analysis </w:t>
      </w:r>
      <w:r w:rsidRPr="00440BE9">
        <w:rPr>
          <w:szCs w:val="24"/>
        </w:rPr>
        <w:t>presents an overview of the eye and tissue sector, as informed by stakeholders in tissue banking, government and clinical sectors.</w:t>
      </w:r>
    </w:p>
    <w:p w:rsidR="00AF3953" w:rsidRDefault="00AF3953" w:rsidP="00440BE9">
      <w:pPr>
        <w:rPr>
          <w:szCs w:val="24"/>
        </w:rPr>
      </w:pPr>
    </w:p>
    <w:p w:rsidR="0091522A" w:rsidRDefault="00316642" w:rsidP="00440BE9">
      <w:pPr>
        <w:rPr>
          <w:szCs w:val="24"/>
        </w:rPr>
      </w:pPr>
      <w:r>
        <w:rPr>
          <w:szCs w:val="24"/>
        </w:rPr>
        <w:t>The eye and tissue sector</w:t>
      </w:r>
      <w:r w:rsidR="00D024FA">
        <w:rPr>
          <w:szCs w:val="24"/>
        </w:rPr>
        <w:t xml:space="preserve"> is</w:t>
      </w:r>
      <w:r>
        <w:rPr>
          <w:szCs w:val="24"/>
        </w:rPr>
        <w:t xml:space="preserve"> the large</w:t>
      </w:r>
      <w:r w:rsidR="00E17AB2">
        <w:rPr>
          <w:szCs w:val="24"/>
        </w:rPr>
        <w:t>s</w:t>
      </w:r>
      <w:r>
        <w:rPr>
          <w:szCs w:val="24"/>
        </w:rPr>
        <w:t>t donation and transplant sector in Australia</w:t>
      </w:r>
      <w:r w:rsidR="00E17AB2">
        <w:rPr>
          <w:szCs w:val="24"/>
        </w:rPr>
        <w:t xml:space="preserve">.  Each year the lives of thousands of Australians are transformed through the transplantation of </w:t>
      </w:r>
      <w:r w:rsidR="00D024FA">
        <w:rPr>
          <w:szCs w:val="24"/>
        </w:rPr>
        <w:t xml:space="preserve">generously </w:t>
      </w:r>
      <w:r w:rsidR="00E17AB2">
        <w:rPr>
          <w:szCs w:val="24"/>
        </w:rPr>
        <w:t>donated eye</w:t>
      </w:r>
      <w:r w:rsidR="00D024FA">
        <w:rPr>
          <w:szCs w:val="24"/>
        </w:rPr>
        <w:t>s</w:t>
      </w:r>
      <w:r w:rsidR="00E17AB2">
        <w:rPr>
          <w:szCs w:val="24"/>
        </w:rPr>
        <w:t xml:space="preserve"> and tissue</w:t>
      </w:r>
      <w:r w:rsidR="00D024FA">
        <w:rPr>
          <w:szCs w:val="24"/>
        </w:rPr>
        <w:t>s</w:t>
      </w:r>
      <w:r w:rsidR="00E17AB2">
        <w:rPr>
          <w:szCs w:val="24"/>
        </w:rPr>
        <w:t xml:space="preserve">.  </w:t>
      </w:r>
    </w:p>
    <w:p w:rsidR="00D024FA" w:rsidRDefault="00D024FA" w:rsidP="00440BE9">
      <w:pPr>
        <w:rPr>
          <w:szCs w:val="24"/>
        </w:rPr>
      </w:pPr>
    </w:p>
    <w:p w:rsidR="00440BE9" w:rsidRPr="00A9558F" w:rsidRDefault="00440BE9" w:rsidP="00440BE9">
      <w:pPr>
        <w:rPr>
          <w:szCs w:val="24"/>
        </w:rPr>
      </w:pPr>
      <w:r>
        <w:rPr>
          <w:szCs w:val="24"/>
        </w:rPr>
        <w:t>The report found that the Australian eye and tissue sector is diverse and undergoing rapid change in some areas</w:t>
      </w:r>
      <w:r w:rsidR="00D024FA">
        <w:rPr>
          <w:szCs w:val="24"/>
        </w:rPr>
        <w:t xml:space="preserve">. There was a </w:t>
      </w:r>
      <w:r w:rsidR="00272707">
        <w:rPr>
          <w:szCs w:val="24"/>
        </w:rPr>
        <w:t>350 percent increase in tissue transplant</w:t>
      </w:r>
      <w:r w:rsidR="00D024FA">
        <w:rPr>
          <w:szCs w:val="24"/>
        </w:rPr>
        <w:t xml:space="preserve"> activity </w:t>
      </w:r>
      <w:r w:rsidR="00272707">
        <w:rPr>
          <w:szCs w:val="24"/>
        </w:rPr>
        <w:t>in Australia over the 2009-2014 period</w:t>
      </w:r>
      <w:r w:rsidR="00D024FA">
        <w:rPr>
          <w:szCs w:val="24"/>
        </w:rPr>
        <w:t xml:space="preserve"> and the pace of growth and change continues</w:t>
      </w:r>
      <w:r w:rsidR="00272707">
        <w:rPr>
          <w:szCs w:val="24"/>
        </w:rPr>
        <w:t xml:space="preserve">.  </w:t>
      </w:r>
      <w:r w:rsidR="00D024FA">
        <w:rPr>
          <w:szCs w:val="24"/>
        </w:rPr>
        <w:t xml:space="preserve">As a result of </w:t>
      </w:r>
      <w:r w:rsidR="00272707">
        <w:rPr>
          <w:szCs w:val="24"/>
        </w:rPr>
        <w:t>this growth</w:t>
      </w:r>
      <w:r w:rsidR="00D024FA">
        <w:rPr>
          <w:szCs w:val="24"/>
        </w:rPr>
        <w:t xml:space="preserve">, the </w:t>
      </w:r>
      <w:r w:rsidR="00D0345D">
        <w:rPr>
          <w:szCs w:val="24"/>
        </w:rPr>
        <w:t>local availability of</w:t>
      </w:r>
      <w:r w:rsidR="00D024FA" w:rsidRPr="00D024FA">
        <w:rPr>
          <w:szCs w:val="24"/>
        </w:rPr>
        <w:t xml:space="preserve"> </w:t>
      </w:r>
      <w:r w:rsidR="00D024FA">
        <w:rPr>
          <w:szCs w:val="24"/>
        </w:rPr>
        <w:t xml:space="preserve">tissues for transplantation </w:t>
      </w:r>
      <w:r w:rsidR="00D024FA" w:rsidRPr="00D024FA">
        <w:rPr>
          <w:szCs w:val="24"/>
        </w:rPr>
        <w:t xml:space="preserve">has not always </w:t>
      </w:r>
      <w:r w:rsidR="00D0345D">
        <w:rPr>
          <w:szCs w:val="24"/>
        </w:rPr>
        <w:t>met the community’s needs.</w:t>
      </w:r>
      <w:r w:rsidR="00C15D82">
        <w:rPr>
          <w:szCs w:val="24"/>
        </w:rPr>
        <w:t xml:space="preserve"> </w:t>
      </w:r>
      <w:r w:rsidR="00D0345D">
        <w:rPr>
          <w:szCs w:val="24"/>
        </w:rPr>
        <w:t xml:space="preserve">As in </w:t>
      </w:r>
      <w:r w:rsidR="00272707">
        <w:rPr>
          <w:szCs w:val="24"/>
        </w:rPr>
        <w:t>other areas of the health sector</w:t>
      </w:r>
      <w:r w:rsidR="00D024FA">
        <w:rPr>
          <w:szCs w:val="24"/>
        </w:rPr>
        <w:t>,</w:t>
      </w:r>
      <w:r w:rsidR="00272707">
        <w:rPr>
          <w:szCs w:val="24"/>
        </w:rPr>
        <w:t xml:space="preserve"> innovation in </w:t>
      </w:r>
      <w:r w:rsidR="00D024FA">
        <w:rPr>
          <w:szCs w:val="24"/>
        </w:rPr>
        <w:t xml:space="preserve">the </w:t>
      </w:r>
      <w:r w:rsidR="00272707">
        <w:rPr>
          <w:szCs w:val="24"/>
        </w:rPr>
        <w:t xml:space="preserve">development of new </w:t>
      </w:r>
      <w:r w:rsidR="00D024FA">
        <w:rPr>
          <w:szCs w:val="24"/>
        </w:rPr>
        <w:t xml:space="preserve">types of </w:t>
      </w:r>
      <w:r w:rsidR="00272707">
        <w:rPr>
          <w:szCs w:val="24"/>
        </w:rPr>
        <w:t xml:space="preserve">tissue </w:t>
      </w:r>
      <w:r w:rsidR="00D024FA">
        <w:rPr>
          <w:szCs w:val="24"/>
        </w:rPr>
        <w:t xml:space="preserve">for transplant </w:t>
      </w:r>
      <w:r w:rsidR="00272707">
        <w:rPr>
          <w:szCs w:val="24"/>
        </w:rPr>
        <w:t xml:space="preserve">has had a significant impact on the </w:t>
      </w:r>
      <w:r w:rsidR="00D0345D">
        <w:rPr>
          <w:szCs w:val="24"/>
        </w:rPr>
        <w:t xml:space="preserve">availability of tissue for transplant and the structure and function of the Australian sector. </w:t>
      </w:r>
      <w:r w:rsidR="00F2086F">
        <w:rPr>
          <w:lang w:val="en-AU"/>
        </w:rPr>
        <w:t>The report</w:t>
      </w:r>
      <w:r w:rsidRPr="00440BE9">
        <w:rPr>
          <w:lang w:val="en-AU"/>
        </w:rPr>
        <w:t xml:space="preserve"> </w:t>
      </w:r>
      <w:r w:rsidR="00D0345D">
        <w:rPr>
          <w:lang w:val="en-AU"/>
        </w:rPr>
        <w:t xml:space="preserve">also </w:t>
      </w:r>
      <w:r w:rsidRPr="00440BE9">
        <w:rPr>
          <w:lang w:val="en-AU"/>
        </w:rPr>
        <w:t xml:space="preserve">found that awareness of the </w:t>
      </w:r>
      <w:r w:rsidR="00BE2175">
        <w:rPr>
          <w:lang w:val="en-AU"/>
        </w:rPr>
        <w:t xml:space="preserve">emerging complexities associated with the changing </w:t>
      </w:r>
      <w:r w:rsidRPr="00440BE9">
        <w:rPr>
          <w:lang w:val="en-AU"/>
        </w:rPr>
        <w:t>sector is limited.</w:t>
      </w:r>
      <w:r>
        <w:rPr>
          <w:lang w:val="en-AU"/>
        </w:rPr>
        <w:t xml:space="preserve"> To ensure the </w:t>
      </w:r>
      <w:r w:rsidR="0047654A">
        <w:rPr>
          <w:lang w:val="en-AU"/>
        </w:rPr>
        <w:t xml:space="preserve">continued </w:t>
      </w:r>
      <w:r w:rsidR="00BE2175">
        <w:rPr>
          <w:lang w:val="en-AU"/>
        </w:rPr>
        <w:t xml:space="preserve">adequate </w:t>
      </w:r>
      <w:r w:rsidR="0047654A">
        <w:rPr>
          <w:lang w:val="en-AU"/>
        </w:rPr>
        <w:t xml:space="preserve">supply of tissue to meet the </w:t>
      </w:r>
      <w:r w:rsidR="00BE2175">
        <w:rPr>
          <w:lang w:val="en-AU"/>
        </w:rPr>
        <w:t xml:space="preserve">transplantation </w:t>
      </w:r>
      <w:r w:rsidR="00D0345D">
        <w:rPr>
          <w:lang w:val="en-AU"/>
        </w:rPr>
        <w:t>needs</w:t>
      </w:r>
      <w:r w:rsidR="0047654A">
        <w:rPr>
          <w:lang w:val="en-AU"/>
        </w:rPr>
        <w:t xml:space="preserve"> of the Australian population</w:t>
      </w:r>
      <w:r>
        <w:rPr>
          <w:lang w:val="en-AU"/>
        </w:rPr>
        <w:t xml:space="preserve"> further work is required to </w:t>
      </w:r>
      <w:r w:rsidR="0047654A">
        <w:rPr>
          <w:lang w:val="en-AU"/>
        </w:rPr>
        <w:t xml:space="preserve">support </w:t>
      </w:r>
      <w:r w:rsidR="007B32F4">
        <w:rPr>
          <w:lang w:val="en-AU"/>
        </w:rPr>
        <w:t>th</w:t>
      </w:r>
      <w:r w:rsidR="00D0345D">
        <w:rPr>
          <w:lang w:val="en-AU"/>
        </w:rPr>
        <w:t>e sector in meeting these challenges to ensure the availability of eyes and tissues for transplantation in Australia into the future.</w:t>
      </w:r>
    </w:p>
    <w:p w:rsidR="007B32F4" w:rsidRDefault="007B32F4" w:rsidP="00440BE9">
      <w:pPr>
        <w:rPr>
          <w:lang w:val="en-AU"/>
        </w:rPr>
      </w:pPr>
    </w:p>
    <w:p w:rsidR="00F2086F" w:rsidRDefault="00C476D0" w:rsidP="00440BE9">
      <w:pPr>
        <w:rPr>
          <w:lang w:val="en-AU"/>
        </w:rPr>
      </w:pPr>
      <w:r>
        <w:rPr>
          <w:lang w:val="en-AU"/>
        </w:rPr>
        <w:t>T</w:t>
      </w:r>
      <w:r w:rsidR="007B32F4">
        <w:rPr>
          <w:lang w:val="en-AU"/>
        </w:rPr>
        <w:t>he Commonwealth</w:t>
      </w:r>
      <w:r w:rsidR="00926CFC">
        <w:rPr>
          <w:lang w:val="en-AU"/>
        </w:rPr>
        <w:t xml:space="preserve"> and</w:t>
      </w:r>
      <w:r w:rsidR="00A9558F">
        <w:rPr>
          <w:lang w:val="en-AU"/>
        </w:rPr>
        <w:t xml:space="preserve"> State and T</w:t>
      </w:r>
      <w:r w:rsidR="007B32F4">
        <w:rPr>
          <w:lang w:val="en-AU"/>
        </w:rPr>
        <w:t>erritory governments</w:t>
      </w:r>
      <w:r w:rsidR="002507AA">
        <w:rPr>
          <w:lang w:val="en-AU"/>
        </w:rPr>
        <w:t xml:space="preserve"> </w:t>
      </w:r>
      <w:r w:rsidR="000A464A">
        <w:rPr>
          <w:lang w:val="en-AU"/>
        </w:rPr>
        <w:t>acknowledge that there are some issues within t</w:t>
      </w:r>
      <w:r w:rsidR="00241272">
        <w:rPr>
          <w:lang w:val="en-AU"/>
        </w:rPr>
        <w:t xml:space="preserve">he sector which require </w:t>
      </w:r>
      <w:r w:rsidR="00BE2175">
        <w:rPr>
          <w:lang w:val="en-AU"/>
        </w:rPr>
        <w:t xml:space="preserve">rapid </w:t>
      </w:r>
      <w:r w:rsidR="00241272">
        <w:rPr>
          <w:lang w:val="en-AU"/>
        </w:rPr>
        <w:t>action</w:t>
      </w:r>
      <w:r w:rsidR="00F2086F">
        <w:rPr>
          <w:lang w:val="en-AU"/>
        </w:rPr>
        <w:t>. We agree with the recommendations</w:t>
      </w:r>
      <w:r w:rsidR="00A9558F">
        <w:rPr>
          <w:lang w:val="en-AU"/>
        </w:rPr>
        <w:t xml:space="preserve"> presented</w:t>
      </w:r>
      <w:r w:rsidR="00F2086F">
        <w:rPr>
          <w:lang w:val="en-AU"/>
        </w:rPr>
        <w:t xml:space="preserve"> in the report, particularly </w:t>
      </w:r>
      <w:r w:rsidR="00D0345D">
        <w:rPr>
          <w:lang w:val="en-AU"/>
        </w:rPr>
        <w:t>R</w:t>
      </w:r>
      <w:r w:rsidR="00F2086F">
        <w:rPr>
          <w:lang w:val="en-AU"/>
        </w:rPr>
        <w:t xml:space="preserve">ecommendation </w:t>
      </w:r>
      <w:r w:rsidR="00D0345D">
        <w:rPr>
          <w:lang w:val="en-AU"/>
        </w:rPr>
        <w:t>T</w:t>
      </w:r>
      <w:r w:rsidR="00F2086F">
        <w:rPr>
          <w:lang w:val="en-AU"/>
        </w:rPr>
        <w:t xml:space="preserve">wo which identifies that there is a need for a national policy framework </w:t>
      </w:r>
      <w:r w:rsidR="00D0345D">
        <w:rPr>
          <w:lang w:val="en-AU"/>
        </w:rPr>
        <w:t xml:space="preserve">for the sector </w:t>
      </w:r>
      <w:r w:rsidR="00F2086F">
        <w:rPr>
          <w:lang w:val="en-AU"/>
        </w:rPr>
        <w:t xml:space="preserve">that is agreed between all governments. This will inform the implementation of other measures to ensure the continued </w:t>
      </w:r>
      <w:r w:rsidR="00D0345D">
        <w:rPr>
          <w:lang w:val="en-AU"/>
        </w:rPr>
        <w:t xml:space="preserve">availability </w:t>
      </w:r>
      <w:r w:rsidR="00F2086F">
        <w:rPr>
          <w:lang w:val="en-AU"/>
        </w:rPr>
        <w:t xml:space="preserve">of </w:t>
      </w:r>
      <w:r w:rsidR="00DC71FD">
        <w:rPr>
          <w:lang w:val="en-AU"/>
        </w:rPr>
        <w:t xml:space="preserve">eyes and </w:t>
      </w:r>
      <w:r w:rsidR="00F2086F">
        <w:rPr>
          <w:lang w:val="en-AU"/>
        </w:rPr>
        <w:t xml:space="preserve">tissues </w:t>
      </w:r>
      <w:r w:rsidR="00DC71FD">
        <w:rPr>
          <w:lang w:val="en-AU"/>
        </w:rPr>
        <w:t>for</w:t>
      </w:r>
      <w:r w:rsidR="00F2086F">
        <w:rPr>
          <w:lang w:val="en-AU"/>
        </w:rPr>
        <w:t xml:space="preserve"> those Australian</w:t>
      </w:r>
      <w:r w:rsidR="00DC71FD">
        <w:rPr>
          <w:lang w:val="en-AU"/>
        </w:rPr>
        <w:t>s who need</w:t>
      </w:r>
      <w:r w:rsidR="00A9558F">
        <w:rPr>
          <w:lang w:val="en-AU"/>
        </w:rPr>
        <w:t xml:space="preserve"> </w:t>
      </w:r>
      <w:r w:rsidR="00BE2175">
        <w:rPr>
          <w:lang w:val="en-AU"/>
        </w:rPr>
        <w:t>them</w:t>
      </w:r>
      <w:r w:rsidR="00A9558F">
        <w:rPr>
          <w:lang w:val="en-AU"/>
        </w:rPr>
        <w:t>. The Commonwealth and State and T</w:t>
      </w:r>
      <w:r w:rsidR="00F2086F">
        <w:rPr>
          <w:lang w:val="en-AU"/>
        </w:rPr>
        <w:t>erritory governments will work together to develop this national policy framework</w:t>
      </w:r>
      <w:r w:rsidR="00DC71FD">
        <w:rPr>
          <w:lang w:val="en-AU"/>
        </w:rPr>
        <w:t>.</w:t>
      </w:r>
      <w:r w:rsidR="00F2086F">
        <w:rPr>
          <w:lang w:val="en-AU"/>
        </w:rPr>
        <w:t xml:space="preserve"> </w:t>
      </w:r>
      <w:r w:rsidR="00241272">
        <w:rPr>
          <w:lang w:val="en-AU"/>
        </w:rPr>
        <w:t xml:space="preserve"> </w:t>
      </w:r>
    </w:p>
    <w:p w:rsidR="0047654A" w:rsidRDefault="0047654A" w:rsidP="00440BE9"/>
    <w:p w:rsidR="00E621FA" w:rsidRDefault="00E621FA" w:rsidP="00926CFC">
      <w:r>
        <w:t xml:space="preserve">The Governments’ recognise that the </w:t>
      </w:r>
      <w:r w:rsidR="009A6010">
        <w:t xml:space="preserve">eye and tissue sector </w:t>
      </w:r>
      <w:r>
        <w:t xml:space="preserve">is complex with multiple stakeholders. In addressing the recommendations within the report the Government will </w:t>
      </w:r>
      <w:r w:rsidR="00BE2175">
        <w:t>engage</w:t>
      </w:r>
      <w:r>
        <w:t xml:space="preserve"> with key stakeholders to ensure that issues identified in the report can </w:t>
      </w:r>
      <w:r w:rsidR="009A6010">
        <w:t xml:space="preserve">be addressed in a meaningful way to ensure the Australian eye and tissue sector </w:t>
      </w:r>
      <w:r w:rsidR="005304EC">
        <w:t>is sustainable</w:t>
      </w:r>
      <w:r w:rsidR="009A6010">
        <w:t xml:space="preserve"> into the future.</w:t>
      </w:r>
      <w:r>
        <w:t xml:space="preserve"> </w:t>
      </w:r>
    </w:p>
    <w:p w:rsidR="00DC71FD" w:rsidRDefault="00DC71FD" w:rsidP="00926CFC"/>
    <w:p w:rsidR="00440BE9" w:rsidRPr="00440BE9" w:rsidRDefault="007B60BF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  <w:r>
        <w:rPr>
          <w:rStyle w:val="IntenseReference"/>
          <w:b w:val="0"/>
          <w:bCs w:val="0"/>
          <w:i w:val="0"/>
          <w:smallCaps w:val="0"/>
          <w:color w:val="auto"/>
          <w:spacing w:val="0"/>
        </w:rPr>
        <w:t>An action plan has been developed to address the issues</w:t>
      </w:r>
      <w:r w:rsidR="00C15D82">
        <w:rPr>
          <w:rStyle w:val="IntenseReference"/>
          <w:b w:val="0"/>
          <w:bCs w:val="0"/>
          <w:i w:val="0"/>
          <w:smallCaps w:val="0"/>
          <w:color w:val="auto"/>
          <w:spacing w:val="0"/>
        </w:rPr>
        <w:t xml:space="preserve"> raised in the report</w:t>
      </w:r>
      <w:r w:rsidR="00F66F01">
        <w:rPr>
          <w:rStyle w:val="IntenseReference"/>
          <w:b w:val="0"/>
          <w:bCs w:val="0"/>
          <w:i w:val="0"/>
          <w:smallCaps w:val="0"/>
          <w:color w:val="auto"/>
          <w:spacing w:val="0"/>
        </w:rPr>
        <w:t>.</w:t>
      </w:r>
      <w:r>
        <w:rPr>
          <w:rStyle w:val="IntenseReference"/>
          <w:b w:val="0"/>
          <w:bCs w:val="0"/>
          <w:i w:val="0"/>
          <w:smallCaps w:val="0"/>
          <w:color w:val="auto"/>
          <w:spacing w:val="0"/>
        </w:rPr>
        <w:t xml:space="preserve"> It is expected work</w:t>
      </w:r>
      <w:r w:rsidR="00DC71FD" w:rsidRPr="00DC71FD">
        <w:rPr>
          <w:rStyle w:val="IntenseReference"/>
          <w:b w:val="0"/>
          <w:bCs w:val="0"/>
          <w:i w:val="0"/>
          <w:smallCaps w:val="0"/>
          <w:color w:val="auto"/>
          <w:spacing w:val="0"/>
        </w:rPr>
        <w:t xml:space="preserve"> </w:t>
      </w:r>
      <w:r>
        <w:rPr>
          <w:rStyle w:val="IntenseReference"/>
          <w:b w:val="0"/>
          <w:bCs w:val="0"/>
          <w:i w:val="0"/>
          <w:smallCaps w:val="0"/>
          <w:color w:val="auto"/>
          <w:spacing w:val="0"/>
        </w:rPr>
        <w:t xml:space="preserve">will be </w:t>
      </w:r>
      <w:r w:rsidR="00DC71FD" w:rsidRPr="00DC71FD">
        <w:rPr>
          <w:rStyle w:val="IntenseReference"/>
          <w:b w:val="0"/>
          <w:bCs w:val="0"/>
          <w:i w:val="0"/>
          <w:smallCaps w:val="0"/>
          <w:color w:val="auto"/>
          <w:spacing w:val="0"/>
        </w:rPr>
        <w:t>undertaken across the next two years.</w:t>
      </w:r>
    </w:p>
    <w:sectPr w:rsidR="00440BE9" w:rsidRPr="00440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72" w:rsidRDefault="00E26072" w:rsidP="00E26072">
      <w:r>
        <w:separator/>
      </w:r>
    </w:p>
  </w:endnote>
  <w:endnote w:type="continuationSeparator" w:id="0">
    <w:p w:rsidR="00E26072" w:rsidRDefault="00E26072" w:rsidP="00E2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24" w:rsidRDefault="00803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72" w:rsidRPr="00803924" w:rsidRDefault="00E26072" w:rsidP="008039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24" w:rsidRDefault="00803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72" w:rsidRDefault="00E26072" w:rsidP="00E26072">
      <w:r>
        <w:separator/>
      </w:r>
    </w:p>
  </w:footnote>
  <w:footnote w:type="continuationSeparator" w:id="0">
    <w:p w:rsidR="00E26072" w:rsidRDefault="00E26072" w:rsidP="00E26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24" w:rsidRDefault="00803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24" w:rsidRDefault="008039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24" w:rsidRDefault="008039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E7946"/>
    <w:multiLevelType w:val="hybridMultilevel"/>
    <w:tmpl w:val="7C0C5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E9"/>
    <w:rsid w:val="00003743"/>
    <w:rsid w:val="000200BA"/>
    <w:rsid w:val="00067456"/>
    <w:rsid w:val="000A464A"/>
    <w:rsid w:val="000B1603"/>
    <w:rsid w:val="000B290F"/>
    <w:rsid w:val="00113CB7"/>
    <w:rsid w:val="00122575"/>
    <w:rsid w:val="00135E09"/>
    <w:rsid w:val="001B3443"/>
    <w:rsid w:val="00241272"/>
    <w:rsid w:val="002507AA"/>
    <w:rsid w:val="00254272"/>
    <w:rsid w:val="00272707"/>
    <w:rsid w:val="002E2641"/>
    <w:rsid w:val="0030786C"/>
    <w:rsid w:val="00316642"/>
    <w:rsid w:val="00316B2C"/>
    <w:rsid w:val="003C34AE"/>
    <w:rsid w:val="003D17F9"/>
    <w:rsid w:val="00440BE9"/>
    <w:rsid w:val="00441DA3"/>
    <w:rsid w:val="00464D64"/>
    <w:rsid w:val="0047654A"/>
    <w:rsid w:val="004867E2"/>
    <w:rsid w:val="004B1EB9"/>
    <w:rsid w:val="005304EC"/>
    <w:rsid w:val="005C6815"/>
    <w:rsid w:val="006B31F9"/>
    <w:rsid w:val="006F06FD"/>
    <w:rsid w:val="007B32F4"/>
    <w:rsid w:val="007B60BF"/>
    <w:rsid w:val="007B6308"/>
    <w:rsid w:val="00803924"/>
    <w:rsid w:val="008217A0"/>
    <w:rsid w:val="008264EB"/>
    <w:rsid w:val="00854DF7"/>
    <w:rsid w:val="0091522A"/>
    <w:rsid w:val="00926CFC"/>
    <w:rsid w:val="009A021C"/>
    <w:rsid w:val="009A2B79"/>
    <w:rsid w:val="009A6010"/>
    <w:rsid w:val="00A4512D"/>
    <w:rsid w:val="00A705AF"/>
    <w:rsid w:val="00A9558F"/>
    <w:rsid w:val="00AF3953"/>
    <w:rsid w:val="00B42851"/>
    <w:rsid w:val="00B51A92"/>
    <w:rsid w:val="00BE2175"/>
    <w:rsid w:val="00BF47EC"/>
    <w:rsid w:val="00C15D82"/>
    <w:rsid w:val="00C476D0"/>
    <w:rsid w:val="00CB5B1A"/>
    <w:rsid w:val="00D024FA"/>
    <w:rsid w:val="00D0345D"/>
    <w:rsid w:val="00D4304A"/>
    <w:rsid w:val="00D51CA6"/>
    <w:rsid w:val="00DC71FD"/>
    <w:rsid w:val="00DD787D"/>
    <w:rsid w:val="00E17AB2"/>
    <w:rsid w:val="00E26072"/>
    <w:rsid w:val="00E621FA"/>
    <w:rsid w:val="00F17D0F"/>
    <w:rsid w:val="00F2086F"/>
    <w:rsid w:val="00F2499B"/>
    <w:rsid w:val="00F321D0"/>
    <w:rsid w:val="00F66F01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BE9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widowControl/>
      <w:spacing w:before="240" w:after="60"/>
      <w:outlineLvl w:val="0"/>
    </w:pPr>
    <w:rPr>
      <w:rFonts w:ascii="Arial" w:hAnsi="Arial" w:cs="Arial"/>
      <w:b/>
      <w:bCs/>
      <w:snapToGrid/>
      <w:kern w:val="28"/>
      <w:sz w:val="28"/>
      <w:szCs w:val="32"/>
      <w:lang w:val="en-AU"/>
    </w:rPr>
  </w:style>
  <w:style w:type="paragraph" w:styleId="Heading2">
    <w:name w:val="heading 2"/>
    <w:basedOn w:val="Normal"/>
    <w:next w:val="Normal"/>
    <w:qFormat/>
    <w:rsid w:val="00A705AF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Cs w:val="28"/>
      <w:lang w:val="en-AU"/>
    </w:rPr>
  </w:style>
  <w:style w:type="paragraph" w:styleId="Heading3">
    <w:name w:val="heading 3"/>
    <w:basedOn w:val="Normal"/>
    <w:next w:val="Normal"/>
    <w:qFormat/>
    <w:rsid w:val="00A705AF"/>
    <w:pPr>
      <w:keepNext/>
      <w:widowControl/>
      <w:spacing w:before="240" w:after="60"/>
      <w:outlineLvl w:val="2"/>
    </w:pPr>
    <w:rPr>
      <w:rFonts w:ascii="Arial" w:hAnsi="Arial" w:cs="Arial"/>
      <w:bCs/>
      <w:snapToGrid/>
      <w:szCs w:val="26"/>
      <w:lang w:val="en-AU"/>
    </w:rPr>
  </w:style>
  <w:style w:type="paragraph" w:styleId="Heading4">
    <w:name w:val="heading 4"/>
    <w:basedOn w:val="Normal"/>
    <w:next w:val="Normal"/>
    <w:qFormat/>
    <w:rsid w:val="00A705AF"/>
    <w:pPr>
      <w:keepNext/>
      <w:widowControl/>
      <w:spacing w:before="240" w:after="60"/>
      <w:outlineLvl w:val="3"/>
    </w:pPr>
    <w:rPr>
      <w:rFonts w:ascii="Arial" w:hAnsi="Arial"/>
      <w:bCs/>
      <w:snapToGrid/>
      <w:sz w:val="28"/>
      <w:szCs w:val="28"/>
      <w:lang w:val="en-AU"/>
    </w:rPr>
  </w:style>
  <w:style w:type="paragraph" w:styleId="Heading5">
    <w:name w:val="heading 5"/>
    <w:basedOn w:val="Normal"/>
    <w:next w:val="Normal"/>
    <w:qFormat/>
    <w:rsid w:val="00A705AF"/>
    <w:pPr>
      <w:keepNext/>
      <w:widowControl/>
      <w:spacing w:before="240" w:after="60"/>
      <w:outlineLvl w:val="4"/>
    </w:pPr>
    <w:rPr>
      <w:b/>
      <w:bCs/>
      <w:iCs/>
      <w:snapToGrid/>
      <w:szCs w:val="26"/>
      <w:lang w:val="en-AU"/>
    </w:rPr>
  </w:style>
  <w:style w:type="paragraph" w:styleId="Heading6">
    <w:name w:val="heading 6"/>
    <w:basedOn w:val="Normal"/>
    <w:next w:val="Normal"/>
    <w:qFormat/>
    <w:rsid w:val="00A705AF"/>
    <w:pPr>
      <w:keepNext/>
      <w:widowControl/>
      <w:spacing w:before="240" w:after="60"/>
      <w:outlineLvl w:val="5"/>
    </w:pPr>
    <w:rPr>
      <w:b/>
      <w:bCs/>
      <w:i/>
      <w:snapToGrid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widowControl/>
      <w:numPr>
        <w:ilvl w:val="1"/>
      </w:numPr>
    </w:pPr>
    <w:rPr>
      <w:rFonts w:asciiTheme="majorHAnsi" w:eastAsiaTheme="majorEastAsia" w:hAnsiTheme="majorHAnsi" w:cstheme="majorBidi"/>
      <w:iCs/>
      <w:snapToGrid/>
      <w:spacing w:val="15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widowControl/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snapToGrid/>
      <w:kern w:val="28"/>
      <w:sz w:val="32"/>
      <w:szCs w:val="52"/>
      <w:lang w:val="en-AU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widowControl/>
    </w:pPr>
    <w:rPr>
      <w:i/>
      <w:iCs/>
      <w:snapToGrid/>
      <w:color w:val="000000" w:themeColor="text1"/>
      <w:szCs w:val="24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widowControl/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snapToGrid/>
      <w:color w:val="4F81BD" w:themeColor="accent1"/>
      <w:szCs w:val="24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widowControl/>
      <w:ind w:left="720"/>
      <w:contextualSpacing/>
    </w:pPr>
    <w:rPr>
      <w:snapToGrid/>
      <w:szCs w:val="24"/>
      <w:lang w:val="en-AU"/>
    </w:rPr>
  </w:style>
  <w:style w:type="paragraph" w:styleId="BodyTextIndent3">
    <w:name w:val="Body Text Indent 3"/>
    <w:basedOn w:val="Normal"/>
    <w:link w:val="BodyTextIndent3Char"/>
    <w:rsid w:val="00440BE9"/>
    <w:pPr>
      <w:ind w:left="426"/>
    </w:pPr>
  </w:style>
  <w:style w:type="character" w:customStyle="1" w:styleId="BodyTextIndent3Char">
    <w:name w:val="Body Text Indent 3 Char"/>
    <w:basedOn w:val="DefaultParagraphFont"/>
    <w:link w:val="BodyTextIndent3"/>
    <w:rsid w:val="00440BE9"/>
    <w:rPr>
      <w:snapToGrid w:val="0"/>
      <w:sz w:val="24"/>
      <w:lang w:val="en-US" w:eastAsia="en-US"/>
    </w:rPr>
  </w:style>
  <w:style w:type="character" w:styleId="CommentReference">
    <w:name w:val="annotation reference"/>
    <w:basedOn w:val="DefaultParagraphFont"/>
    <w:rsid w:val="00F17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D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7D0F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D0F"/>
    <w:rPr>
      <w:b/>
      <w:bCs/>
      <w:snapToGrid w:val="0"/>
      <w:lang w:val="en-US" w:eastAsia="en-US"/>
    </w:rPr>
  </w:style>
  <w:style w:type="paragraph" w:styleId="BalloonText">
    <w:name w:val="Balloon Text"/>
    <w:basedOn w:val="Normal"/>
    <w:link w:val="BalloonTextChar"/>
    <w:rsid w:val="00F17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D0F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E26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6072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rsid w:val="00E26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6072"/>
    <w:rPr>
      <w:snapToGrid w:val="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BE9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widowControl/>
      <w:spacing w:before="240" w:after="60"/>
      <w:outlineLvl w:val="0"/>
    </w:pPr>
    <w:rPr>
      <w:rFonts w:ascii="Arial" w:hAnsi="Arial" w:cs="Arial"/>
      <w:b/>
      <w:bCs/>
      <w:snapToGrid/>
      <w:kern w:val="28"/>
      <w:sz w:val="28"/>
      <w:szCs w:val="32"/>
      <w:lang w:val="en-AU"/>
    </w:rPr>
  </w:style>
  <w:style w:type="paragraph" w:styleId="Heading2">
    <w:name w:val="heading 2"/>
    <w:basedOn w:val="Normal"/>
    <w:next w:val="Normal"/>
    <w:qFormat/>
    <w:rsid w:val="00A705AF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Cs w:val="28"/>
      <w:lang w:val="en-AU"/>
    </w:rPr>
  </w:style>
  <w:style w:type="paragraph" w:styleId="Heading3">
    <w:name w:val="heading 3"/>
    <w:basedOn w:val="Normal"/>
    <w:next w:val="Normal"/>
    <w:qFormat/>
    <w:rsid w:val="00A705AF"/>
    <w:pPr>
      <w:keepNext/>
      <w:widowControl/>
      <w:spacing w:before="240" w:after="60"/>
      <w:outlineLvl w:val="2"/>
    </w:pPr>
    <w:rPr>
      <w:rFonts w:ascii="Arial" w:hAnsi="Arial" w:cs="Arial"/>
      <w:bCs/>
      <w:snapToGrid/>
      <w:szCs w:val="26"/>
      <w:lang w:val="en-AU"/>
    </w:rPr>
  </w:style>
  <w:style w:type="paragraph" w:styleId="Heading4">
    <w:name w:val="heading 4"/>
    <w:basedOn w:val="Normal"/>
    <w:next w:val="Normal"/>
    <w:qFormat/>
    <w:rsid w:val="00A705AF"/>
    <w:pPr>
      <w:keepNext/>
      <w:widowControl/>
      <w:spacing w:before="240" w:after="60"/>
      <w:outlineLvl w:val="3"/>
    </w:pPr>
    <w:rPr>
      <w:rFonts w:ascii="Arial" w:hAnsi="Arial"/>
      <w:bCs/>
      <w:snapToGrid/>
      <w:sz w:val="28"/>
      <w:szCs w:val="28"/>
      <w:lang w:val="en-AU"/>
    </w:rPr>
  </w:style>
  <w:style w:type="paragraph" w:styleId="Heading5">
    <w:name w:val="heading 5"/>
    <w:basedOn w:val="Normal"/>
    <w:next w:val="Normal"/>
    <w:qFormat/>
    <w:rsid w:val="00A705AF"/>
    <w:pPr>
      <w:keepNext/>
      <w:widowControl/>
      <w:spacing w:before="240" w:after="60"/>
      <w:outlineLvl w:val="4"/>
    </w:pPr>
    <w:rPr>
      <w:b/>
      <w:bCs/>
      <w:iCs/>
      <w:snapToGrid/>
      <w:szCs w:val="26"/>
      <w:lang w:val="en-AU"/>
    </w:rPr>
  </w:style>
  <w:style w:type="paragraph" w:styleId="Heading6">
    <w:name w:val="heading 6"/>
    <w:basedOn w:val="Normal"/>
    <w:next w:val="Normal"/>
    <w:qFormat/>
    <w:rsid w:val="00A705AF"/>
    <w:pPr>
      <w:keepNext/>
      <w:widowControl/>
      <w:spacing w:before="240" w:after="60"/>
      <w:outlineLvl w:val="5"/>
    </w:pPr>
    <w:rPr>
      <w:b/>
      <w:bCs/>
      <w:i/>
      <w:snapToGrid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widowControl/>
      <w:numPr>
        <w:ilvl w:val="1"/>
      </w:numPr>
    </w:pPr>
    <w:rPr>
      <w:rFonts w:asciiTheme="majorHAnsi" w:eastAsiaTheme="majorEastAsia" w:hAnsiTheme="majorHAnsi" w:cstheme="majorBidi"/>
      <w:iCs/>
      <w:snapToGrid/>
      <w:spacing w:val="15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widowControl/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snapToGrid/>
      <w:kern w:val="28"/>
      <w:sz w:val="32"/>
      <w:szCs w:val="52"/>
      <w:lang w:val="en-AU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widowControl/>
    </w:pPr>
    <w:rPr>
      <w:i/>
      <w:iCs/>
      <w:snapToGrid/>
      <w:color w:val="000000" w:themeColor="text1"/>
      <w:szCs w:val="24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widowControl/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snapToGrid/>
      <w:color w:val="4F81BD" w:themeColor="accent1"/>
      <w:szCs w:val="24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widowControl/>
      <w:ind w:left="720"/>
      <w:contextualSpacing/>
    </w:pPr>
    <w:rPr>
      <w:snapToGrid/>
      <w:szCs w:val="24"/>
      <w:lang w:val="en-AU"/>
    </w:rPr>
  </w:style>
  <w:style w:type="paragraph" w:styleId="BodyTextIndent3">
    <w:name w:val="Body Text Indent 3"/>
    <w:basedOn w:val="Normal"/>
    <w:link w:val="BodyTextIndent3Char"/>
    <w:rsid w:val="00440BE9"/>
    <w:pPr>
      <w:ind w:left="426"/>
    </w:pPr>
  </w:style>
  <w:style w:type="character" w:customStyle="1" w:styleId="BodyTextIndent3Char">
    <w:name w:val="Body Text Indent 3 Char"/>
    <w:basedOn w:val="DefaultParagraphFont"/>
    <w:link w:val="BodyTextIndent3"/>
    <w:rsid w:val="00440BE9"/>
    <w:rPr>
      <w:snapToGrid w:val="0"/>
      <w:sz w:val="24"/>
      <w:lang w:val="en-US" w:eastAsia="en-US"/>
    </w:rPr>
  </w:style>
  <w:style w:type="character" w:styleId="CommentReference">
    <w:name w:val="annotation reference"/>
    <w:basedOn w:val="DefaultParagraphFont"/>
    <w:rsid w:val="00F17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D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7D0F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D0F"/>
    <w:rPr>
      <w:b/>
      <w:bCs/>
      <w:snapToGrid w:val="0"/>
      <w:lang w:val="en-US" w:eastAsia="en-US"/>
    </w:rPr>
  </w:style>
  <w:style w:type="paragraph" w:styleId="BalloonText">
    <w:name w:val="Balloon Text"/>
    <w:basedOn w:val="Normal"/>
    <w:link w:val="BalloonTextChar"/>
    <w:rsid w:val="00F17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D0F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E26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6072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rsid w:val="00E26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6072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Governments’ Statement on the Analysis of the Australian Eye and Tissue Sector</dc:title>
  <dc:creator>Department of Health</dc:creator>
  <cp:lastModifiedBy>Adams James</cp:lastModifiedBy>
  <cp:revision>2</cp:revision>
  <cp:lastPrinted>2017-05-25T04:20:00Z</cp:lastPrinted>
  <dcterms:created xsi:type="dcterms:W3CDTF">2017-05-25T04:49:00Z</dcterms:created>
  <dcterms:modified xsi:type="dcterms:W3CDTF">2017-05-25T04:49:00Z</dcterms:modified>
</cp:coreProperties>
</file>