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36266" w14:textId="59690A9D" w:rsidR="0022545B" w:rsidRPr="006B11AE" w:rsidRDefault="00280302" w:rsidP="0022545B">
      <w:pPr>
        <w:keepNext/>
        <w:spacing w:before="240" w:after="60" w:line="259" w:lineRule="auto"/>
        <w:outlineLvl w:val="1"/>
        <w:rPr>
          <w:rFonts w:ascii="Calibri Light" w:eastAsiaTheme="minorHAnsi" w:hAnsi="Calibri Light" w:cs="Arial"/>
          <w:b/>
          <w:bCs/>
          <w:iCs/>
          <w:color w:val="548DD4" w:themeColor="text2" w:themeTint="99"/>
          <w:sz w:val="36"/>
          <w:szCs w:val="36"/>
        </w:rPr>
      </w:pPr>
      <w:bookmarkStart w:id="0" w:name="_GoBack"/>
      <w:bookmarkEnd w:id="0"/>
      <w:r w:rsidRPr="006B11AE">
        <w:rPr>
          <w:rFonts w:ascii="Calibri Light" w:eastAsiaTheme="minorHAnsi" w:hAnsi="Calibri Light" w:cs="Arial"/>
          <w:b/>
          <w:bCs/>
          <w:iCs/>
          <w:color w:val="548DD4" w:themeColor="text2" w:themeTint="99"/>
          <w:sz w:val="36"/>
          <w:szCs w:val="36"/>
        </w:rPr>
        <w:t>Information for</w:t>
      </w:r>
      <w:r w:rsidR="0022545B" w:rsidRPr="006B11AE">
        <w:rPr>
          <w:rFonts w:ascii="Calibri Light" w:eastAsiaTheme="minorHAnsi" w:hAnsi="Calibri Light" w:cs="Arial"/>
          <w:b/>
          <w:bCs/>
          <w:iCs/>
          <w:color w:val="548DD4" w:themeColor="text2" w:themeTint="99"/>
          <w:sz w:val="36"/>
          <w:szCs w:val="36"/>
        </w:rPr>
        <w:t xml:space="preserve"> </w:t>
      </w:r>
      <w:r w:rsidR="00EB625D">
        <w:rPr>
          <w:rFonts w:ascii="Calibri Light" w:eastAsiaTheme="minorHAnsi" w:hAnsi="Calibri Light" w:cs="Arial"/>
          <w:b/>
          <w:bCs/>
          <w:iCs/>
          <w:color w:val="548DD4" w:themeColor="text2" w:themeTint="99"/>
          <w:sz w:val="36"/>
          <w:szCs w:val="36"/>
        </w:rPr>
        <w:t>e</w:t>
      </w:r>
      <w:r w:rsidR="0022545B" w:rsidRPr="006B11AE">
        <w:rPr>
          <w:rFonts w:ascii="Calibri Light" w:eastAsiaTheme="minorHAnsi" w:hAnsi="Calibri Light" w:cs="Arial"/>
          <w:b/>
          <w:bCs/>
          <w:iCs/>
          <w:color w:val="548DD4" w:themeColor="text2" w:themeTint="99"/>
          <w:sz w:val="36"/>
          <w:szCs w:val="36"/>
        </w:rPr>
        <w:t xml:space="preserve">mployers of healthcare workers who perform exposure prone procedures </w:t>
      </w:r>
    </w:p>
    <w:p w14:paraId="31E26032" w14:textId="77777777" w:rsidR="00EB625D" w:rsidRDefault="00EB625D" w:rsidP="00EB625D">
      <w:pPr>
        <w:spacing w:after="160" w:line="259" w:lineRule="auto"/>
        <w:rPr>
          <w:rFonts w:ascii="Calibri Light" w:hAnsi="Calibri Light" w:cs="Arial"/>
          <w:bCs/>
          <w:kern w:val="28"/>
          <w:sz w:val="26"/>
          <w:szCs w:val="26"/>
        </w:rPr>
      </w:pPr>
      <w:r w:rsidRPr="003059D8">
        <w:rPr>
          <w:rFonts w:ascii="Calibri Light" w:eastAsiaTheme="minorHAnsi" w:hAnsi="Calibri Light" w:cs="Arial"/>
          <w:bCs/>
          <w:kern w:val="28"/>
          <w:sz w:val="26"/>
          <w:szCs w:val="26"/>
        </w:rPr>
        <w:t xml:space="preserve">The new </w:t>
      </w:r>
      <w:r w:rsidRPr="003059D8">
        <w:rPr>
          <w:rFonts w:ascii="Calibri Light" w:eastAsiaTheme="minorHAnsi" w:hAnsi="Calibri Light" w:cs="Arial"/>
          <w:bCs/>
          <w:i/>
          <w:kern w:val="28"/>
          <w:sz w:val="26"/>
          <w:szCs w:val="26"/>
        </w:rPr>
        <w:t xml:space="preserve">Australian national guidelines for the management of healthcare workers living with blood borne viruses and healthcare workers who perform exposure prone procedures at risk of exposure to blood borne viruses </w:t>
      </w:r>
      <w:r w:rsidRPr="00BF3652">
        <w:rPr>
          <w:rFonts w:ascii="Calibri Light" w:eastAsiaTheme="minorHAnsi" w:hAnsi="Calibri Light" w:cs="Arial"/>
          <w:bCs/>
          <w:kern w:val="28"/>
          <w:sz w:val="26"/>
          <w:szCs w:val="26"/>
        </w:rPr>
        <w:t xml:space="preserve">(the Guidelines) </w:t>
      </w:r>
      <w:r>
        <w:rPr>
          <w:rFonts w:ascii="Calibri Light" w:hAnsi="Calibri Light" w:cs="Arial"/>
          <w:bCs/>
          <w:kern w:val="28"/>
          <w:sz w:val="26"/>
          <w:szCs w:val="26"/>
        </w:rPr>
        <w:t xml:space="preserve">have been updated and reflect the effectiveness of antiviral treatment for the following blood borne viruses – hepatitis B virus (HBV), hepatitis C virus (HCV) and human immunodeficiency virus (HIV).  The Guidelines allow healthcare workers living with a blood borne virus (BBV) to be eligible to perform exposure prone procedures (EPPs), provided they comply with the Guidelines. </w:t>
      </w:r>
    </w:p>
    <w:p w14:paraId="54912E43" w14:textId="5040AFF6" w:rsidR="00EB625D" w:rsidRDefault="00EB625D" w:rsidP="00EB625D">
      <w:pPr>
        <w:spacing w:after="160" w:line="259" w:lineRule="auto"/>
        <w:rPr>
          <w:rFonts w:ascii="Calibri Light" w:eastAsiaTheme="minorHAnsi" w:hAnsi="Calibri Light"/>
          <w:sz w:val="26"/>
          <w:szCs w:val="26"/>
        </w:rPr>
      </w:pPr>
      <w:r>
        <w:rPr>
          <w:rFonts w:ascii="Calibri Light" w:hAnsi="Calibri Light"/>
          <w:sz w:val="26"/>
          <w:szCs w:val="26"/>
        </w:rPr>
        <w:t>The Guidelines</w:t>
      </w:r>
      <w:r>
        <w:rPr>
          <w:rFonts w:ascii="Calibri Light" w:eastAsiaTheme="minorHAnsi" w:hAnsi="Calibri Light"/>
          <w:sz w:val="26"/>
          <w:szCs w:val="26"/>
        </w:rPr>
        <w:t xml:space="preserve"> </w:t>
      </w:r>
      <w:r>
        <w:rPr>
          <w:rFonts w:ascii="Calibri Light" w:hAnsi="Calibri Light"/>
          <w:sz w:val="26"/>
          <w:szCs w:val="26"/>
        </w:rPr>
        <w:t>also support</w:t>
      </w:r>
      <w:r>
        <w:rPr>
          <w:rFonts w:ascii="Calibri Light" w:eastAsiaTheme="minorHAnsi" w:hAnsi="Calibri Light"/>
          <w:sz w:val="26"/>
          <w:szCs w:val="26"/>
        </w:rPr>
        <w:t xml:space="preserve"> timely testing and treatment of healthcare workers. </w:t>
      </w:r>
      <w:r>
        <w:rPr>
          <w:rFonts w:ascii="Calibri Light" w:hAnsi="Calibri Light" w:cs="Arial"/>
          <w:bCs/>
          <w:kern w:val="28"/>
          <w:sz w:val="26"/>
          <w:szCs w:val="26"/>
        </w:rPr>
        <w:t>All healthcare workers who are performing EPPs are required to take reasonable</w:t>
      </w:r>
      <w:r w:rsidR="00685142">
        <w:rPr>
          <w:rFonts w:ascii="Calibri Light" w:hAnsi="Calibri Light" w:cs="Arial"/>
          <w:bCs/>
          <w:kern w:val="28"/>
          <w:sz w:val="26"/>
          <w:szCs w:val="26"/>
        </w:rPr>
        <w:t xml:space="preserve"> steps to know their BBV status and</w:t>
      </w:r>
      <w:r>
        <w:rPr>
          <w:rFonts w:ascii="Calibri Light" w:hAnsi="Calibri Light" w:cs="Arial"/>
          <w:bCs/>
          <w:kern w:val="28"/>
          <w:sz w:val="26"/>
          <w:szCs w:val="26"/>
        </w:rPr>
        <w:t xml:space="preserve"> should be tested for BBVs at least once every three years and are required to have appropriate and timely testing after potential BBV exposures, both occupational and non-occupational.  </w:t>
      </w:r>
    </w:p>
    <w:p w14:paraId="465D9C80" w14:textId="77777777" w:rsidR="0022545B" w:rsidRPr="00C632F8" w:rsidRDefault="0022545B" w:rsidP="0022545B">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Why do we have the Guidelines?</w:t>
      </w:r>
    </w:p>
    <w:p w14:paraId="22622DD1" w14:textId="58F170B0" w:rsidR="00EB625D" w:rsidRPr="003059D8" w:rsidRDefault="00EB625D" w:rsidP="00EB625D">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 xml:space="preserve">There is a very low risk of transmission from a healthcare worker with a </w:t>
      </w:r>
      <w:r>
        <w:rPr>
          <w:rFonts w:ascii="Calibri Light" w:eastAsiaTheme="minorHAnsi" w:hAnsi="Calibri Light"/>
          <w:sz w:val="26"/>
          <w:szCs w:val="26"/>
        </w:rPr>
        <w:t>BBV</w:t>
      </w:r>
      <w:r w:rsidRPr="003059D8">
        <w:rPr>
          <w:rFonts w:ascii="Calibri Light" w:eastAsiaTheme="minorHAnsi" w:hAnsi="Calibri Light"/>
          <w:sz w:val="26"/>
          <w:szCs w:val="26"/>
        </w:rPr>
        <w:t xml:space="preserve"> to a patient</w:t>
      </w:r>
      <w:r>
        <w:rPr>
          <w:rFonts w:ascii="Calibri Light" w:eastAsiaTheme="minorHAnsi" w:hAnsi="Calibri Light"/>
          <w:sz w:val="26"/>
          <w:szCs w:val="26"/>
        </w:rPr>
        <w:t xml:space="preserve"> </w:t>
      </w:r>
      <w:r w:rsidRPr="00583CF3">
        <w:rPr>
          <w:rFonts w:ascii="Calibri Light" w:eastAsiaTheme="minorHAnsi" w:hAnsi="Calibri Light"/>
          <w:sz w:val="26"/>
          <w:szCs w:val="26"/>
        </w:rPr>
        <w:t>during</w:t>
      </w:r>
      <w:r>
        <w:rPr>
          <w:rFonts w:ascii="Calibri Light" w:eastAsiaTheme="minorHAnsi" w:hAnsi="Calibri Light"/>
          <w:sz w:val="26"/>
          <w:szCs w:val="26"/>
        </w:rPr>
        <w:t xml:space="preserve"> the performance of EPPs</w:t>
      </w:r>
      <w:r w:rsidRPr="003059D8">
        <w:rPr>
          <w:rFonts w:ascii="Calibri Light" w:eastAsiaTheme="minorHAnsi" w:hAnsi="Calibri Light"/>
          <w:sz w:val="26"/>
          <w:szCs w:val="26"/>
        </w:rPr>
        <w:t xml:space="preserve">, </w:t>
      </w:r>
      <w:r>
        <w:rPr>
          <w:rFonts w:ascii="Calibri Light" w:eastAsiaTheme="minorHAnsi" w:hAnsi="Calibri Light"/>
          <w:sz w:val="26"/>
          <w:szCs w:val="26"/>
        </w:rPr>
        <w:t xml:space="preserve">even with </w:t>
      </w:r>
      <w:r w:rsidRPr="003059D8">
        <w:rPr>
          <w:rFonts w:ascii="Calibri Light" w:eastAsiaTheme="minorHAnsi" w:hAnsi="Calibri Light"/>
          <w:sz w:val="26"/>
          <w:szCs w:val="26"/>
        </w:rPr>
        <w:t xml:space="preserve">best practice infection </w:t>
      </w:r>
      <w:r>
        <w:rPr>
          <w:rFonts w:ascii="Calibri Light" w:eastAsiaTheme="minorHAnsi" w:hAnsi="Calibri Light"/>
          <w:sz w:val="26"/>
          <w:szCs w:val="26"/>
        </w:rPr>
        <w:t xml:space="preserve">prevention and </w:t>
      </w:r>
      <w:r w:rsidRPr="003059D8">
        <w:rPr>
          <w:rFonts w:ascii="Calibri Light" w:eastAsiaTheme="minorHAnsi" w:hAnsi="Calibri Light"/>
          <w:sz w:val="26"/>
          <w:szCs w:val="26"/>
        </w:rPr>
        <w:t>control</w:t>
      </w:r>
      <w:r>
        <w:rPr>
          <w:rFonts w:ascii="Calibri Light" w:eastAsiaTheme="minorHAnsi" w:hAnsi="Calibri Light"/>
          <w:sz w:val="26"/>
          <w:szCs w:val="26"/>
        </w:rPr>
        <w:t>. Due to the nature of EPPs, healthcare workers who perform these procedures are at a higher risk of acquiring a BBV from a patient and, rarely, also of transmitting a BBV to a patient.</w:t>
      </w:r>
      <w:r w:rsidRPr="00117D63">
        <w:rPr>
          <w:rFonts w:ascii="Calibri Light" w:eastAsiaTheme="minorHAnsi" w:hAnsi="Calibri Light"/>
          <w:sz w:val="26"/>
          <w:szCs w:val="26"/>
        </w:rPr>
        <w:t xml:space="preserve"> </w:t>
      </w:r>
      <w:r>
        <w:rPr>
          <w:rFonts w:ascii="Calibri Light" w:eastAsiaTheme="minorHAnsi" w:hAnsi="Calibri Light"/>
          <w:sz w:val="26"/>
          <w:szCs w:val="26"/>
        </w:rPr>
        <w:t xml:space="preserve">The purpose of the Guidelines is </w:t>
      </w:r>
      <w:r w:rsidRPr="003059D8">
        <w:rPr>
          <w:rFonts w:ascii="Calibri Light" w:eastAsiaTheme="minorHAnsi" w:hAnsi="Calibri Light"/>
          <w:sz w:val="26"/>
          <w:szCs w:val="26"/>
        </w:rPr>
        <w:t xml:space="preserve">to mitigate the risk of transmission </w:t>
      </w:r>
      <w:r w:rsidR="00685142">
        <w:rPr>
          <w:rFonts w:ascii="Calibri Light" w:eastAsiaTheme="minorHAnsi" w:hAnsi="Calibri Light"/>
          <w:sz w:val="26"/>
          <w:szCs w:val="26"/>
        </w:rPr>
        <w:t xml:space="preserve">of a BBV </w:t>
      </w:r>
      <w:r w:rsidRPr="003059D8">
        <w:rPr>
          <w:rFonts w:ascii="Calibri Light" w:eastAsiaTheme="minorHAnsi" w:hAnsi="Calibri Light"/>
          <w:sz w:val="26"/>
          <w:szCs w:val="26"/>
        </w:rPr>
        <w:t>from a healthcare worker to a patient.</w:t>
      </w:r>
    </w:p>
    <w:p w14:paraId="2B847D93" w14:textId="1A8C9631" w:rsidR="00EB625D" w:rsidRPr="003059D8" w:rsidRDefault="00EB625D" w:rsidP="00EB625D">
      <w:pPr>
        <w:spacing w:after="160" w:line="259" w:lineRule="auto"/>
        <w:rPr>
          <w:rFonts w:ascii="Calibri Light" w:eastAsiaTheme="minorHAnsi" w:hAnsi="Calibri Light"/>
          <w:sz w:val="26"/>
          <w:szCs w:val="26"/>
        </w:rPr>
      </w:pPr>
      <w:r>
        <w:rPr>
          <w:rFonts w:ascii="Calibri Light" w:eastAsiaTheme="minorHAnsi" w:hAnsi="Calibri Light"/>
          <w:sz w:val="26"/>
          <w:szCs w:val="26"/>
        </w:rPr>
        <w:t>The G</w:t>
      </w:r>
      <w:r w:rsidRPr="003059D8">
        <w:rPr>
          <w:rFonts w:ascii="Calibri Light" w:eastAsiaTheme="minorHAnsi" w:hAnsi="Calibri Light"/>
          <w:sz w:val="26"/>
          <w:szCs w:val="26"/>
        </w:rPr>
        <w:t xml:space="preserve">uidelines have been updated to reflect current medical evidence around the effectiveness of antiviral treatment for </w:t>
      </w:r>
      <w:r>
        <w:rPr>
          <w:rFonts w:ascii="Calibri Light" w:eastAsiaTheme="minorHAnsi" w:hAnsi="Calibri Light"/>
          <w:sz w:val="26"/>
          <w:szCs w:val="26"/>
        </w:rPr>
        <w:t>hepatitis B</w:t>
      </w:r>
      <w:r w:rsidRPr="004C5749">
        <w:rPr>
          <w:rFonts w:ascii="Calibri Light" w:eastAsiaTheme="minorHAnsi" w:hAnsi="Calibri Light"/>
          <w:sz w:val="26"/>
          <w:szCs w:val="26"/>
        </w:rPr>
        <w:t xml:space="preserve">, </w:t>
      </w:r>
      <w:r>
        <w:rPr>
          <w:rFonts w:ascii="Calibri Light" w:eastAsiaTheme="minorHAnsi" w:hAnsi="Calibri Light"/>
          <w:sz w:val="26"/>
          <w:szCs w:val="26"/>
        </w:rPr>
        <w:t>hepatitis C a</w:t>
      </w:r>
      <w:r w:rsidRPr="003059D8">
        <w:rPr>
          <w:rFonts w:ascii="Calibri Light" w:eastAsiaTheme="minorHAnsi" w:hAnsi="Calibri Light"/>
          <w:sz w:val="26"/>
          <w:szCs w:val="26"/>
        </w:rPr>
        <w:t>nd HIV.</w:t>
      </w:r>
      <w:r>
        <w:rPr>
          <w:rFonts w:ascii="Calibri Light" w:eastAsiaTheme="minorHAnsi" w:hAnsi="Calibri Light"/>
          <w:sz w:val="26"/>
          <w:szCs w:val="26"/>
        </w:rPr>
        <w:t xml:space="preserve">  </w:t>
      </w:r>
      <w:r w:rsidR="00366633" w:rsidRPr="00366633">
        <w:rPr>
          <w:rFonts w:ascii="Calibri Light" w:eastAsiaTheme="minorHAnsi" w:hAnsi="Calibri Light"/>
          <w:sz w:val="26"/>
          <w:szCs w:val="26"/>
        </w:rPr>
        <w:t>Worldwide, since widespread availability of antiviral medication, there has not been a published case of transmission of a BBV from an effectively treated healthcare worker to a patient</w:t>
      </w:r>
      <w:r>
        <w:rPr>
          <w:rFonts w:ascii="Calibri Light" w:eastAsiaTheme="minorHAnsi" w:hAnsi="Calibri Light"/>
          <w:sz w:val="26"/>
          <w:szCs w:val="26"/>
        </w:rPr>
        <w:t>.</w:t>
      </w:r>
    </w:p>
    <w:p w14:paraId="5369B770" w14:textId="77777777" w:rsidR="00EB625D" w:rsidRDefault="00EB625D" w:rsidP="00EB625D">
      <w:pPr>
        <w:keepNext/>
        <w:spacing w:before="240" w:after="60" w:line="259" w:lineRule="auto"/>
        <w:outlineLvl w:val="1"/>
        <w:rPr>
          <w:rFonts w:ascii="Calibri Light" w:eastAsiaTheme="minorHAnsi" w:hAnsi="Calibri Light"/>
          <w:sz w:val="26"/>
          <w:szCs w:val="26"/>
        </w:rPr>
      </w:pPr>
      <w:r>
        <w:rPr>
          <w:rFonts w:ascii="Calibri Light" w:eastAsiaTheme="minorHAnsi" w:hAnsi="Calibri Light"/>
          <w:sz w:val="26"/>
          <w:szCs w:val="26"/>
        </w:rPr>
        <w:lastRenderedPageBreak/>
        <w:t>A</w:t>
      </w:r>
      <w:r w:rsidRPr="003059D8">
        <w:rPr>
          <w:rFonts w:ascii="Calibri Light" w:eastAsiaTheme="minorHAnsi" w:hAnsi="Calibri Light"/>
          <w:sz w:val="26"/>
          <w:szCs w:val="26"/>
        </w:rPr>
        <w:t xml:space="preserve"> broad range of health professional groups were consulted and provided feedback</w:t>
      </w:r>
      <w:r>
        <w:rPr>
          <w:rFonts w:ascii="Calibri Light" w:eastAsiaTheme="minorHAnsi" w:hAnsi="Calibri Light"/>
          <w:sz w:val="26"/>
          <w:szCs w:val="26"/>
        </w:rPr>
        <w:t xml:space="preserve"> during the development of the Guidelines</w:t>
      </w:r>
      <w:r w:rsidRPr="003059D8">
        <w:rPr>
          <w:rFonts w:ascii="Calibri Light" w:eastAsiaTheme="minorHAnsi" w:hAnsi="Calibri Light"/>
          <w:sz w:val="26"/>
          <w:szCs w:val="26"/>
        </w:rPr>
        <w:t>.</w:t>
      </w:r>
    </w:p>
    <w:p w14:paraId="0FC288EF" w14:textId="571ECB4A" w:rsidR="00B779BB" w:rsidRPr="00C632F8" w:rsidRDefault="00B779BB" w:rsidP="00EB625D">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are exposure prone procedures (EPPs)? </w:t>
      </w:r>
    </w:p>
    <w:p w14:paraId="350BE2B6" w14:textId="65DFE6AC" w:rsidR="00B779BB" w:rsidRPr="003059D8" w:rsidRDefault="006B11AE" w:rsidP="00B779BB">
      <w:pPr>
        <w:spacing w:after="160" w:line="259" w:lineRule="auto"/>
        <w:rPr>
          <w:rFonts w:ascii="Calibri Light" w:eastAsiaTheme="minorHAnsi" w:hAnsi="Calibri Light"/>
          <w:sz w:val="26"/>
          <w:szCs w:val="26"/>
        </w:rPr>
      </w:pPr>
      <w:r>
        <w:rPr>
          <w:rFonts w:ascii="Calibri Light" w:eastAsiaTheme="minorHAnsi" w:hAnsi="Calibri Light"/>
          <w:sz w:val="26"/>
          <w:szCs w:val="26"/>
        </w:rPr>
        <w:t>EPPs</w:t>
      </w:r>
      <w:r w:rsidR="00B779BB" w:rsidRPr="003059D8">
        <w:rPr>
          <w:rFonts w:ascii="Calibri Light" w:eastAsiaTheme="minorHAnsi" w:hAnsi="Calibri Light"/>
          <w:sz w:val="26"/>
          <w:szCs w:val="26"/>
        </w:rPr>
        <w:t xml:space="preserve"> are </w:t>
      </w:r>
      <w:r w:rsidR="00B779BB">
        <w:rPr>
          <w:rFonts w:ascii="Calibri Light" w:eastAsiaTheme="minorHAnsi" w:hAnsi="Calibri Light"/>
          <w:sz w:val="26"/>
          <w:szCs w:val="26"/>
        </w:rPr>
        <w:t xml:space="preserve">procedures </w:t>
      </w:r>
      <w:r w:rsidR="00B779BB" w:rsidRPr="003059D8">
        <w:rPr>
          <w:rFonts w:ascii="Calibri Light" w:eastAsiaTheme="minorHAnsi" w:hAnsi="Calibri Light"/>
          <w:sz w:val="26"/>
          <w:szCs w:val="26"/>
        </w:rPr>
        <w:t xml:space="preserve">where there is a risk of injury to the healthcare worker resulting in exposure of the patient’s open tissues to the blood of the healthcare worker. </w:t>
      </w:r>
    </w:p>
    <w:p w14:paraId="24052833" w14:textId="5ED3852D" w:rsidR="00B779BB" w:rsidRDefault="00B779BB" w:rsidP="00B779BB">
      <w:pPr>
        <w:spacing w:after="160" w:line="259" w:lineRule="auto"/>
        <w:rPr>
          <w:rFonts w:ascii="Calibri Light" w:eastAsiaTheme="minorHAnsi" w:hAnsi="Calibri Light"/>
          <w:sz w:val="26"/>
          <w:szCs w:val="26"/>
        </w:rPr>
      </w:pPr>
      <w:r w:rsidRPr="003059D8">
        <w:rPr>
          <w:rFonts w:ascii="Calibri Light" w:eastAsia="Arial" w:hAnsi="Calibri Light" w:cstheme="minorBidi"/>
          <w:sz w:val="26"/>
          <w:szCs w:val="26"/>
        </w:rPr>
        <w:t>These procedures include those where the healthcare worker’s hands</w:t>
      </w:r>
      <w:r w:rsidR="00EB625D">
        <w:rPr>
          <w:rFonts w:ascii="Calibri Light" w:eastAsia="Arial" w:hAnsi="Calibri Light" w:cstheme="minorBidi"/>
          <w:sz w:val="26"/>
          <w:szCs w:val="26"/>
        </w:rPr>
        <w:t>, even when gloved,</w:t>
      </w:r>
      <w:r w:rsidRPr="003059D8">
        <w:rPr>
          <w:rFonts w:ascii="Calibri Light" w:eastAsia="Arial" w:hAnsi="Calibri Light" w:cstheme="minorBidi"/>
          <w:sz w:val="26"/>
          <w:szCs w:val="26"/>
        </w:rPr>
        <w:t xml:space="preserve"> may be in contact with sharp instruments, needle tips or sharp tissues (spicules of bone or teeth) inside a patient’s open body cavity, wound or confined anatomical space where the hands or fingertips may not be completely visible at all times.</w:t>
      </w:r>
      <w:r w:rsidRPr="003059D8">
        <w:rPr>
          <w:rFonts w:ascii="Calibri Light" w:eastAsiaTheme="minorHAnsi" w:hAnsi="Calibri Light"/>
          <w:sz w:val="26"/>
          <w:szCs w:val="26"/>
        </w:rPr>
        <w:t xml:space="preserve"> </w:t>
      </w:r>
    </w:p>
    <w:p w14:paraId="20E34CDB" w14:textId="77777777" w:rsidR="00EB625D" w:rsidRPr="003059D8" w:rsidRDefault="00EB625D" w:rsidP="00EB625D">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Non-exposure prone </w:t>
      </w:r>
      <w:r w:rsidRPr="003059D8">
        <w:rPr>
          <w:rFonts w:ascii="Calibri Light" w:eastAsiaTheme="minorHAnsi" w:hAnsi="Calibri Light"/>
          <w:sz w:val="26"/>
          <w:szCs w:val="26"/>
        </w:rPr>
        <w:t xml:space="preserve">procedures </w:t>
      </w:r>
      <w:r>
        <w:rPr>
          <w:rFonts w:ascii="Calibri Light" w:eastAsiaTheme="minorHAnsi" w:hAnsi="Calibri Light"/>
          <w:sz w:val="26"/>
          <w:szCs w:val="26"/>
        </w:rPr>
        <w:t xml:space="preserve">are procedures </w:t>
      </w:r>
      <w:r w:rsidRPr="003059D8">
        <w:rPr>
          <w:rFonts w:ascii="Calibri Light" w:eastAsiaTheme="minorHAnsi" w:hAnsi="Calibri Light"/>
          <w:sz w:val="26"/>
          <w:szCs w:val="26"/>
        </w:rPr>
        <w:t xml:space="preserve">where the hands and fingers of the healthcare worker are visible and outside of the body at all times and procedures or internal examinations that do not involve possible injury to the </w:t>
      </w:r>
      <w:r>
        <w:rPr>
          <w:rFonts w:ascii="Calibri Light" w:eastAsiaTheme="minorHAnsi" w:hAnsi="Calibri Light"/>
          <w:sz w:val="26"/>
          <w:szCs w:val="26"/>
        </w:rPr>
        <w:t>healthcare worker</w:t>
      </w:r>
      <w:r w:rsidRPr="003059D8">
        <w:rPr>
          <w:rFonts w:ascii="Calibri Light" w:eastAsiaTheme="minorHAnsi" w:hAnsi="Calibri Light"/>
          <w:sz w:val="26"/>
          <w:szCs w:val="26"/>
        </w:rPr>
        <w:t xml:space="preserve">’s hands by sharp instruments and/or tissues, provided routine infection prevention and control procedures are </w:t>
      </w:r>
      <w:r>
        <w:rPr>
          <w:rFonts w:ascii="Calibri Light" w:eastAsiaTheme="minorHAnsi" w:hAnsi="Calibri Light"/>
          <w:sz w:val="26"/>
          <w:szCs w:val="26"/>
        </w:rPr>
        <w:t>followed.</w:t>
      </w:r>
    </w:p>
    <w:p w14:paraId="6953E726" w14:textId="1FE8EBC7" w:rsidR="00B779BB" w:rsidRPr="003059D8" w:rsidRDefault="00B779BB" w:rsidP="00B779BB">
      <w:pPr>
        <w:spacing w:after="240" w:line="280" w:lineRule="atLeast"/>
        <w:rPr>
          <w:rFonts w:ascii="Calibri Light" w:eastAsia="Arial" w:hAnsi="Calibri Light" w:cstheme="minorBidi"/>
          <w:sz w:val="26"/>
          <w:szCs w:val="26"/>
        </w:rPr>
      </w:pPr>
      <w:r w:rsidRPr="003059D8">
        <w:rPr>
          <w:rFonts w:ascii="Calibri Light" w:eastAsia="Arial" w:hAnsi="Calibri Light" w:cstheme="minorBidi"/>
          <w:sz w:val="26"/>
          <w:szCs w:val="26"/>
        </w:rPr>
        <w:t xml:space="preserve">More information on which procedures are exposure prone can be found in the </w:t>
      </w:r>
      <w:hyperlink r:id="rId11" w:history="1">
        <w:r w:rsidRPr="00C451F6">
          <w:rPr>
            <w:rStyle w:val="Hyperlink"/>
            <w:rFonts w:ascii="Calibri Light" w:eastAsia="Arial" w:hAnsi="Calibri Light" w:cstheme="minorBidi"/>
            <w:i/>
            <w:sz w:val="26"/>
            <w:szCs w:val="26"/>
          </w:rPr>
          <w:t xml:space="preserve">Guidance on </w:t>
        </w:r>
        <w:r w:rsidR="00EB625D" w:rsidRPr="00C451F6">
          <w:rPr>
            <w:rStyle w:val="Hyperlink"/>
            <w:rFonts w:ascii="Calibri Light" w:eastAsia="Arial" w:hAnsi="Calibri Light" w:cstheme="minorBidi"/>
            <w:i/>
            <w:sz w:val="26"/>
            <w:szCs w:val="26"/>
          </w:rPr>
          <w:t>classification of e</w:t>
        </w:r>
        <w:r w:rsidRPr="00C451F6">
          <w:rPr>
            <w:rStyle w:val="Hyperlink"/>
            <w:rFonts w:ascii="Calibri Light" w:eastAsia="Arial" w:hAnsi="Calibri Light" w:cstheme="minorBidi"/>
            <w:i/>
            <w:sz w:val="26"/>
            <w:szCs w:val="26"/>
          </w:rPr>
          <w:t xml:space="preserve">xposure </w:t>
        </w:r>
        <w:r w:rsidR="00EB625D" w:rsidRPr="00C451F6">
          <w:rPr>
            <w:rStyle w:val="Hyperlink"/>
            <w:rFonts w:ascii="Calibri Light" w:eastAsia="Arial" w:hAnsi="Calibri Light" w:cstheme="minorBidi"/>
            <w:i/>
            <w:sz w:val="26"/>
            <w:szCs w:val="26"/>
          </w:rPr>
          <w:t>p</w:t>
        </w:r>
        <w:r w:rsidRPr="00C451F6">
          <w:rPr>
            <w:rStyle w:val="Hyperlink"/>
            <w:rFonts w:ascii="Calibri Light" w:eastAsia="Arial" w:hAnsi="Calibri Light" w:cstheme="minorBidi"/>
            <w:i/>
            <w:sz w:val="26"/>
            <w:szCs w:val="26"/>
          </w:rPr>
          <w:t xml:space="preserve">rone and </w:t>
        </w:r>
        <w:r w:rsidR="00EB625D" w:rsidRPr="00C451F6">
          <w:rPr>
            <w:rStyle w:val="Hyperlink"/>
            <w:rFonts w:ascii="Calibri Light" w:eastAsia="Arial" w:hAnsi="Calibri Light" w:cstheme="minorBidi"/>
            <w:i/>
            <w:sz w:val="26"/>
            <w:szCs w:val="26"/>
          </w:rPr>
          <w:t>n</w:t>
        </w:r>
        <w:r w:rsidR="006B11AE" w:rsidRPr="00C451F6">
          <w:rPr>
            <w:rStyle w:val="Hyperlink"/>
            <w:rFonts w:ascii="Calibri Light" w:eastAsia="Arial" w:hAnsi="Calibri Light" w:cstheme="minorBidi"/>
            <w:i/>
            <w:sz w:val="26"/>
            <w:szCs w:val="26"/>
          </w:rPr>
          <w:t>on-</w:t>
        </w:r>
        <w:r w:rsidR="00EB625D" w:rsidRPr="00C451F6">
          <w:rPr>
            <w:rStyle w:val="Hyperlink"/>
            <w:rFonts w:ascii="Calibri Light" w:eastAsia="Arial" w:hAnsi="Calibri Light" w:cstheme="minorBidi"/>
            <w:i/>
            <w:sz w:val="26"/>
            <w:szCs w:val="26"/>
          </w:rPr>
          <w:t>e</w:t>
        </w:r>
        <w:r w:rsidRPr="00C451F6">
          <w:rPr>
            <w:rStyle w:val="Hyperlink"/>
            <w:rFonts w:ascii="Calibri Light" w:eastAsia="Arial" w:hAnsi="Calibri Light" w:cstheme="minorBidi"/>
            <w:i/>
            <w:sz w:val="26"/>
            <w:szCs w:val="26"/>
          </w:rPr>
          <w:t xml:space="preserve">xposure </w:t>
        </w:r>
        <w:r w:rsidR="00EB625D" w:rsidRPr="00C451F6">
          <w:rPr>
            <w:rStyle w:val="Hyperlink"/>
            <w:rFonts w:ascii="Calibri Light" w:eastAsia="Arial" w:hAnsi="Calibri Light" w:cstheme="minorBidi"/>
            <w:i/>
            <w:sz w:val="26"/>
            <w:szCs w:val="26"/>
          </w:rPr>
          <w:t>prone p</w:t>
        </w:r>
        <w:r w:rsidRPr="00C451F6">
          <w:rPr>
            <w:rStyle w:val="Hyperlink"/>
            <w:rFonts w:ascii="Calibri Light" w:eastAsia="Arial" w:hAnsi="Calibri Light" w:cstheme="minorBidi"/>
            <w:i/>
            <w:sz w:val="26"/>
            <w:szCs w:val="26"/>
          </w:rPr>
          <w:t>rocedures in Australia 201</w:t>
        </w:r>
        <w:r w:rsidR="00C451F6" w:rsidRPr="00C451F6">
          <w:rPr>
            <w:rStyle w:val="Hyperlink"/>
            <w:rFonts w:ascii="Calibri Light" w:eastAsia="Arial" w:hAnsi="Calibri Light" w:cstheme="minorBidi"/>
            <w:i/>
            <w:sz w:val="26"/>
            <w:szCs w:val="26"/>
          </w:rPr>
          <w:t>7</w:t>
        </w:r>
      </w:hyperlink>
      <w:r w:rsidRPr="003059D8">
        <w:rPr>
          <w:rFonts w:ascii="Calibri Light" w:eastAsia="Arial" w:hAnsi="Calibri Light" w:cstheme="minorBidi"/>
          <w:i/>
          <w:sz w:val="26"/>
          <w:szCs w:val="26"/>
        </w:rPr>
        <w:t>.</w:t>
      </w:r>
      <w:r w:rsidRPr="003059D8">
        <w:rPr>
          <w:rFonts w:ascii="Calibri Light" w:eastAsia="Arial" w:hAnsi="Calibri Light" w:cstheme="minorBidi"/>
          <w:sz w:val="26"/>
          <w:szCs w:val="26"/>
        </w:rPr>
        <w:t xml:space="preserve"> </w:t>
      </w:r>
    </w:p>
    <w:p w14:paraId="52D78554" w14:textId="71F07881" w:rsidR="00B779BB" w:rsidRDefault="00B779BB" w:rsidP="00B779BB">
      <w:pPr>
        <w:spacing w:after="240" w:line="280" w:lineRule="atLeast"/>
        <w:rPr>
          <w:rFonts w:ascii="Calibri Light" w:eastAsiaTheme="minorHAnsi" w:hAnsi="Calibri Light"/>
          <w:sz w:val="26"/>
          <w:szCs w:val="26"/>
        </w:rPr>
      </w:pPr>
      <w:r w:rsidRPr="00047A09">
        <w:rPr>
          <w:rFonts w:ascii="Calibri Light" w:eastAsiaTheme="minorHAnsi" w:hAnsi="Calibri Light"/>
          <w:sz w:val="26"/>
          <w:szCs w:val="26"/>
        </w:rPr>
        <w:t>The relevant specialist college</w:t>
      </w:r>
      <w:r>
        <w:rPr>
          <w:rFonts w:ascii="Calibri Light" w:eastAsiaTheme="minorHAnsi" w:hAnsi="Calibri Light"/>
          <w:sz w:val="26"/>
          <w:szCs w:val="26"/>
        </w:rPr>
        <w:t xml:space="preserve">s for each </w:t>
      </w:r>
      <w:r w:rsidRPr="00047A09">
        <w:rPr>
          <w:rFonts w:ascii="Calibri Light" w:eastAsiaTheme="minorHAnsi" w:hAnsi="Calibri Light"/>
          <w:sz w:val="26"/>
          <w:szCs w:val="26"/>
        </w:rPr>
        <w:t xml:space="preserve">profession can provide further advice and guidance on which procedures in </w:t>
      </w:r>
      <w:r>
        <w:rPr>
          <w:rFonts w:ascii="Calibri Light" w:eastAsiaTheme="minorHAnsi" w:hAnsi="Calibri Light"/>
          <w:sz w:val="26"/>
          <w:szCs w:val="26"/>
        </w:rPr>
        <w:t xml:space="preserve">each </w:t>
      </w:r>
      <w:r w:rsidRPr="00047A09">
        <w:rPr>
          <w:rFonts w:ascii="Calibri Light" w:eastAsiaTheme="minorHAnsi" w:hAnsi="Calibri Light"/>
          <w:sz w:val="26"/>
          <w:szCs w:val="26"/>
        </w:rPr>
        <w:t>particular specialt</w:t>
      </w:r>
      <w:r>
        <w:rPr>
          <w:rFonts w:ascii="Calibri Light" w:eastAsiaTheme="minorHAnsi" w:hAnsi="Calibri Light"/>
          <w:sz w:val="26"/>
          <w:szCs w:val="26"/>
        </w:rPr>
        <w:t>y constitute</w:t>
      </w:r>
      <w:r w:rsidRPr="00047A09">
        <w:rPr>
          <w:rFonts w:ascii="Calibri Light" w:eastAsiaTheme="minorHAnsi" w:hAnsi="Calibri Light"/>
          <w:sz w:val="26"/>
          <w:szCs w:val="26"/>
        </w:rPr>
        <w:t xml:space="preserve"> </w:t>
      </w:r>
      <w:r w:rsidR="006B11AE">
        <w:rPr>
          <w:rFonts w:ascii="Calibri Light" w:eastAsiaTheme="minorHAnsi" w:hAnsi="Calibri Light"/>
          <w:sz w:val="26"/>
          <w:szCs w:val="26"/>
        </w:rPr>
        <w:t>EPPs</w:t>
      </w:r>
      <w:r w:rsidRPr="00047A09">
        <w:rPr>
          <w:rFonts w:ascii="Calibri Light" w:eastAsiaTheme="minorHAnsi" w:hAnsi="Calibri Light"/>
          <w:sz w:val="26"/>
          <w:szCs w:val="26"/>
        </w:rPr>
        <w:t xml:space="preserve">. </w:t>
      </w:r>
    </w:p>
    <w:p w14:paraId="33AC1DCD" w14:textId="77777777" w:rsidR="0022545B" w:rsidRPr="00C632F8" w:rsidRDefault="0022545B" w:rsidP="0022545B">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When will the Guidelines apply?</w:t>
      </w:r>
    </w:p>
    <w:p w14:paraId="6D000069" w14:textId="1A73E1D8" w:rsidR="0022545B" w:rsidRPr="006155D0" w:rsidRDefault="0022545B" w:rsidP="0022545B">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The updated Guidelines apply now.  </w:t>
      </w:r>
      <w:r w:rsidR="003140EF">
        <w:rPr>
          <w:rFonts w:ascii="Calibri Light" w:eastAsiaTheme="minorHAnsi" w:hAnsi="Calibri Light"/>
          <w:sz w:val="26"/>
          <w:szCs w:val="26"/>
        </w:rPr>
        <w:t xml:space="preserve">Health </w:t>
      </w:r>
      <w:proofErr w:type="gramStart"/>
      <w:r w:rsidR="003140EF">
        <w:rPr>
          <w:rFonts w:ascii="Calibri Light" w:eastAsiaTheme="minorHAnsi" w:hAnsi="Calibri Light"/>
          <w:sz w:val="26"/>
          <w:szCs w:val="26"/>
        </w:rPr>
        <w:t>practitioner</w:t>
      </w:r>
      <w:proofErr w:type="gramEnd"/>
      <w:r w:rsidR="003140EF">
        <w:rPr>
          <w:rFonts w:ascii="Calibri Light" w:eastAsiaTheme="minorHAnsi" w:hAnsi="Calibri Light"/>
          <w:sz w:val="26"/>
          <w:szCs w:val="26"/>
        </w:rPr>
        <w:t xml:space="preserve"> Boards who register practitioners who may perform EPPs are developing</w:t>
      </w:r>
      <w:r w:rsidR="00EB625D">
        <w:rPr>
          <w:rFonts w:ascii="Calibri Light" w:eastAsiaTheme="minorHAnsi" w:hAnsi="Calibri Light"/>
          <w:sz w:val="26"/>
          <w:szCs w:val="26"/>
        </w:rPr>
        <w:t xml:space="preserve"> their own</w:t>
      </w:r>
      <w:r w:rsidR="003140EF">
        <w:rPr>
          <w:rFonts w:ascii="Calibri Light" w:eastAsiaTheme="minorHAnsi" w:hAnsi="Calibri Light"/>
          <w:sz w:val="26"/>
          <w:szCs w:val="26"/>
        </w:rPr>
        <w:t xml:space="preserve"> guidelines to support implementation of these Guidelines.</w:t>
      </w:r>
      <w:r w:rsidR="003140EF" w:rsidDel="003140EF">
        <w:rPr>
          <w:rFonts w:ascii="Calibri Light" w:eastAsiaTheme="minorHAnsi" w:hAnsi="Calibri Light"/>
          <w:sz w:val="26"/>
          <w:szCs w:val="26"/>
        </w:rPr>
        <w:t xml:space="preserve"> </w:t>
      </w:r>
    </w:p>
    <w:p w14:paraId="341CAC2A" w14:textId="30016981" w:rsidR="0022545B" w:rsidRDefault="0022545B" w:rsidP="0022545B">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w:t>
      </w:r>
      <w:r>
        <w:rPr>
          <w:rFonts w:ascii="Calibri Light" w:eastAsiaTheme="minorHAnsi" w:hAnsi="Calibri Light" w:cs="Arial"/>
          <w:bCs/>
          <w:iCs/>
          <w:color w:val="548DD4" w:themeColor="text2" w:themeTint="99"/>
          <w:sz w:val="32"/>
          <w:szCs w:val="32"/>
        </w:rPr>
        <w:t>are the responsibilities</w:t>
      </w:r>
      <w:r w:rsidR="00085A81" w:rsidRPr="00085A81">
        <w:rPr>
          <w:rFonts w:ascii="Calibri Light" w:eastAsiaTheme="minorHAnsi" w:hAnsi="Calibri Light" w:cs="Arial"/>
          <w:bCs/>
          <w:iCs/>
          <w:color w:val="548DD4" w:themeColor="text2" w:themeTint="99"/>
          <w:sz w:val="32"/>
          <w:szCs w:val="32"/>
        </w:rPr>
        <w:t xml:space="preserve"> </w:t>
      </w:r>
      <w:r w:rsidR="00085A81">
        <w:rPr>
          <w:rFonts w:ascii="Calibri Light" w:eastAsiaTheme="minorHAnsi" w:hAnsi="Calibri Light" w:cs="Arial"/>
          <w:bCs/>
          <w:iCs/>
          <w:color w:val="548DD4" w:themeColor="text2" w:themeTint="99"/>
          <w:sz w:val="32"/>
          <w:szCs w:val="32"/>
        </w:rPr>
        <w:t>under</w:t>
      </w:r>
      <w:r w:rsidR="00085A81" w:rsidRPr="00C632F8">
        <w:rPr>
          <w:rFonts w:ascii="Calibri Light" w:eastAsiaTheme="minorHAnsi" w:hAnsi="Calibri Light" w:cs="Arial"/>
          <w:bCs/>
          <w:iCs/>
          <w:color w:val="548DD4" w:themeColor="text2" w:themeTint="99"/>
          <w:sz w:val="32"/>
          <w:szCs w:val="32"/>
        </w:rPr>
        <w:t xml:space="preserve"> the Guidelines</w:t>
      </w:r>
      <w:r>
        <w:rPr>
          <w:rFonts w:ascii="Calibri Light" w:eastAsiaTheme="minorHAnsi" w:hAnsi="Calibri Light" w:cs="Arial"/>
          <w:bCs/>
          <w:iCs/>
          <w:color w:val="548DD4" w:themeColor="text2" w:themeTint="99"/>
          <w:sz w:val="32"/>
          <w:szCs w:val="32"/>
        </w:rPr>
        <w:t xml:space="preserve"> of employers of healthcare workers </w:t>
      </w:r>
      <w:r w:rsidR="00085A81">
        <w:rPr>
          <w:rFonts w:ascii="Calibri Light" w:eastAsiaTheme="minorHAnsi" w:hAnsi="Calibri Light" w:cs="Arial"/>
          <w:bCs/>
          <w:iCs/>
          <w:color w:val="548DD4" w:themeColor="text2" w:themeTint="99"/>
          <w:sz w:val="32"/>
          <w:szCs w:val="32"/>
        </w:rPr>
        <w:t>who perform EPPs</w:t>
      </w:r>
      <w:r w:rsidRPr="00C632F8">
        <w:rPr>
          <w:rFonts w:ascii="Calibri Light" w:eastAsiaTheme="minorHAnsi" w:hAnsi="Calibri Light" w:cs="Arial"/>
          <w:bCs/>
          <w:iCs/>
          <w:color w:val="548DD4" w:themeColor="text2" w:themeTint="99"/>
          <w:sz w:val="32"/>
          <w:szCs w:val="32"/>
        </w:rPr>
        <w:t>?</w:t>
      </w:r>
    </w:p>
    <w:p w14:paraId="7B253324" w14:textId="77777777" w:rsidR="001E4182" w:rsidRDefault="001E4182" w:rsidP="001E4182">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The Guidelines do not prescribe additional responsibilities on employers of healthcare workers or students living with a BBV.  The Guidelines support employers to understand the:</w:t>
      </w:r>
    </w:p>
    <w:p w14:paraId="5D27DD38" w14:textId="77777777" w:rsidR="001E4182" w:rsidRDefault="001E4182" w:rsidP="001E4182">
      <w:pPr>
        <w:pStyle w:val="ListParagraph"/>
        <w:numPr>
          <w:ilvl w:val="0"/>
          <w:numId w:val="7"/>
        </w:numPr>
        <w:spacing w:after="240" w:line="280" w:lineRule="atLeast"/>
        <w:rPr>
          <w:rFonts w:ascii="Calibri Light" w:eastAsia="Arial" w:hAnsi="Calibri Light" w:cstheme="minorBidi"/>
          <w:sz w:val="26"/>
          <w:szCs w:val="26"/>
        </w:rPr>
      </w:pPr>
      <w:r w:rsidRPr="00D64852">
        <w:rPr>
          <w:rFonts w:ascii="Calibri Light" w:eastAsia="Arial" w:hAnsi="Calibri Light" w:cstheme="minorBidi"/>
          <w:sz w:val="26"/>
          <w:szCs w:val="26"/>
        </w:rPr>
        <w:t xml:space="preserve">public health requirements for all healthcare workers who perform EPPs and </w:t>
      </w:r>
    </w:p>
    <w:p w14:paraId="5D5E91F9" w14:textId="77777777" w:rsidR="001E4182" w:rsidRPr="00D64852" w:rsidRDefault="001E4182" w:rsidP="001E4182">
      <w:pPr>
        <w:pStyle w:val="ListParagraph"/>
        <w:numPr>
          <w:ilvl w:val="0"/>
          <w:numId w:val="7"/>
        </w:numPr>
        <w:spacing w:after="240" w:line="280" w:lineRule="atLeast"/>
        <w:rPr>
          <w:rFonts w:ascii="Calibri Light" w:eastAsia="Arial" w:hAnsi="Calibri Light" w:cstheme="minorBidi"/>
          <w:sz w:val="26"/>
          <w:szCs w:val="26"/>
        </w:rPr>
      </w:pPr>
      <w:proofErr w:type="gramStart"/>
      <w:r w:rsidRPr="00D64852">
        <w:rPr>
          <w:rFonts w:ascii="Calibri Light" w:eastAsia="Arial" w:hAnsi="Calibri Light" w:cstheme="minorBidi"/>
          <w:sz w:val="26"/>
          <w:szCs w:val="26"/>
        </w:rPr>
        <w:t>criteria</w:t>
      </w:r>
      <w:proofErr w:type="gramEnd"/>
      <w:r w:rsidRPr="00D64852">
        <w:rPr>
          <w:rFonts w:ascii="Calibri Light" w:eastAsia="Arial" w:hAnsi="Calibri Light" w:cstheme="minorBidi"/>
          <w:sz w:val="26"/>
          <w:szCs w:val="26"/>
        </w:rPr>
        <w:t xml:space="preserve"> for healthcare workers who were previously excluded from performing EPPs to perform EPPs again.  </w:t>
      </w:r>
    </w:p>
    <w:p w14:paraId="1012D520" w14:textId="77777777" w:rsidR="001E4182" w:rsidRDefault="001E4182" w:rsidP="001E4182">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lastRenderedPageBreak/>
        <w:t xml:space="preserve">It is recommended that employers ensure that all employees who perform EPPs are made aware of the Guidelines.  </w:t>
      </w:r>
    </w:p>
    <w:p w14:paraId="3D86F408" w14:textId="77777777" w:rsidR="001E4182" w:rsidRDefault="001E4182" w:rsidP="001E4182">
      <w:pPr>
        <w:spacing w:after="160" w:line="259" w:lineRule="auto"/>
        <w:rPr>
          <w:rFonts w:ascii="Calibri Light" w:eastAsia="Arial" w:hAnsi="Calibri Light" w:cstheme="minorBidi"/>
          <w:sz w:val="26"/>
          <w:szCs w:val="26"/>
        </w:rPr>
      </w:pPr>
      <w:r>
        <w:rPr>
          <w:rFonts w:ascii="Calibri Light" w:eastAsia="Arial" w:hAnsi="Calibri Light" w:cstheme="minorBidi"/>
          <w:sz w:val="26"/>
          <w:szCs w:val="26"/>
        </w:rPr>
        <w:t>When deciding how to apply the Guidelines, e</w:t>
      </w:r>
      <w:r w:rsidRPr="00A05FB5">
        <w:rPr>
          <w:rFonts w:ascii="Calibri Light" w:eastAsia="Arial" w:hAnsi="Calibri Light" w:cstheme="minorBidi"/>
          <w:sz w:val="26"/>
          <w:szCs w:val="26"/>
        </w:rPr>
        <w:t xml:space="preserve">mployers of healthcare workers must consider the relevant public health, antidiscrimination, privacy, industrial relations and equal employment opportunity legislation in their jurisdiction.  </w:t>
      </w:r>
    </w:p>
    <w:p w14:paraId="315C8CC9" w14:textId="5A980066" w:rsidR="00D94302" w:rsidRPr="00C632F8" w:rsidRDefault="00D94302" w:rsidP="00D94302">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will </w:t>
      </w:r>
      <w:r>
        <w:rPr>
          <w:rFonts w:ascii="Calibri Light" w:eastAsiaTheme="minorHAnsi" w:hAnsi="Calibri Light" w:cs="Arial"/>
          <w:bCs/>
          <w:iCs/>
          <w:color w:val="548DD4" w:themeColor="text2" w:themeTint="99"/>
          <w:sz w:val="32"/>
          <w:szCs w:val="32"/>
        </w:rPr>
        <w:t xml:space="preserve">healthcare workers who perform EPPs </w:t>
      </w:r>
      <w:r w:rsidRPr="00C632F8">
        <w:rPr>
          <w:rFonts w:ascii="Calibri Light" w:eastAsiaTheme="minorHAnsi" w:hAnsi="Calibri Light" w:cs="Arial"/>
          <w:bCs/>
          <w:iCs/>
          <w:color w:val="548DD4" w:themeColor="text2" w:themeTint="99"/>
          <w:sz w:val="32"/>
          <w:szCs w:val="32"/>
        </w:rPr>
        <w:t>have to do to comply with the Guidelines?</w:t>
      </w:r>
    </w:p>
    <w:p w14:paraId="20503820" w14:textId="7D6222FF" w:rsidR="00685142" w:rsidRPr="003059D8" w:rsidRDefault="00685142" w:rsidP="00685142">
      <w:pPr>
        <w:rPr>
          <w:rFonts w:ascii="Calibri Light" w:hAnsi="Calibri Light"/>
          <w:sz w:val="26"/>
          <w:szCs w:val="26"/>
        </w:rPr>
      </w:pPr>
      <w:r w:rsidRPr="003059D8">
        <w:rPr>
          <w:rFonts w:ascii="Calibri Light" w:hAnsi="Calibri Light"/>
          <w:sz w:val="26"/>
          <w:szCs w:val="26"/>
        </w:rPr>
        <w:t xml:space="preserve">Healthcare workers who </w:t>
      </w:r>
      <w:r>
        <w:rPr>
          <w:rFonts w:ascii="Calibri Light" w:hAnsi="Calibri Light"/>
          <w:sz w:val="26"/>
          <w:szCs w:val="26"/>
        </w:rPr>
        <w:t xml:space="preserve">perform EPPs must take reasonable steps to know their BBV status and should be tested for BBVs at least once every three years.  They are also </w:t>
      </w:r>
      <w:r w:rsidRPr="003059D8">
        <w:rPr>
          <w:rFonts w:ascii="Calibri Light" w:hAnsi="Calibri Light"/>
          <w:sz w:val="26"/>
          <w:szCs w:val="26"/>
        </w:rPr>
        <w:t>expected to:</w:t>
      </w:r>
    </w:p>
    <w:p w14:paraId="303C91E3" w14:textId="77777777" w:rsidR="00EB625D" w:rsidRPr="00EB625D" w:rsidRDefault="00EB625D" w:rsidP="00EB625D">
      <w:pPr>
        <w:numPr>
          <w:ilvl w:val="0"/>
          <w:numId w:val="5"/>
        </w:numPr>
        <w:spacing w:after="160" w:line="259" w:lineRule="auto"/>
        <w:contextualSpacing/>
        <w:rPr>
          <w:rFonts w:ascii="Calibri Light" w:eastAsia="Calibri" w:hAnsi="Calibri Light"/>
          <w:sz w:val="26"/>
          <w:szCs w:val="26"/>
        </w:rPr>
      </w:pPr>
      <w:r w:rsidRPr="00EB625D">
        <w:rPr>
          <w:rFonts w:ascii="Calibri Light" w:eastAsia="Calibri" w:hAnsi="Calibri Light"/>
          <w:sz w:val="26"/>
          <w:szCs w:val="26"/>
        </w:rPr>
        <w:t>have appropriate and timely testing and follow up care after a potential occupational exposure associated with a risk of BBV acquisition</w:t>
      </w:r>
    </w:p>
    <w:p w14:paraId="1EB58038" w14:textId="77777777" w:rsidR="00EB625D" w:rsidRPr="00EB625D" w:rsidRDefault="00EB625D" w:rsidP="00EB625D">
      <w:pPr>
        <w:numPr>
          <w:ilvl w:val="0"/>
          <w:numId w:val="5"/>
        </w:numPr>
        <w:spacing w:after="160" w:line="259" w:lineRule="auto"/>
        <w:contextualSpacing/>
        <w:rPr>
          <w:rFonts w:ascii="Calibri Light" w:eastAsia="Calibri" w:hAnsi="Calibri Light"/>
          <w:sz w:val="26"/>
          <w:szCs w:val="26"/>
        </w:rPr>
      </w:pPr>
      <w:r w:rsidRPr="00EB625D">
        <w:rPr>
          <w:rFonts w:ascii="Calibri Light" w:eastAsia="Calibri" w:hAnsi="Calibri Light"/>
          <w:sz w:val="26"/>
          <w:szCs w:val="26"/>
        </w:rPr>
        <w:t>have appropriate testing and follow up care after potential non–occupational exposure, with testing frequency related to risk factors for virus acquisition</w:t>
      </w:r>
    </w:p>
    <w:p w14:paraId="34049426" w14:textId="77777777" w:rsidR="00EB625D" w:rsidRPr="00EB625D" w:rsidRDefault="00EB625D" w:rsidP="00EB625D">
      <w:pPr>
        <w:numPr>
          <w:ilvl w:val="0"/>
          <w:numId w:val="5"/>
        </w:numPr>
        <w:spacing w:after="160" w:line="259" w:lineRule="auto"/>
        <w:contextualSpacing/>
        <w:rPr>
          <w:rFonts w:ascii="Calibri Light" w:eastAsia="Calibri" w:hAnsi="Calibri Light"/>
          <w:sz w:val="26"/>
          <w:szCs w:val="26"/>
        </w:rPr>
      </w:pPr>
      <w:r w:rsidRPr="00EB625D">
        <w:rPr>
          <w:rFonts w:ascii="Calibri Light" w:eastAsia="Calibri" w:hAnsi="Calibri Light"/>
          <w:sz w:val="26"/>
          <w:szCs w:val="26"/>
        </w:rPr>
        <w:t xml:space="preserve">cease performing all EPPs if diagnosed with a BBV until the criteria in the Guidelines are met </w:t>
      </w:r>
    </w:p>
    <w:p w14:paraId="2EB44B4D" w14:textId="77777777" w:rsidR="00EB625D" w:rsidRPr="00EB625D" w:rsidRDefault="00EB625D" w:rsidP="00EB625D">
      <w:pPr>
        <w:numPr>
          <w:ilvl w:val="0"/>
          <w:numId w:val="5"/>
        </w:numPr>
        <w:spacing w:after="160" w:line="259" w:lineRule="auto"/>
        <w:contextualSpacing/>
        <w:rPr>
          <w:rFonts w:ascii="Calibri Light" w:eastAsia="Calibri" w:hAnsi="Calibri Light"/>
          <w:sz w:val="26"/>
          <w:szCs w:val="26"/>
        </w:rPr>
      </w:pPr>
      <w:r w:rsidRPr="00EB625D">
        <w:rPr>
          <w:rFonts w:ascii="Calibri Light" w:eastAsia="Calibri" w:hAnsi="Calibri Light"/>
          <w:sz w:val="26"/>
          <w:szCs w:val="26"/>
        </w:rPr>
        <w:t>confirm that they comply with these Guidelines when applying for renewal of registration if requested by their Board</w:t>
      </w:r>
    </w:p>
    <w:p w14:paraId="06FA4A20" w14:textId="77777777" w:rsidR="00D94302" w:rsidRDefault="00D94302" w:rsidP="00D94302">
      <w:pPr>
        <w:pStyle w:val="ListParagraph"/>
        <w:spacing w:after="160" w:line="259" w:lineRule="auto"/>
        <w:rPr>
          <w:rFonts w:ascii="Calibri Light" w:eastAsiaTheme="minorHAnsi" w:hAnsi="Calibri Light"/>
          <w:sz w:val="26"/>
          <w:szCs w:val="26"/>
        </w:rPr>
      </w:pPr>
    </w:p>
    <w:p w14:paraId="4AFA64EC" w14:textId="3A560F3F" w:rsidR="00D94302" w:rsidRPr="006155D0" w:rsidRDefault="00D94302" w:rsidP="006B11AE">
      <w:pPr>
        <w:pStyle w:val="ListParagraph"/>
        <w:spacing w:after="160" w:line="259" w:lineRule="auto"/>
        <w:ind w:left="0"/>
        <w:rPr>
          <w:rFonts w:ascii="Calibri Light" w:eastAsiaTheme="minorHAnsi" w:hAnsi="Calibri Light"/>
          <w:sz w:val="26"/>
          <w:szCs w:val="26"/>
        </w:rPr>
      </w:pPr>
      <w:r w:rsidRPr="006155D0">
        <w:rPr>
          <w:rFonts w:ascii="Calibri Light" w:eastAsiaTheme="minorHAnsi" w:hAnsi="Calibri Light"/>
          <w:sz w:val="26"/>
          <w:szCs w:val="26"/>
        </w:rPr>
        <w:t xml:space="preserve">Additional details can be found in the </w:t>
      </w:r>
      <w:hyperlink r:id="rId12" w:history="1">
        <w:r w:rsidRPr="00C451F6">
          <w:rPr>
            <w:rStyle w:val="Hyperlink"/>
            <w:rFonts w:ascii="Calibri Light" w:eastAsiaTheme="minorHAnsi" w:hAnsi="Calibri Light"/>
            <w:sz w:val="26"/>
            <w:szCs w:val="26"/>
          </w:rPr>
          <w:t>Guidelines</w:t>
        </w:r>
      </w:hyperlink>
      <w:r w:rsidR="00C451F6">
        <w:rPr>
          <w:rFonts w:ascii="Calibri Light" w:eastAsiaTheme="minorHAnsi" w:hAnsi="Calibri Light"/>
          <w:sz w:val="26"/>
          <w:szCs w:val="26"/>
        </w:rPr>
        <w:t>.</w:t>
      </w:r>
      <w:r w:rsidRPr="006155D0">
        <w:rPr>
          <w:rFonts w:ascii="Calibri Light" w:eastAsiaTheme="minorHAnsi" w:hAnsi="Calibri Light"/>
          <w:sz w:val="26"/>
          <w:szCs w:val="26"/>
        </w:rPr>
        <w:t xml:space="preserve"> </w:t>
      </w:r>
    </w:p>
    <w:p w14:paraId="36823324" w14:textId="3A384DFC" w:rsidR="00D94302" w:rsidRPr="00C632F8" w:rsidRDefault="00D94302" w:rsidP="00D94302">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will </w:t>
      </w:r>
      <w:r>
        <w:rPr>
          <w:rFonts w:ascii="Calibri Light" w:eastAsiaTheme="minorHAnsi" w:hAnsi="Calibri Light" w:cs="Arial"/>
          <w:bCs/>
          <w:iCs/>
          <w:color w:val="548DD4" w:themeColor="text2" w:themeTint="99"/>
          <w:sz w:val="32"/>
          <w:szCs w:val="32"/>
        </w:rPr>
        <w:t xml:space="preserve">healthcare workers living with BBV who perform </w:t>
      </w:r>
      <w:r w:rsidR="006B11AE">
        <w:rPr>
          <w:rFonts w:ascii="Calibri Light" w:eastAsiaTheme="minorHAnsi" w:hAnsi="Calibri Light" w:cs="Arial"/>
          <w:bCs/>
          <w:iCs/>
          <w:color w:val="548DD4" w:themeColor="text2" w:themeTint="99"/>
          <w:sz w:val="32"/>
          <w:szCs w:val="32"/>
        </w:rPr>
        <w:t xml:space="preserve">EPPs </w:t>
      </w:r>
      <w:r w:rsidR="006B11AE" w:rsidRPr="00C632F8">
        <w:rPr>
          <w:rFonts w:ascii="Calibri Light" w:eastAsiaTheme="minorHAnsi" w:hAnsi="Calibri Light" w:cs="Arial"/>
          <w:bCs/>
          <w:iCs/>
          <w:color w:val="548DD4" w:themeColor="text2" w:themeTint="99"/>
          <w:sz w:val="32"/>
          <w:szCs w:val="32"/>
        </w:rPr>
        <w:t>have</w:t>
      </w:r>
      <w:r w:rsidRPr="00C632F8">
        <w:rPr>
          <w:rFonts w:ascii="Calibri Light" w:eastAsiaTheme="minorHAnsi" w:hAnsi="Calibri Light" w:cs="Arial"/>
          <w:bCs/>
          <w:iCs/>
          <w:color w:val="548DD4" w:themeColor="text2" w:themeTint="99"/>
          <w:sz w:val="32"/>
          <w:szCs w:val="32"/>
        </w:rPr>
        <w:t xml:space="preserve"> to do to comply with the Guidelines?</w:t>
      </w:r>
    </w:p>
    <w:p w14:paraId="3F9B2573" w14:textId="1D1481A2" w:rsidR="00D94302" w:rsidRPr="00293DFB" w:rsidRDefault="00D94302" w:rsidP="00D94302">
      <w:p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 xml:space="preserve">Healthcare workers living with a </w:t>
      </w:r>
      <w:r>
        <w:rPr>
          <w:rFonts w:ascii="Calibri Light" w:eastAsiaTheme="minorHAnsi" w:hAnsi="Calibri Light"/>
          <w:sz w:val="26"/>
          <w:szCs w:val="26"/>
        </w:rPr>
        <w:t>BBV who are performing EPPs</w:t>
      </w:r>
      <w:r w:rsidRPr="00293DFB">
        <w:rPr>
          <w:rFonts w:ascii="Calibri Light" w:eastAsiaTheme="minorHAnsi" w:hAnsi="Calibri Light"/>
          <w:sz w:val="26"/>
          <w:szCs w:val="26"/>
        </w:rPr>
        <w:t xml:space="preserve"> are expected to:</w:t>
      </w:r>
    </w:p>
    <w:p w14:paraId="3DF8857E" w14:textId="77777777" w:rsidR="00D94302" w:rsidRPr="00293DFB" w:rsidRDefault="00D94302" w:rsidP="006B11AE">
      <w:pPr>
        <w:pStyle w:val="ListParagraph"/>
        <w:numPr>
          <w:ilvl w:val="0"/>
          <w:numId w:val="2"/>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be under the ongoing care of  a treating doctor with relevant expertise</w:t>
      </w:r>
    </w:p>
    <w:p w14:paraId="02260F04" w14:textId="77777777" w:rsidR="00D94302" w:rsidRPr="00293DFB" w:rsidRDefault="00D94302" w:rsidP="006B11AE">
      <w:pPr>
        <w:pStyle w:val="ListParagraph"/>
        <w:numPr>
          <w:ilvl w:val="0"/>
          <w:numId w:val="2"/>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be compliant with prescribed treatment</w:t>
      </w:r>
    </w:p>
    <w:p w14:paraId="091AB092" w14:textId="77777777" w:rsidR="00D94302" w:rsidRPr="00293DFB" w:rsidRDefault="00D94302" w:rsidP="006B11AE">
      <w:pPr>
        <w:pStyle w:val="ListParagraph"/>
        <w:numPr>
          <w:ilvl w:val="0"/>
          <w:numId w:val="2"/>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have ongoing viral load monitoring at the appointed time</w:t>
      </w:r>
      <w:r>
        <w:rPr>
          <w:rFonts w:ascii="Calibri Light" w:eastAsiaTheme="minorHAnsi" w:hAnsi="Calibri Light"/>
          <w:sz w:val="26"/>
          <w:szCs w:val="26"/>
        </w:rPr>
        <w:t>s</w:t>
      </w:r>
    </w:p>
    <w:p w14:paraId="5FF499A5" w14:textId="3457D9B2" w:rsidR="00D94302" w:rsidRPr="00293DFB" w:rsidRDefault="00085A81" w:rsidP="006B11AE">
      <w:pPr>
        <w:pStyle w:val="ListParagraph"/>
        <w:numPr>
          <w:ilvl w:val="0"/>
          <w:numId w:val="2"/>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not</w:t>
      </w:r>
      <w:r w:rsidR="00D94302" w:rsidRPr="00293DFB">
        <w:rPr>
          <w:rFonts w:ascii="Calibri Light" w:eastAsiaTheme="minorHAnsi" w:hAnsi="Calibri Light"/>
          <w:sz w:val="26"/>
          <w:szCs w:val="26"/>
        </w:rPr>
        <w:t xml:space="preserve"> perform </w:t>
      </w:r>
      <w:r w:rsidR="00D94302">
        <w:rPr>
          <w:rFonts w:ascii="Calibri Light" w:eastAsiaTheme="minorHAnsi" w:hAnsi="Calibri Light"/>
          <w:sz w:val="26"/>
          <w:szCs w:val="26"/>
        </w:rPr>
        <w:t>EPPs</w:t>
      </w:r>
      <w:r w:rsidR="00D94302" w:rsidRPr="00293DFB">
        <w:rPr>
          <w:rFonts w:ascii="Calibri Light" w:eastAsiaTheme="minorHAnsi" w:hAnsi="Calibri Light"/>
          <w:sz w:val="26"/>
          <w:szCs w:val="26"/>
        </w:rPr>
        <w:t xml:space="preserve"> if particular viral load or viral clearance criteria are not met (see detailed information in the </w:t>
      </w:r>
      <w:r w:rsidR="00685142">
        <w:rPr>
          <w:rFonts w:ascii="Calibri Light" w:eastAsiaTheme="minorHAnsi" w:hAnsi="Calibri Light"/>
          <w:sz w:val="26"/>
          <w:szCs w:val="26"/>
        </w:rPr>
        <w:t>G</w:t>
      </w:r>
      <w:r w:rsidR="00D94302" w:rsidRPr="00293DFB">
        <w:rPr>
          <w:rFonts w:ascii="Calibri Light" w:eastAsiaTheme="minorHAnsi" w:hAnsi="Calibri Light"/>
          <w:sz w:val="26"/>
          <w:szCs w:val="26"/>
        </w:rPr>
        <w:t xml:space="preserve">uidelines according to the specific </w:t>
      </w:r>
      <w:r w:rsidR="00D94302">
        <w:rPr>
          <w:rFonts w:ascii="Calibri Light" w:eastAsiaTheme="minorHAnsi" w:hAnsi="Calibri Light"/>
          <w:sz w:val="26"/>
          <w:szCs w:val="26"/>
        </w:rPr>
        <w:t>BBV</w:t>
      </w:r>
      <w:r w:rsidR="00D94302" w:rsidRPr="00293DFB">
        <w:rPr>
          <w:rFonts w:ascii="Calibri Light" w:eastAsiaTheme="minorHAnsi" w:hAnsi="Calibri Light"/>
          <w:sz w:val="26"/>
          <w:szCs w:val="26"/>
        </w:rPr>
        <w:t>)</w:t>
      </w:r>
    </w:p>
    <w:p w14:paraId="45B74026" w14:textId="77777777" w:rsidR="00D94302" w:rsidRPr="00293DFB" w:rsidRDefault="00D94302" w:rsidP="006B11AE">
      <w:pPr>
        <w:pStyle w:val="ListParagraph"/>
        <w:numPr>
          <w:ilvl w:val="0"/>
          <w:numId w:val="2"/>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seek advice regarding any change in health condition that may affect their fitness to practice or impair their health</w:t>
      </w:r>
    </w:p>
    <w:p w14:paraId="2224CDF8" w14:textId="3C606C2C" w:rsidR="00D94302" w:rsidRDefault="00D94302" w:rsidP="006B11AE">
      <w:pPr>
        <w:pStyle w:val="ListParagraph"/>
        <w:numPr>
          <w:ilvl w:val="0"/>
          <w:numId w:val="2"/>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release monitoring information to the</w:t>
      </w:r>
      <w:r w:rsidR="00B4122B">
        <w:rPr>
          <w:rFonts w:ascii="Calibri Light" w:eastAsiaTheme="minorHAnsi" w:hAnsi="Calibri Light"/>
          <w:sz w:val="26"/>
          <w:szCs w:val="26"/>
        </w:rPr>
        <w:t>ir</w:t>
      </w:r>
      <w:r w:rsidRPr="00293DFB">
        <w:rPr>
          <w:rFonts w:ascii="Calibri Light" w:eastAsiaTheme="minorHAnsi" w:hAnsi="Calibri Light"/>
          <w:sz w:val="26"/>
          <w:szCs w:val="26"/>
        </w:rPr>
        <w:t xml:space="preserve"> treating doctor</w:t>
      </w:r>
      <w:r>
        <w:rPr>
          <w:rFonts w:ascii="Calibri Light" w:eastAsiaTheme="minorHAnsi" w:hAnsi="Calibri Light"/>
          <w:sz w:val="26"/>
          <w:szCs w:val="26"/>
        </w:rPr>
        <w:t xml:space="preserve">  </w:t>
      </w:r>
    </w:p>
    <w:p w14:paraId="78FE669A" w14:textId="59E8277E" w:rsidR="00D94302" w:rsidRPr="00293DFB" w:rsidRDefault="00D94302" w:rsidP="006B11AE">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if required, release de-identified informat</w:t>
      </w:r>
      <w:r w:rsidR="00B4122B">
        <w:rPr>
          <w:rFonts w:ascii="Calibri Light" w:eastAsiaTheme="minorHAnsi" w:hAnsi="Calibri Light"/>
          <w:sz w:val="26"/>
          <w:szCs w:val="26"/>
        </w:rPr>
        <w:t xml:space="preserve">ion to the relevant area of their </w:t>
      </w:r>
      <w:r>
        <w:rPr>
          <w:rFonts w:ascii="Calibri Light" w:eastAsiaTheme="minorHAnsi" w:hAnsi="Calibri Light"/>
          <w:sz w:val="26"/>
          <w:szCs w:val="26"/>
        </w:rPr>
        <w:t>jurisdictional health department/Expert Advisory Committee</w:t>
      </w:r>
    </w:p>
    <w:p w14:paraId="52B31509" w14:textId="77777777" w:rsidR="00D94302" w:rsidRPr="00293DFB" w:rsidRDefault="00D94302" w:rsidP="006B11AE">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lastRenderedPageBreak/>
        <w:t xml:space="preserve">if required, </w:t>
      </w:r>
      <w:r w:rsidRPr="00293DFB">
        <w:rPr>
          <w:rFonts w:ascii="Calibri Light" w:eastAsiaTheme="minorHAnsi" w:hAnsi="Calibri Light"/>
          <w:sz w:val="26"/>
          <w:szCs w:val="26"/>
        </w:rPr>
        <w:t>release health monitoring information to a designated person in their workplace in the event of a potential exposure</w:t>
      </w:r>
      <w:r>
        <w:rPr>
          <w:rFonts w:ascii="Calibri Light" w:eastAsiaTheme="minorHAnsi" w:hAnsi="Calibri Light"/>
          <w:sz w:val="26"/>
          <w:szCs w:val="26"/>
        </w:rPr>
        <w:t xml:space="preserve"> incident to assess the requirement for further public health action</w:t>
      </w:r>
    </w:p>
    <w:p w14:paraId="3B3AD41C" w14:textId="6539E44B" w:rsidR="00D94302" w:rsidRPr="003059D8" w:rsidRDefault="00D94302" w:rsidP="00D94302">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Additional details</w:t>
      </w:r>
      <w:r w:rsidR="00C451F6">
        <w:rPr>
          <w:rFonts w:ascii="Calibri Light" w:eastAsiaTheme="minorHAnsi" w:hAnsi="Calibri Light"/>
          <w:sz w:val="26"/>
          <w:szCs w:val="26"/>
        </w:rPr>
        <w:t xml:space="preserve"> can be found in the </w:t>
      </w:r>
      <w:hyperlink r:id="rId13" w:history="1">
        <w:r w:rsidR="00C451F6" w:rsidRPr="00C451F6">
          <w:rPr>
            <w:rStyle w:val="Hyperlink"/>
            <w:rFonts w:ascii="Calibri Light" w:eastAsiaTheme="minorHAnsi" w:hAnsi="Calibri Light"/>
            <w:sz w:val="26"/>
            <w:szCs w:val="26"/>
          </w:rPr>
          <w:t>Guidelines</w:t>
        </w:r>
      </w:hyperlink>
      <w:r w:rsidR="00C451F6">
        <w:rPr>
          <w:rFonts w:ascii="Calibri Light" w:eastAsiaTheme="minorHAnsi" w:hAnsi="Calibri Light"/>
          <w:sz w:val="26"/>
          <w:szCs w:val="26"/>
        </w:rPr>
        <w:t>.</w:t>
      </w:r>
    </w:p>
    <w:p w14:paraId="5D202F6E" w14:textId="507DDCAB" w:rsidR="0022545B" w:rsidRPr="002D0878" w:rsidRDefault="0022545B" w:rsidP="0022545B">
      <w:pPr>
        <w:spacing w:after="240" w:line="280" w:lineRule="atLeast"/>
        <w:rPr>
          <w:rFonts w:ascii="Calibri Light" w:eastAsiaTheme="minorHAnsi" w:hAnsi="Calibri Light" w:cs="Arial"/>
          <w:bCs/>
          <w:iCs/>
          <w:color w:val="548DD4" w:themeColor="text2" w:themeTint="99"/>
          <w:sz w:val="32"/>
          <w:szCs w:val="32"/>
        </w:rPr>
      </w:pPr>
      <w:r w:rsidRPr="002D0878">
        <w:rPr>
          <w:rFonts w:ascii="Calibri Light" w:eastAsiaTheme="minorHAnsi" w:hAnsi="Calibri Light" w:cs="Arial"/>
          <w:bCs/>
          <w:iCs/>
          <w:color w:val="548DD4" w:themeColor="text2" w:themeTint="99"/>
          <w:sz w:val="32"/>
          <w:szCs w:val="32"/>
        </w:rPr>
        <w:t xml:space="preserve">How </w:t>
      </w:r>
      <w:r w:rsidR="00573A52">
        <w:rPr>
          <w:rFonts w:ascii="Calibri Light" w:eastAsiaTheme="minorHAnsi" w:hAnsi="Calibri Light" w:cs="Arial"/>
          <w:bCs/>
          <w:iCs/>
          <w:color w:val="548DD4" w:themeColor="text2" w:themeTint="99"/>
          <w:sz w:val="32"/>
          <w:szCs w:val="32"/>
        </w:rPr>
        <w:t>do</w:t>
      </w:r>
      <w:r w:rsidR="00573A52" w:rsidRPr="002D0878">
        <w:rPr>
          <w:rFonts w:ascii="Calibri Light" w:eastAsiaTheme="minorHAnsi" w:hAnsi="Calibri Light" w:cs="Arial"/>
          <w:bCs/>
          <w:iCs/>
          <w:color w:val="548DD4" w:themeColor="text2" w:themeTint="99"/>
          <w:sz w:val="32"/>
          <w:szCs w:val="32"/>
        </w:rPr>
        <w:t xml:space="preserve"> </w:t>
      </w:r>
      <w:r w:rsidRPr="002D0878">
        <w:rPr>
          <w:rFonts w:ascii="Calibri Light" w:eastAsiaTheme="minorHAnsi" w:hAnsi="Calibri Light" w:cs="Arial"/>
          <w:bCs/>
          <w:iCs/>
          <w:color w:val="548DD4" w:themeColor="text2" w:themeTint="99"/>
          <w:sz w:val="32"/>
          <w:szCs w:val="32"/>
        </w:rPr>
        <w:t xml:space="preserve">healthcare workers living with a BBV </w:t>
      </w:r>
      <w:r w:rsidR="00573A52">
        <w:rPr>
          <w:rFonts w:ascii="Calibri Light" w:eastAsiaTheme="minorHAnsi" w:hAnsi="Calibri Light" w:cs="Arial"/>
          <w:bCs/>
          <w:iCs/>
          <w:color w:val="548DD4" w:themeColor="text2" w:themeTint="99"/>
          <w:sz w:val="32"/>
          <w:szCs w:val="32"/>
        </w:rPr>
        <w:t>become eligible to</w:t>
      </w:r>
      <w:r w:rsidRPr="002D0878">
        <w:rPr>
          <w:rFonts w:ascii="Calibri Light" w:eastAsiaTheme="minorHAnsi" w:hAnsi="Calibri Light" w:cs="Arial"/>
          <w:bCs/>
          <w:iCs/>
          <w:color w:val="548DD4" w:themeColor="text2" w:themeTint="99"/>
          <w:sz w:val="32"/>
          <w:szCs w:val="32"/>
        </w:rPr>
        <w:t xml:space="preserve"> perform EPPs?</w:t>
      </w:r>
    </w:p>
    <w:p w14:paraId="15F23267" w14:textId="042BA578" w:rsidR="00D94302" w:rsidRDefault="00D94302" w:rsidP="00D94302">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Healthcare workers who are currently restricted</w:t>
      </w:r>
      <w:r w:rsidR="00685142">
        <w:rPr>
          <w:rFonts w:ascii="Calibri Light" w:eastAsia="Arial" w:hAnsi="Calibri Light" w:cstheme="minorBidi"/>
          <w:sz w:val="26"/>
          <w:szCs w:val="26"/>
        </w:rPr>
        <w:t>,</w:t>
      </w:r>
      <w:r>
        <w:rPr>
          <w:rFonts w:ascii="Calibri Light" w:eastAsia="Arial" w:hAnsi="Calibri Light" w:cstheme="minorBidi"/>
          <w:sz w:val="26"/>
          <w:szCs w:val="26"/>
        </w:rPr>
        <w:t xml:space="preserve"> or become restricted from performing EPPs</w:t>
      </w:r>
      <w:r w:rsidR="00685142">
        <w:rPr>
          <w:rFonts w:ascii="Calibri Light" w:eastAsia="Arial" w:hAnsi="Calibri Light" w:cstheme="minorBidi"/>
          <w:sz w:val="26"/>
          <w:szCs w:val="26"/>
        </w:rPr>
        <w:t>,</w:t>
      </w:r>
      <w:r>
        <w:rPr>
          <w:rFonts w:ascii="Calibri Light" w:eastAsia="Arial" w:hAnsi="Calibri Light" w:cstheme="minorBidi"/>
          <w:sz w:val="26"/>
          <w:szCs w:val="26"/>
        </w:rPr>
        <w:t xml:space="preserve"> </w:t>
      </w:r>
      <w:r w:rsidR="00EB625D">
        <w:rPr>
          <w:rFonts w:ascii="Calibri Light" w:eastAsia="Arial" w:hAnsi="Calibri Light" w:cstheme="minorBidi"/>
          <w:sz w:val="26"/>
          <w:szCs w:val="26"/>
        </w:rPr>
        <w:t xml:space="preserve">can </w:t>
      </w:r>
      <w:r w:rsidR="00AD398F">
        <w:rPr>
          <w:rFonts w:ascii="Calibri Light" w:eastAsia="Arial" w:hAnsi="Calibri Light" w:cstheme="minorBidi"/>
          <w:sz w:val="26"/>
          <w:szCs w:val="26"/>
        </w:rPr>
        <w:t xml:space="preserve">become eligible to </w:t>
      </w:r>
      <w:r w:rsidR="006B11AE">
        <w:rPr>
          <w:rFonts w:ascii="Calibri Light" w:eastAsia="Arial" w:hAnsi="Calibri Light" w:cstheme="minorBidi"/>
          <w:sz w:val="26"/>
          <w:szCs w:val="26"/>
        </w:rPr>
        <w:t>perform EPPs provided</w:t>
      </w:r>
      <w:r>
        <w:rPr>
          <w:rFonts w:ascii="Calibri Light" w:eastAsia="Arial" w:hAnsi="Calibri Light" w:cstheme="minorBidi"/>
          <w:sz w:val="26"/>
          <w:szCs w:val="26"/>
        </w:rPr>
        <w:t xml:space="preserve"> they meet the criteria outlined in the Guidelines and obtain initial clearance from their treating doctor </w:t>
      </w:r>
      <w:r w:rsidR="00573A52">
        <w:rPr>
          <w:rFonts w:ascii="Calibri Light" w:eastAsia="Arial" w:hAnsi="Calibri Light" w:cstheme="minorBidi"/>
          <w:sz w:val="26"/>
          <w:szCs w:val="26"/>
        </w:rPr>
        <w:t xml:space="preserve">who has the </w:t>
      </w:r>
      <w:r>
        <w:rPr>
          <w:rFonts w:ascii="Calibri Light" w:eastAsia="Arial" w:hAnsi="Calibri Light" w:cstheme="minorBidi"/>
          <w:sz w:val="26"/>
          <w:szCs w:val="26"/>
        </w:rPr>
        <w:t>relevant expertise</w:t>
      </w:r>
      <w:r w:rsidR="00685142">
        <w:rPr>
          <w:rFonts w:ascii="Calibri Light" w:eastAsia="Arial" w:hAnsi="Calibri Light" w:cstheme="minorBidi"/>
          <w:sz w:val="26"/>
          <w:szCs w:val="26"/>
        </w:rPr>
        <w:t>.</w:t>
      </w:r>
    </w:p>
    <w:p w14:paraId="15DA8CBD" w14:textId="62065F55" w:rsidR="001E4182" w:rsidRDefault="00D94302" w:rsidP="00D94302">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Healthcare workers will also need to meet relevant requirements for registration </w:t>
      </w:r>
      <w:r w:rsidR="001E4182">
        <w:rPr>
          <w:rFonts w:ascii="Calibri Light" w:eastAsia="Arial" w:hAnsi="Calibri Light" w:cstheme="minorBidi"/>
          <w:sz w:val="26"/>
          <w:szCs w:val="26"/>
        </w:rPr>
        <w:t>of</w:t>
      </w:r>
      <w:r>
        <w:rPr>
          <w:rFonts w:ascii="Calibri Light" w:eastAsia="Arial" w:hAnsi="Calibri Light" w:cstheme="minorBidi"/>
          <w:sz w:val="26"/>
          <w:szCs w:val="26"/>
        </w:rPr>
        <w:t xml:space="preserve"> their specialist medical </w:t>
      </w:r>
      <w:proofErr w:type="gramStart"/>
      <w:r>
        <w:rPr>
          <w:rFonts w:ascii="Calibri Light" w:eastAsia="Arial" w:hAnsi="Calibri Light" w:cstheme="minorBidi"/>
          <w:sz w:val="26"/>
          <w:szCs w:val="26"/>
        </w:rPr>
        <w:t>college,</w:t>
      </w:r>
      <w:proofErr w:type="gramEnd"/>
      <w:r>
        <w:rPr>
          <w:rFonts w:ascii="Calibri Light" w:eastAsia="Arial" w:hAnsi="Calibri Light" w:cstheme="minorBidi"/>
          <w:sz w:val="26"/>
          <w:szCs w:val="26"/>
        </w:rPr>
        <w:t xml:space="preserve"> including </w:t>
      </w:r>
      <w:proofErr w:type="spellStart"/>
      <w:r>
        <w:rPr>
          <w:rFonts w:ascii="Calibri Light" w:eastAsia="Arial" w:hAnsi="Calibri Light" w:cstheme="minorBidi"/>
          <w:sz w:val="26"/>
          <w:szCs w:val="26"/>
        </w:rPr>
        <w:t>recency</w:t>
      </w:r>
      <w:proofErr w:type="spellEnd"/>
      <w:r>
        <w:rPr>
          <w:rFonts w:ascii="Calibri Light" w:eastAsia="Arial" w:hAnsi="Calibri Light" w:cstheme="minorBidi"/>
          <w:sz w:val="26"/>
          <w:szCs w:val="26"/>
        </w:rPr>
        <w:t xml:space="preserve"> of practice and</w:t>
      </w:r>
      <w:r w:rsidR="001E4182">
        <w:rPr>
          <w:rFonts w:ascii="Calibri Light" w:eastAsia="Arial" w:hAnsi="Calibri Light" w:cstheme="minorBidi"/>
          <w:sz w:val="26"/>
          <w:szCs w:val="26"/>
        </w:rPr>
        <w:t xml:space="preserve"> compliance with</w:t>
      </w:r>
      <w:r>
        <w:rPr>
          <w:rFonts w:ascii="Calibri Light" w:eastAsia="Arial" w:hAnsi="Calibri Light" w:cstheme="minorBidi"/>
          <w:sz w:val="26"/>
          <w:szCs w:val="26"/>
        </w:rPr>
        <w:t xml:space="preserve"> any restrictions</w:t>
      </w:r>
      <w:r w:rsidR="001E4182">
        <w:rPr>
          <w:rFonts w:ascii="Calibri Light" w:eastAsia="Arial" w:hAnsi="Calibri Light" w:cstheme="minorBidi"/>
          <w:sz w:val="26"/>
          <w:szCs w:val="26"/>
        </w:rPr>
        <w:t xml:space="preserve"> to practice that are in place. </w:t>
      </w:r>
      <w:r w:rsidR="00C451F6">
        <w:rPr>
          <w:rFonts w:ascii="Calibri Light" w:eastAsia="Arial" w:hAnsi="Calibri Light" w:cstheme="minorBidi"/>
          <w:sz w:val="26"/>
          <w:szCs w:val="26"/>
        </w:rPr>
        <w:t>(</w:t>
      </w:r>
      <w:hyperlink r:id="rId14" w:history="1">
        <w:r w:rsidR="00C451F6" w:rsidRPr="00C451F6">
          <w:rPr>
            <w:rStyle w:val="Hyperlink"/>
            <w:rFonts w:ascii="Calibri Light" w:eastAsia="Arial" w:hAnsi="Calibri Light" w:cstheme="minorBidi"/>
            <w:sz w:val="26"/>
            <w:szCs w:val="26"/>
          </w:rPr>
          <w:t>AHPRA</w:t>
        </w:r>
      </w:hyperlink>
      <w:r w:rsidR="00C451F6">
        <w:rPr>
          <w:rFonts w:ascii="Calibri Light" w:eastAsia="Arial" w:hAnsi="Calibri Light" w:cstheme="minorBidi"/>
          <w:sz w:val="26"/>
          <w:szCs w:val="26"/>
        </w:rPr>
        <w:t>)</w:t>
      </w:r>
    </w:p>
    <w:p w14:paraId="7CA2FB09" w14:textId="6A11AFCC" w:rsidR="00D94302" w:rsidRDefault="00D94302" w:rsidP="00D94302">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Retraining and supervision for </w:t>
      </w:r>
      <w:r w:rsidR="006B11AE">
        <w:rPr>
          <w:rFonts w:ascii="Calibri Light" w:eastAsia="Arial" w:hAnsi="Calibri Light" w:cstheme="minorBidi"/>
          <w:sz w:val="26"/>
          <w:szCs w:val="26"/>
        </w:rPr>
        <w:t>healthcare workers</w:t>
      </w:r>
      <w:r>
        <w:rPr>
          <w:rFonts w:ascii="Calibri Light" w:eastAsia="Arial" w:hAnsi="Calibri Light" w:cstheme="minorBidi"/>
          <w:sz w:val="26"/>
          <w:szCs w:val="26"/>
        </w:rPr>
        <w:t xml:space="preserve"> returning to EPPs </w:t>
      </w:r>
      <w:r w:rsidR="00B4122B">
        <w:rPr>
          <w:rFonts w:ascii="Calibri Light" w:eastAsia="Arial" w:hAnsi="Calibri Light" w:cstheme="minorBidi"/>
          <w:sz w:val="26"/>
          <w:szCs w:val="26"/>
        </w:rPr>
        <w:t xml:space="preserve">after a break from performing these procedures </w:t>
      </w:r>
      <w:r>
        <w:rPr>
          <w:rFonts w:ascii="Calibri Light" w:eastAsia="Arial" w:hAnsi="Calibri Light" w:cstheme="minorBidi"/>
          <w:sz w:val="26"/>
          <w:szCs w:val="26"/>
        </w:rPr>
        <w:t>may be considered on a case by case basis as recommended by their specialist college.</w:t>
      </w:r>
    </w:p>
    <w:p w14:paraId="0532706D" w14:textId="322E7C83" w:rsidR="0022545B" w:rsidRPr="002D0878" w:rsidRDefault="00304150" w:rsidP="0022545B">
      <w:pPr>
        <w:spacing w:after="160" w:line="259" w:lineRule="auto"/>
        <w:rPr>
          <w:rFonts w:ascii="Calibri Light" w:eastAsiaTheme="minorHAnsi" w:hAnsi="Calibri Light" w:cs="Arial"/>
          <w:bCs/>
          <w:iCs/>
          <w:color w:val="548DD4" w:themeColor="text2" w:themeTint="99"/>
          <w:sz w:val="32"/>
          <w:szCs w:val="32"/>
        </w:rPr>
      </w:pPr>
      <w:r>
        <w:rPr>
          <w:rFonts w:ascii="Calibri Light" w:eastAsiaTheme="minorHAnsi" w:hAnsi="Calibri Light" w:cs="Arial"/>
          <w:bCs/>
          <w:iCs/>
          <w:color w:val="548DD4" w:themeColor="text2" w:themeTint="99"/>
          <w:sz w:val="32"/>
          <w:szCs w:val="32"/>
        </w:rPr>
        <w:t xml:space="preserve">Can employers ask for evidence of BBV status or initial clearance? </w:t>
      </w:r>
    </w:p>
    <w:p w14:paraId="26378A90" w14:textId="415890F3" w:rsidR="00304150" w:rsidRDefault="006B11AE" w:rsidP="0030415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Healthcare workers</w:t>
      </w:r>
      <w:r w:rsidR="00304150" w:rsidRPr="00293DFB">
        <w:rPr>
          <w:rFonts w:ascii="Calibri Light" w:eastAsia="Arial" w:hAnsi="Calibri Light" w:cstheme="minorBidi"/>
          <w:sz w:val="26"/>
          <w:szCs w:val="26"/>
        </w:rPr>
        <w:t xml:space="preserve"> have the same right to access confidential testing, counselling and treatment as the general population. </w:t>
      </w:r>
    </w:p>
    <w:p w14:paraId="3BCB8BF5" w14:textId="1D184ACE" w:rsidR="00304150" w:rsidRDefault="00304150" w:rsidP="0030415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Employers of </w:t>
      </w:r>
      <w:r w:rsidR="006B11AE">
        <w:rPr>
          <w:rFonts w:ascii="Calibri Light" w:eastAsia="Arial" w:hAnsi="Calibri Light" w:cstheme="minorBidi"/>
          <w:sz w:val="26"/>
          <w:szCs w:val="26"/>
        </w:rPr>
        <w:t>healthcare worker</w:t>
      </w:r>
      <w:r>
        <w:rPr>
          <w:rFonts w:ascii="Calibri Light" w:eastAsia="Arial" w:hAnsi="Calibri Light" w:cstheme="minorBidi"/>
          <w:sz w:val="26"/>
          <w:szCs w:val="26"/>
        </w:rPr>
        <w:t xml:space="preserve">s must consider the relevant public health, antidiscrimination, privacy, industrial relations and equal employment opportunity legislation in their jurisdiction. </w:t>
      </w:r>
    </w:p>
    <w:p w14:paraId="0AC50116" w14:textId="75F0DDC7" w:rsidR="00304150" w:rsidRDefault="00304150" w:rsidP="0030415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Depending upon the jurisdiction and/or employment arrangements, employers may need to request evidence of </w:t>
      </w:r>
      <w:r w:rsidR="00B4122B">
        <w:rPr>
          <w:rFonts w:ascii="Calibri Light" w:eastAsia="Arial" w:hAnsi="Calibri Light" w:cstheme="minorBidi"/>
          <w:sz w:val="26"/>
          <w:szCs w:val="26"/>
        </w:rPr>
        <w:t xml:space="preserve">viral </w:t>
      </w:r>
      <w:r>
        <w:rPr>
          <w:rFonts w:ascii="Calibri Light" w:eastAsia="Arial" w:hAnsi="Calibri Light" w:cstheme="minorBidi"/>
          <w:sz w:val="26"/>
          <w:szCs w:val="26"/>
        </w:rPr>
        <w:t>clearance from the treating doctor.</w:t>
      </w:r>
    </w:p>
    <w:p w14:paraId="42C75C9E" w14:textId="5B5D3EDF" w:rsidR="00304150" w:rsidRDefault="00304150" w:rsidP="0030415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The protection of public health may require that health monitoring information (including viral load and relevant clinical information) may need to be released to a designated person in the workplace in the event of a potential exposure incident to assess the requirement for further public health action.</w:t>
      </w:r>
    </w:p>
    <w:p w14:paraId="2F1624D5" w14:textId="430F0128" w:rsidR="0022545B" w:rsidRPr="00C632F8" w:rsidRDefault="0022545B" w:rsidP="0022545B">
      <w:pPr>
        <w:keepNext/>
        <w:spacing w:before="240" w:after="60" w:line="259" w:lineRule="auto"/>
        <w:outlineLvl w:val="1"/>
        <w:rPr>
          <w:rFonts w:ascii="Calibri Light" w:eastAsiaTheme="minorHAnsi" w:hAnsi="Calibri Light" w:cs="Arial"/>
          <w:bCs/>
          <w:iCs/>
          <w:color w:val="548DD4" w:themeColor="text2" w:themeTint="99"/>
          <w:sz w:val="32"/>
          <w:szCs w:val="32"/>
        </w:rPr>
      </w:pPr>
      <w:r w:rsidRPr="00A05FB5">
        <w:rPr>
          <w:rFonts w:ascii="Calibri Light" w:eastAsiaTheme="minorHAnsi" w:hAnsi="Calibri Light" w:cs="Arial"/>
          <w:bCs/>
          <w:iCs/>
          <w:color w:val="548DD4" w:themeColor="text2" w:themeTint="99"/>
          <w:sz w:val="32"/>
          <w:szCs w:val="32"/>
        </w:rPr>
        <w:t xml:space="preserve">What </w:t>
      </w:r>
      <w:r w:rsidRPr="002D0878">
        <w:rPr>
          <w:rFonts w:ascii="Calibri Light" w:eastAsiaTheme="minorHAnsi" w:hAnsi="Calibri Light" w:cs="Arial"/>
          <w:bCs/>
          <w:iCs/>
          <w:color w:val="548DD4" w:themeColor="text2" w:themeTint="99"/>
          <w:sz w:val="32"/>
          <w:szCs w:val="32"/>
        </w:rPr>
        <w:t xml:space="preserve">if a </w:t>
      </w:r>
      <w:r>
        <w:rPr>
          <w:rFonts w:ascii="Calibri Light" w:eastAsiaTheme="minorHAnsi" w:hAnsi="Calibri Light" w:cs="Arial"/>
          <w:bCs/>
          <w:iCs/>
          <w:color w:val="548DD4" w:themeColor="text2" w:themeTint="99"/>
          <w:sz w:val="32"/>
          <w:szCs w:val="32"/>
        </w:rPr>
        <w:t>patient</w:t>
      </w:r>
      <w:r w:rsidRPr="002D0878">
        <w:rPr>
          <w:rFonts w:ascii="Calibri Light" w:eastAsiaTheme="minorHAnsi" w:hAnsi="Calibri Light" w:cs="Arial"/>
          <w:bCs/>
          <w:iCs/>
          <w:color w:val="548DD4" w:themeColor="text2" w:themeTint="99"/>
          <w:sz w:val="32"/>
          <w:szCs w:val="32"/>
        </w:rPr>
        <w:t xml:space="preserve"> is</w:t>
      </w:r>
      <w:r>
        <w:rPr>
          <w:rFonts w:ascii="Calibri Light" w:eastAsiaTheme="minorHAnsi" w:hAnsi="Calibri Light" w:cs="Arial"/>
          <w:bCs/>
          <w:iCs/>
          <w:color w:val="548DD4" w:themeColor="text2" w:themeTint="99"/>
          <w:sz w:val="32"/>
          <w:szCs w:val="32"/>
        </w:rPr>
        <w:t xml:space="preserve"> potentially </w:t>
      </w:r>
      <w:r w:rsidRPr="00C632F8">
        <w:rPr>
          <w:rFonts w:ascii="Calibri Light" w:eastAsiaTheme="minorHAnsi" w:hAnsi="Calibri Light" w:cs="Arial"/>
          <w:bCs/>
          <w:iCs/>
          <w:color w:val="548DD4" w:themeColor="text2" w:themeTint="99"/>
          <w:sz w:val="32"/>
          <w:szCs w:val="32"/>
        </w:rPr>
        <w:t xml:space="preserve">exposed to a </w:t>
      </w:r>
      <w:r w:rsidR="006B11AE">
        <w:rPr>
          <w:rFonts w:ascii="Calibri Light" w:eastAsiaTheme="minorHAnsi" w:hAnsi="Calibri Light" w:cs="Arial"/>
          <w:bCs/>
          <w:iCs/>
          <w:color w:val="548DD4" w:themeColor="text2" w:themeTint="99"/>
          <w:sz w:val="32"/>
          <w:szCs w:val="32"/>
        </w:rPr>
        <w:t>BBV</w:t>
      </w:r>
      <w:r w:rsidRPr="00C632F8">
        <w:rPr>
          <w:rFonts w:ascii="Calibri Light" w:eastAsiaTheme="minorHAnsi" w:hAnsi="Calibri Light" w:cs="Arial"/>
          <w:bCs/>
          <w:iCs/>
          <w:color w:val="548DD4" w:themeColor="text2" w:themeTint="99"/>
          <w:sz w:val="32"/>
          <w:szCs w:val="32"/>
        </w:rPr>
        <w:t>?</w:t>
      </w:r>
    </w:p>
    <w:p w14:paraId="1B0CBE39" w14:textId="7D1B6F30" w:rsidR="00304150" w:rsidRDefault="00304150" w:rsidP="0030415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If an occupational exposure occurs where a patient is accidentally exposed to the blood of a healthcare worker</w:t>
      </w:r>
      <w:r w:rsidR="00441865">
        <w:rPr>
          <w:rFonts w:ascii="Calibri Light" w:eastAsia="Arial" w:hAnsi="Calibri Light" w:cstheme="minorBidi"/>
          <w:sz w:val="26"/>
          <w:szCs w:val="26"/>
        </w:rPr>
        <w:t xml:space="preserve"> known to be</w:t>
      </w:r>
      <w:r>
        <w:rPr>
          <w:rFonts w:ascii="Calibri Light" w:eastAsia="Arial" w:hAnsi="Calibri Light" w:cstheme="minorBidi"/>
          <w:sz w:val="26"/>
          <w:szCs w:val="26"/>
        </w:rPr>
        <w:t xml:space="preserve"> living with a BBV</w:t>
      </w:r>
      <w:r w:rsidR="001E4182">
        <w:rPr>
          <w:rFonts w:ascii="Calibri Light" w:eastAsia="Arial" w:hAnsi="Calibri Light" w:cstheme="minorBidi"/>
          <w:sz w:val="26"/>
          <w:szCs w:val="26"/>
        </w:rPr>
        <w:t>,</w:t>
      </w:r>
      <w:r>
        <w:rPr>
          <w:rFonts w:ascii="Calibri Light" w:eastAsia="Arial" w:hAnsi="Calibri Light" w:cstheme="minorBidi"/>
          <w:sz w:val="26"/>
          <w:szCs w:val="26"/>
        </w:rPr>
        <w:t xml:space="preserve"> the incident should be reported to the appropriate person according to local protocols.</w:t>
      </w:r>
    </w:p>
    <w:p w14:paraId="103EE3DC" w14:textId="5C79D3F4" w:rsidR="00441865" w:rsidRDefault="00441865" w:rsidP="0030415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Exposures may also occur where the BBV status of the healthcare worker is unknown or not recently assessed.  These exposures should also be evaluated using existing local protocols, which may include urgent testing of the healthcare worker.</w:t>
      </w:r>
    </w:p>
    <w:p w14:paraId="52EA3FD6" w14:textId="7ED7F212" w:rsidR="00304150" w:rsidRDefault="00304150" w:rsidP="0030415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The relevant person</w:t>
      </w:r>
      <w:r w:rsidR="00441865">
        <w:rPr>
          <w:rFonts w:ascii="Calibri Light" w:eastAsia="Arial" w:hAnsi="Calibri Light" w:cstheme="minorBidi"/>
          <w:sz w:val="26"/>
          <w:szCs w:val="26"/>
        </w:rPr>
        <w:t xml:space="preserve"> </w:t>
      </w:r>
      <w:r>
        <w:rPr>
          <w:rFonts w:ascii="Calibri Light" w:eastAsia="Arial" w:hAnsi="Calibri Light" w:cstheme="minorBidi"/>
          <w:sz w:val="26"/>
          <w:szCs w:val="26"/>
        </w:rPr>
        <w:t xml:space="preserve">should evaluate the significance of the exposure and determine the follow-up required. </w:t>
      </w:r>
      <w:r w:rsidR="00441865">
        <w:rPr>
          <w:rFonts w:ascii="Calibri Light" w:eastAsia="Arial" w:hAnsi="Calibri Light" w:cstheme="minorBidi"/>
          <w:sz w:val="26"/>
          <w:szCs w:val="26"/>
        </w:rPr>
        <w:t xml:space="preserve"> In doing so, they may need to consult with local public health authorities.  </w:t>
      </w:r>
      <w:r>
        <w:rPr>
          <w:rFonts w:ascii="Calibri Light" w:eastAsia="Arial" w:hAnsi="Calibri Light" w:cstheme="minorBidi"/>
          <w:sz w:val="26"/>
          <w:szCs w:val="26"/>
        </w:rPr>
        <w:t xml:space="preserve">Health monitoring information (including viral load and relevant clinical information) may need to be released to a designated person in </w:t>
      </w:r>
      <w:r w:rsidR="006B11AE">
        <w:rPr>
          <w:rFonts w:ascii="Calibri Light" w:eastAsia="Arial" w:hAnsi="Calibri Light" w:cstheme="minorBidi"/>
          <w:sz w:val="26"/>
          <w:szCs w:val="26"/>
        </w:rPr>
        <w:t xml:space="preserve">the </w:t>
      </w:r>
      <w:r>
        <w:rPr>
          <w:rFonts w:ascii="Calibri Light" w:eastAsia="Arial" w:hAnsi="Calibri Light" w:cstheme="minorBidi"/>
          <w:sz w:val="26"/>
          <w:szCs w:val="26"/>
        </w:rPr>
        <w:t>workplace to assess the requirement for further public health action.</w:t>
      </w:r>
    </w:p>
    <w:p w14:paraId="365A2898" w14:textId="0668A10D" w:rsidR="0022545B" w:rsidRPr="00BF3652" w:rsidRDefault="0022545B" w:rsidP="0022545B">
      <w:pPr>
        <w:spacing w:after="240" w:line="280" w:lineRule="atLeast"/>
        <w:rPr>
          <w:rFonts w:ascii="Calibri Light" w:eastAsiaTheme="minorHAnsi" w:hAnsi="Calibri Light" w:cs="Arial"/>
          <w:bCs/>
          <w:iCs/>
          <w:color w:val="548DD4" w:themeColor="text2" w:themeTint="99"/>
          <w:sz w:val="32"/>
          <w:szCs w:val="32"/>
        </w:rPr>
      </w:pPr>
      <w:r w:rsidRPr="00BF3652">
        <w:rPr>
          <w:rFonts w:ascii="Calibri Light" w:eastAsiaTheme="minorHAnsi" w:hAnsi="Calibri Light" w:cs="Arial"/>
          <w:bCs/>
          <w:iCs/>
          <w:color w:val="548DD4" w:themeColor="text2" w:themeTint="99"/>
          <w:sz w:val="32"/>
          <w:szCs w:val="32"/>
        </w:rPr>
        <w:t xml:space="preserve">Why is </w:t>
      </w:r>
      <w:r w:rsidR="00573A52">
        <w:rPr>
          <w:rFonts w:ascii="Calibri Light" w:eastAsiaTheme="minorHAnsi" w:hAnsi="Calibri Light" w:cs="Arial"/>
          <w:bCs/>
          <w:iCs/>
          <w:color w:val="548DD4" w:themeColor="text2" w:themeTint="99"/>
          <w:sz w:val="32"/>
          <w:szCs w:val="32"/>
        </w:rPr>
        <w:t xml:space="preserve">regular </w:t>
      </w:r>
      <w:r>
        <w:rPr>
          <w:rFonts w:ascii="Calibri Light" w:eastAsiaTheme="minorHAnsi" w:hAnsi="Calibri Light" w:cs="Arial"/>
          <w:bCs/>
          <w:iCs/>
          <w:color w:val="548DD4" w:themeColor="text2" w:themeTint="99"/>
          <w:sz w:val="32"/>
          <w:szCs w:val="32"/>
        </w:rPr>
        <w:t xml:space="preserve">BBV </w:t>
      </w:r>
      <w:r w:rsidRPr="00BF3652">
        <w:rPr>
          <w:rFonts w:ascii="Calibri Light" w:eastAsiaTheme="minorHAnsi" w:hAnsi="Calibri Light" w:cs="Arial"/>
          <w:bCs/>
          <w:iCs/>
          <w:color w:val="548DD4" w:themeColor="text2" w:themeTint="99"/>
          <w:sz w:val="32"/>
          <w:szCs w:val="32"/>
        </w:rPr>
        <w:t xml:space="preserve">testing </w:t>
      </w:r>
      <w:r w:rsidR="00573A52">
        <w:rPr>
          <w:rFonts w:ascii="Calibri Light" w:eastAsiaTheme="minorHAnsi" w:hAnsi="Calibri Light" w:cs="Arial"/>
          <w:bCs/>
          <w:iCs/>
          <w:color w:val="548DD4" w:themeColor="text2" w:themeTint="99"/>
          <w:sz w:val="32"/>
          <w:szCs w:val="32"/>
        </w:rPr>
        <w:t>important</w:t>
      </w:r>
      <w:r w:rsidRPr="00BF3652">
        <w:rPr>
          <w:rFonts w:ascii="Calibri Light" w:eastAsiaTheme="minorHAnsi" w:hAnsi="Calibri Light" w:cs="Arial"/>
          <w:bCs/>
          <w:iCs/>
          <w:color w:val="548DD4" w:themeColor="text2" w:themeTint="99"/>
          <w:sz w:val="32"/>
          <w:szCs w:val="32"/>
        </w:rPr>
        <w:t xml:space="preserve">? </w:t>
      </w:r>
    </w:p>
    <w:p w14:paraId="3BD41727" w14:textId="5D36B518" w:rsidR="0022545B" w:rsidRDefault="0022545B" w:rsidP="0022545B">
      <w:pPr>
        <w:spacing w:after="240" w:line="280" w:lineRule="atLeast"/>
        <w:rPr>
          <w:rFonts w:ascii="Calibri Light" w:eastAsiaTheme="minorHAnsi" w:hAnsi="Calibri Light"/>
          <w:sz w:val="26"/>
          <w:szCs w:val="26"/>
        </w:rPr>
      </w:pPr>
      <w:r>
        <w:rPr>
          <w:rFonts w:ascii="Calibri Light" w:eastAsiaTheme="minorHAnsi" w:hAnsi="Calibri Light"/>
          <w:sz w:val="26"/>
          <w:szCs w:val="26"/>
        </w:rPr>
        <w:t>BBV infections can be asymptomatic or only cause minor symptoms, so it is possible to be unknowingly infected for extended periods. Delay in diagnosis can lead to the development of health complications in the healthcare worker, and increase the risk of transmission to</w:t>
      </w:r>
      <w:r w:rsidR="00B4122B">
        <w:rPr>
          <w:rFonts w:ascii="Calibri Light" w:eastAsiaTheme="minorHAnsi" w:hAnsi="Calibri Light"/>
          <w:sz w:val="26"/>
          <w:szCs w:val="26"/>
        </w:rPr>
        <w:t xml:space="preserve"> family, other close contacts, and</w:t>
      </w:r>
      <w:r>
        <w:rPr>
          <w:rFonts w:ascii="Calibri Light" w:eastAsiaTheme="minorHAnsi" w:hAnsi="Calibri Light"/>
          <w:sz w:val="26"/>
          <w:szCs w:val="26"/>
        </w:rPr>
        <w:t xml:space="preserve"> patients. </w:t>
      </w:r>
    </w:p>
    <w:p w14:paraId="5288F507" w14:textId="7D649C17" w:rsidR="0022545B" w:rsidRDefault="0022545B" w:rsidP="0022545B">
      <w:pPr>
        <w:spacing w:after="240" w:line="280" w:lineRule="atLeast"/>
        <w:rPr>
          <w:rFonts w:ascii="Calibri Light" w:eastAsiaTheme="minorHAnsi" w:hAnsi="Calibri Light"/>
          <w:sz w:val="26"/>
          <w:szCs w:val="26"/>
        </w:rPr>
      </w:pPr>
      <w:r>
        <w:rPr>
          <w:rFonts w:ascii="Calibri Light" w:eastAsiaTheme="minorHAnsi" w:hAnsi="Calibri Light"/>
          <w:sz w:val="26"/>
          <w:szCs w:val="26"/>
        </w:rPr>
        <w:t xml:space="preserve">Regular testing and early diagnosis of a BBV allows appropriate timely management and support, enables prompt treatment, reduces the risk of complications due to disease progression, and reduces the risk of transmission.  </w:t>
      </w:r>
    </w:p>
    <w:p w14:paraId="17C515DE" w14:textId="51185374" w:rsidR="00304150" w:rsidRDefault="00304150" w:rsidP="0022545B">
      <w:pPr>
        <w:spacing w:after="240" w:line="280" w:lineRule="atLeast"/>
        <w:rPr>
          <w:rFonts w:ascii="Calibri Light" w:eastAsiaTheme="minorHAnsi" w:hAnsi="Calibri Light"/>
          <w:sz w:val="26"/>
          <w:szCs w:val="26"/>
        </w:rPr>
      </w:pPr>
      <w:r>
        <w:rPr>
          <w:rFonts w:ascii="Calibri Light" w:eastAsiaTheme="minorHAnsi" w:hAnsi="Calibri Light"/>
          <w:sz w:val="26"/>
          <w:szCs w:val="26"/>
        </w:rPr>
        <w:t xml:space="preserve">It was recognised that excluding </w:t>
      </w:r>
      <w:r w:rsidR="006B11AE">
        <w:rPr>
          <w:rFonts w:ascii="Calibri Light" w:eastAsiaTheme="minorHAnsi" w:hAnsi="Calibri Light"/>
          <w:sz w:val="26"/>
          <w:szCs w:val="26"/>
        </w:rPr>
        <w:t>healthcare workers</w:t>
      </w:r>
      <w:r>
        <w:rPr>
          <w:rFonts w:ascii="Calibri Light" w:eastAsiaTheme="minorHAnsi" w:hAnsi="Calibri Light"/>
          <w:sz w:val="26"/>
          <w:szCs w:val="26"/>
        </w:rPr>
        <w:t xml:space="preserve"> living with a BBV from performing EPPs </w:t>
      </w:r>
      <w:r w:rsidR="009707F1">
        <w:rPr>
          <w:rFonts w:ascii="Calibri Light" w:eastAsiaTheme="minorHAnsi" w:hAnsi="Calibri Light"/>
          <w:sz w:val="26"/>
          <w:szCs w:val="26"/>
        </w:rPr>
        <w:t xml:space="preserve">was not justified based on the risk of transmission and </w:t>
      </w:r>
      <w:r>
        <w:rPr>
          <w:rFonts w:ascii="Calibri Light" w:eastAsiaTheme="minorHAnsi" w:hAnsi="Calibri Light"/>
          <w:sz w:val="26"/>
          <w:szCs w:val="26"/>
        </w:rPr>
        <w:t xml:space="preserve">could act as a deterrent to appropriate and timely testing and treatment. In combination with new treatments for BBVs, the new Guidelines offer a pathway to return to work performing EPPs which mitigates the already very </w:t>
      </w:r>
      <w:r w:rsidR="00573A52">
        <w:rPr>
          <w:rFonts w:ascii="Calibri Light" w:eastAsiaTheme="minorHAnsi" w:hAnsi="Calibri Light"/>
          <w:sz w:val="26"/>
          <w:szCs w:val="26"/>
        </w:rPr>
        <w:t xml:space="preserve">low </w:t>
      </w:r>
      <w:r>
        <w:rPr>
          <w:rFonts w:ascii="Calibri Light" w:eastAsiaTheme="minorHAnsi" w:hAnsi="Calibri Light"/>
          <w:sz w:val="26"/>
          <w:szCs w:val="26"/>
        </w:rPr>
        <w:t xml:space="preserve">risk to patients. </w:t>
      </w:r>
    </w:p>
    <w:p w14:paraId="6B2D00C8" w14:textId="77777777" w:rsidR="0022545B" w:rsidRPr="002D0878" w:rsidRDefault="0022545B" w:rsidP="0022545B">
      <w:pPr>
        <w:spacing w:after="160" w:line="259" w:lineRule="auto"/>
        <w:rPr>
          <w:rFonts w:ascii="Calibri Light" w:eastAsia="Arial" w:hAnsi="Calibri Light" w:cstheme="minorBidi"/>
          <w:sz w:val="26"/>
          <w:szCs w:val="26"/>
        </w:rPr>
      </w:pPr>
      <w:r w:rsidRPr="00C632F8">
        <w:rPr>
          <w:rFonts w:ascii="Calibri Light" w:eastAsiaTheme="minorHAnsi" w:hAnsi="Calibri Light" w:cs="Arial"/>
          <w:bCs/>
          <w:iCs/>
          <w:color w:val="548DD4" w:themeColor="text2" w:themeTint="99"/>
          <w:sz w:val="32"/>
          <w:szCs w:val="32"/>
        </w:rPr>
        <w:t xml:space="preserve">What happens if </w:t>
      </w:r>
      <w:r w:rsidRPr="002D0878">
        <w:rPr>
          <w:rFonts w:ascii="Calibri Light" w:eastAsiaTheme="minorHAnsi" w:hAnsi="Calibri Light" w:cs="Arial"/>
          <w:bCs/>
          <w:iCs/>
          <w:color w:val="548DD4" w:themeColor="text2" w:themeTint="99"/>
          <w:sz w:val="32"/>
          <w:szCs w:val="32"/>
        </w:rPr>
        <w:t xml:space="preserve">a </w:t>
      </w:r>
      <w:r>
        <w:rPr>
          <w:rFonts w:ascii="Calibri Light" w:eastAsiaTheme="minorHAnsi" w:hAnsi="Calibri Light" w:cs="Arial"/>
          <w:bCs/>
          <w:iCs/>
          <w:color w:val="548DD4" w:themeColor="text2" w:themeTint="99"/>
          <w:sz w:val="32"/>
          <w:szCs w:val="32"/>
        </w:rPr>
        <w:t>healthcare worker does n</w:t>
      </w:r>
      <w:r w:rsidRPr="00C632F8">
        <w:rPr>
          <w:rFonts w:ascii="Calibri Light" w:eastAsiaTheme="minorHAnsi" w:hAnsi="Calibri Light" w:cs="Arial"/>
          <w:bCs/>
          <w:iCs/>
          <w:color w:val="548DD4" w:themeColor="text2" w:themeTint="99"/>
          <w:sz w:val="32"/>
          <w:szCs w:val="32"/>
        </w:rPr>
        <w:t>ot comply with these Guidelines?</w:t>
      </w:r>
    </w:p>
    <w:p w14:paraId="3883E06F" w14:textId="41A69E06" w:rsidR="0022545B" w:rsidRDefault="00AD398F" w:rsidP="0022545B">
      <w:pPr>
        <w:spacing w:after="160" w:line="259" w:lineRule="auto"/>
        <w:rPr>
          <w:rFonts w:ascii="Calibri Light" w:eastAsiaTheme="minorHAnsi" w:hAnsi="Calibri Light"/>
          <w:sz w:val="26"/>
          <w:szCs w:val="26"/>
        </w:rPr>
      </w:pPr>
      <w:r>
        <w:rPr>
          <w:rFonts w:ascii="Calibri Light" w:eastAsiaTheme="minorHAnsi" w:hAnsi="Calibri Light"/>
          <w:sz w:val="26"/>
          <w:szCs w:val="26"/>
        </w:rPr>
        <w:t>A</w:t>
      </w:r>
      <w:r w:rsidR="0022545B">
        <w:rPr>
          <w:rFonts w:ascii="Calibri Light" w:eastAsiaTheme="minorHAnsi" w:hAnsi="Calibri Light"/>
          <w:sz w:val="26"/>
          <w:szCs w:val="26"/>
        </w:rPr>
        <w:t xml:space="preserve"> healthcare worker performing EPPs who does not comply with the guidelines </w:t>
      </w:r>
      <w:r w:rsidR="00FC7F7A">
        <w:rPr>
          <w:rFonts w:ascii="Calibri Light" w:eastAsiaTheme="minorHAnsi" w:hAnsi="Calibri Light"/>
          <w:sz w:val="26"/>
          <w:szCs w:val="26"/>
        </w:rPr>
        <w:t>should</w:t>
      </w:r>
      <w:r w:rsidR="0022545B">
        <w:rPr>
          <w:rFonts w:ascii="Calibri Light" w:eastAsiaTheme="minorHAnsi" w:hAnsi="Calibri Light"/>
          <w:sz w:val="26"/>
          <w:szCs w:val="26"/>
        </w:rPr>
        <w:t xml:space="preserve"> be </w:t>
      </w:r>
      <w:r w:rsidR="00573A52">
        <w:rPr>
          <w:rFonts w:ascii="Calibri Light" w:eastAsiaTheme="minorHAnsi" w:hAnsi="Calibri Light"/>
          <w:sz w:val="26"/>
          <w:szCs w:val="26"/>
        </w:rPr>
        <w:t xml:space="preserve">notified </w:t>
      </w:r>
      <w:r w:rsidR="0022545B">
        <w:rPr>
          <w:rFonts w:ascii="Calibri Light" w:eastAsiaTheme="minorHAnsi" w:hAnsi="Calibri Light"/>
          <w:sz w:val="26"/>
          <w:szCs w:val="26"/>
        </w:rPr>
        <w:t>to AHPRA and the relevant board.</w:t>
      </w:r>
    </w:p>
    <w:p w14:paraId="62D2FC08" w14:textId="0C7FAE68" w:rsidR="00393B27" w:rsidRDefault="00393B27" w:rsidP="006B11AE">
      <w:pPr>
        <w:keepNext/>
        <w:keepLines/>
        <w:spacing w:before="40" w:after="240"/>
        <w:outlineLvl w:val="1"/>
        <w:rPr>
          <w:rFonts w:ascii="Calibri Light" w:eastAsia="Arial" w:hAnsi="Calibri Light" w:cstheme="minorBidi"/>
          <w:sz w:val="26"/>
          <w:szCs w:val="26"/>
        </w:rPr>
      </w:pPr>
      <w:r>
        <w:rPr>
          <w:rFonts w:ascii="Calibri Light" w:eastAsia="Arial" w:hAnsi="Calibri Light" w:cstheme="minorBidi"/>
          <w:sz w:val="26"/>
          <w:szCs w:val="26"/>
        </w:rPr>
        <w:t xml:space="preserve">Under public health legislation, in order to protect the public, a </w:t>
      </w:r>
      <w:r w:rsidR="006B11AE">
        <w:rPr>
          <w:rFonts w:ascii="Calibri Light" w:eastAsia="Arial" w:hAnsi="Calibri Light" w:cstheme="minorBidi"/>
          <w:sz w:val="26"/>
          <w:szCs w:val="26"/>
        </w:rPr>
        <w:t xml:space="preserve">healthcare worker </w:t>
      </w:r>
      <w:r>
        <w:rPr>
          <w:rFonts w:ascii="Calibri Light" w:eastAsia="Arial" w:hAnsi="Calibri Light" w:cstheme="minorBidi"/>
          <w:sz w:val="26"/>
          <w:szCs w:val="26"/>
        </w:rPr>
        <w:t>who is not in</w:t>
      </w:r>
      <w:r w:rsidR="003566A1">
        <w:rPr>
          <w:rFonts w:ascii="Calibri Light" w:eastAsia="Arial" w:hAnsi="Calibri Light" w:cstheme="minorBidi"/>
          <w:sz w:val="26"/>
          <w:szCs w:val="26"/>
        </w:rPr>
        <w:t xml:space="preserve"> compliance with the G</w:t>
      </w:r>
      <w:r>
        <w:rPr>
          <w:rFonts w:ascii="Calibri Light" w:eastAsia="Arial" w:hAnsi="Calibri Light" w:cstheme="minorBidi"/>
          <w:sz w:val="26"/>
          <w:szCs w:val="26"/>
        </w:rPr>
        <w:t xml:space="preserve">uidelines can be </w:t>
      </w:r>
      <w:r w:rsidR="00573A52">
        <w:rPr>
          <w:rFonts w:ascii="Calibri Light" w:eastAsia="Arial" w:hAnsi="Calibri Light" w:cstheme="minorBidi"/>
          <w:sz w:val="26"/>
          <w:szCs w:val="26"/>
        </w:rPr>
        <w:t xml:space="preserve">notified </w:t>
      </w:r>
      <w:r>
        <w:rPr>
          <w:rFonts w:ascii="Calibri Light" w:eastAsia="Arial" w:hAnsi="Calibri Light" w:cstheme="minorBidi"/>
          <w:sz w:val="26"/>
          <w:szCs w:val="26"/>
        </w:rPr>
        <w:t>to the relevant area of jurisdictional health department</w:t>
      </w:r>
      <w:r w:rsidR="00D06E80">
        <w:rPr>
          <w:rFonts w:ascii="Calibri Light" w:eastAsia="Arial" w:hAnsi="Calibri Light" w:cstheme="minorBidi"/>
          <w:sz w:val="26"/>
          <w:szCs w:val="26"/>
        </w:rPr>
        <w:t>.</w:t>
      </w:r>
    </w:p>
    <w:p w14:paraId="28CD2567" w14:textId="15703D49" w:rsidR="00393B27" w:rsidRPr="008D5AF8" w:rsidRDefault="00393B27" w:rsidP="0022545B">
      <w:pPr>
        <w:spacing w:after="160" w:line="259" w:lineRule="auto"/>
        <w:rPr>
          <w:rFonts w:ascii="Calibri Light" w:eastAsiaTheme="minorHAnsi" w:hAnsi="Calibri Light" w:cs="Arial"/>
          <w:bCs/>
          <w:iCs/>
          <w:color w:val="548DD4" w:themeColor="text2" w:themeTint="99"/>
          <w:sz w:val="32"/>
          <w:szCs w:val="32"/>
        </w:rPr>
      </w:pPr>
      <w:r w:rsidRPr="008D5AF8">
        <w:rPr>
          <w:rFonts w:ascii="Calibri Light" w:eastAsiaTheme="minorHAnsi" w:hAnsi="Calibri Light" w:cs="Arial"/>
          <w:bCs/>
          <w:iCs/>
          <w:color w:val="548DD4" w:themeColor="text2" w:themeTint="99"/>
          <w:sz w:val="32"/>
          <w:szCs w:val="32"/>
        </w:rPr>
        <w:t>Are healthcare students covered under the Guidelines?</w:t>
      </w:r>
    </w:p>
    <w:p w14:paraId="79B310C5" w14:textId="0022ACF8" w:rsidR="00393B27" w:rsidRPr="003059D8" w:rsidRDefault="00393B27" w:rsidP="0022545B">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Healthcare students who perform EPPs are required to comply with the </w:t>
      </w:r>
      <w:r w:rsidR="006B11AE">
        <w:rPr>
          <w:rFonts w:ascii="Calibri Light" w:eastAsiaTheme="minorHAnsi" w:hAnsi="Calibri Light"/>
          <w:sz w:val="26"/>
          <w:szCs w:val="26"/>
        </w:rPr>
        <w:t>G</w:t>
      </w:r>
      <w:r>
        <w:rPr>
          <w:rFonts w:ascii="Calibri Light" w:eastAsiaTheme="minorHAnsi" w:hAnsi="Calibri Light"/>
          <w:sz w:val="26"/>
          <w:szCs w:val="26"/>
        </w:rPr>
        <w:t xml:space="preserve">uidelines. </w:t>
      </w:r>
      <w:r w:rsidR="00C451F6">
        <w:rPr>
          <w:rFonts w:ascii="Calibri Light" w:eastAsiaTheme="minorHAnsi" w:hAnsi="Calibri Light"/>
          <w:sz w:val="26"/>
          <w:szCs w:val="26"/>
        </w:rPr>
        <w:t>For</w:t>
      </w:r>
      <w:r>
        <w:rPr>
          <w:rFonts w:ascii="Calibri Light" w:eastAsiaTheme="minorHAnsi" w:hAnsi="Calibri Light"/>
          <w:sz w:val="26"/>
          <w:szCs w:val="26"/>
        </w:rPr>
        <w:t xml:space="preserve"> </w:t>
      </w:r>
      <w:r w:rsidR="00C451F6">
        <w:rPr>
          <w:rFonts w:ascii="Calibri Light" w:eastAsiaTheme="minorHAnsi" w:hAnsi="Calibri Light"/>
          <w:sz w:val="26"/>
          <w:szCs w:val="26"/>
        </w:rPr>
        <w:t>more information see</w:t>
      </w:r>
      <w:r>
        <w:rPr>
          <w:rFonts w:ascii="Calibri Light" w:eastAsiaTheme="minorHAnsi" w:hAnsi="Calibri Light"/>
          <w:sz w:val="26"/>
          <w:szCs w:val="26"/>
        </w:rPr>
        <w:t xml:space="preserve"> </w:t>
      </w:r>
      <w:hyperlink r:id="rId15" w:history="1">
        <w:r w:rsidRPr="00C451F6">
          <w:rPr>
            <w:rStyle w:val="Hyperlink"/>
            <w:rFonts w:ascii="Calibri Light" w:eastAsiaTheme="minorHAnsi" w:hAnsi="Calibri Light"/>
            <w:sz w:val="26"/>
            <w:szCs w:val="26"/>
          </w:rPr>
          <w:t>healthcare student</w:t>
        </w:r>
        <w:r w:rsidR="00C451F6" w:rsidRPr="00C451F6">
          <w:rPr>
            <w:rStyle w:val="Hyperlink"/>
            <w:rFonts w:ascii="Calibri Light" w:eastAsiaTheme="minorHAnsi" w:hAnsi="Calibri Light"/>
            <w:sz w:val="26"/>
            <w:szCs w:val="26"/>
          </w:rPr>
          <w:t xml:space="preserve"> information sheet</w:t>
        </w:r>
      </w:hyperlink>
      <w:r>
        <w:rPr>
          <w:rFonts w:ascii="Calibri Light" w:eastAsiaTheme="minorHAnsi" w:hAnsi="Calibri Light"/>
          <w:sz w:val="26"/>
          <w:szCs w:val="26"/>
        </w:rPr>
        <w:t>.</w:t>
      </w:r>
    </w:p>
    <w:p w14:paraId="08209AFF" w14:textId="77777777" w:rsidR="00C451F6" w:rsidRDefault="0022545B" w:rsidP="00C451F6">
      <w:pPr>
        <w:keepNext/>
        <w:spacing w:before="240" w:after="60" w:line="259" w:lineRule="auto"/>
        <w:outlineLvl w:val="1"/>
        <w:rPr>
          <w:rFonts w:ascii="Calibri Light" w:eastAsiaTheme="minorHAnsi" w:hAnsi="Calibri Light" w:cs="Arial"/>
          <w:bCs/>
          <w:iCs/>
          <w:color w:val="548DD4" w:themeColor="text2" w:themeTint="99"/>
          <w:sz w:val="32"/>
          <w:szCs w:val="32"/>
        </w:rPr>
      </w:pPr>
      <w:r w:rsidRPr="002D0878">
        <w:rPr>
          <w:rFonts w:ascii="Calibri Light" w:eastAsiaTheme="minorHAnsi" w:hAnsi="Calibri Light" w:cs="Arial"/>
          <w:bCs/>
          <w:iCs/>
          <w:color w:val="548DD4" w:themeColor="text2" w:themeTint="99"/>
          <w:sz w:val="32"/>
          <w:szCs w:val="32"/>
        </w:rPr>
        <w:t>Where can I get more information?</w:t>
      </w:r>
    </w:p>
    <w:p w14:paraId="2EA96520" w14:textId="2FD95CD7" w:rsidR="0022545B" w:rsidRPr="00C451F6" w:rsidRDefault="00C451F6" w:rsidP="00C451F6">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Theme="minorHAnsi" w:hAnsi="Calibri Light"/>
          <w:sz w:val="26"/>
          <w:szCs w:val="26"/>
        </w:rPr>
        <w:t xml:space="preserve">Additional information can be found in the </w:t>
      </w:r>
      <w:hyperlink r:id="rId16" w:history="1">
        <w:r w:rsidR="0022545B" w:rsidRPr="00C451F6">
          <w:rPr>
            <w:rStyle w:val="Hyperlink"/>
            <w:rFonts w:ascii="Calibri Light" w:eastAsiaTheme="minorHAnsi" w:hAnsi="Calibri Light"/>
            <w:sz w:val="26"/>
            <w:szCs w:val="26"/>
          </w:rPr>
          <w:t xml:space="preserve">Guidelines </w:t>
        </w:r>
        <w:r w:rsidR="00393B27" w:rsidRPr="00C451F6">
          <w:rPr>
            <w:rStyle w:val="Hyperlink"/>
            <w:rFonts w:ascii="Calibri Light" w:eastAsiaTheme="minorHAnsi" w:hAnsi="Calibri Light"/>
            <w:sz w:val="26"/>
            <w:szCs w:val="26"/>
          </w:rPr>
          <w:t>and other supporting</w:t>
        </w:r>
        <w:r w:rsidRPr="00C451F6">
          <w:rPr>
            <w:rStyle w:val="Hyperlink"/>
            <w:rFonts w:ascii="Calibri Light" w:eastAsiaTheme="minorHAnsi" w:hAnsi="Calibri Light"/>
            <w:sz w:val="26"/>
            <w:szCs w:val="26"/>
          </w:rPr>
          <w:t xml:space="preserve"> material</w:t>
        </w:r>
      </w:hyperlink>
      <w:r>
        <w:rPr>
          <w:rFonts w:ascii="Calibri Light" w:eastAsiaTheme="minorHAnsi" w:hAnsi="Calibri Light"/>
          <w:sz w:val="26"/>
          <w:szCs w:val="26"/>
        </w:rPr>
        <w:t>.</w:t>
      </w:r>
    </w:p>
    <w:p w14:paraId="33993FB0" w14:textId="0460CA0E" w:rsidR="0022545B" w:rsidRDefault="0022545B" w:rsidP="0022545B">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Support and advice to</w:t>
      </w:r>
      <w:r>
        <w:rPr>
          <w:rFonts w:ascii="Calibri Light" w:eastAsiaTheme="minorHAnsi" w:hAnsi="Calibri Light"/>
          <w:sz w:val="26"/>
          <w:szCs w:val="26"/>
        </w:rPr>
        <w:t xml:space="preserve"> </w:t>
      </w:r>
      <w:r w:rsidRPr="003059D8">
        <w:rPr>
          <w:rFonts w:ascii="Calibri Light" w:eastAsiaTheme="minorHAnsi" w:hAnsi="Calibri Light"/>
          <w:sz w:val="26"/>
          <w:szCs w:val="26"/>
        </w:rPr>
        <w:t xml:space="preserve">healthcare workers living with a </w:t>
      </w:r>
      <w:r w:rsidR="006B11AE">
        <w:rPr>
          <w:rFonts w:ascii="Calibri Light" w:eastAsiaTheme="minorHAnsi" w:hAnsi="Calibri Light"/>
          <w:sz w:val="26"/>
          <w:szCs w:val="26"/>
        </w:rPr>
        <w:t>BBV</w:t>
      </w:r>
      <w:r w:rsidRPr="003059D8">
        <w:rPr>
          <w:rFonts w:ascii="Calibri Light" w:eastAsiaTheme="minorHAnsi" w:hAnsi="Calibri Light"/>
          <w:sz w:val="26"/>
          <w:szCs w:val="26"/>
        </w:rPr>
        <w:t xml:space="preserve"> is available from their relevant specialist college. </w:t>
      </w:r>
    </w:p>
    <w:p w14:paraId="4502D8C2" w14:textId="7953135B" w:rsidR="00393B27" w:rsidRPr="003059D8" w:rsidRDefault="00393B27" w:rsidP="0022545B">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Jurisdictions are able to provide advice regarding relevant local regulations or legislation. </w:t>
      </w:r>
    </w:p>
    <w:p w14:paraId="0500A4FB" w14:textId="77777777" w:rsidR="00003743" w:rsidRPr="0022545B" w:rsidRDefault="00003743" w:rsidP="0022545B"/>
    <w:sectPr w:rsidR="00003743" w:rsidRPr="0022545B" w:rsidSect="00BF1526">
      <w:head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31D5D" w14:textId="77777777" w:rsidR="003D214E" w:rsidRDefault="003D214E" w:rsidP="003059D8">
      <w:r>
        <w:separator/>
      </w:r>
    </w:p>
  </w:endnote>
  <w:endnote w:type="continuationSeparator" w:id="0">
    <w:p w14:paraId="73A99CFB" w14:textId="77777777" w:rsidR="003D214E" w:rsidRDefault="003D214E" w:rsidP="0030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94D3" w14:textId="77777777" w:rsidR="003D214E" w:rsidRDefault="003D214E" w:rsidP="003059D8">
      <w:r>
        <w:separator/>
      </w:r>
    </w:p>
  </w:footnote>
  <w:footnote w:type="continuationSeparator" w:id="0">
    <w:p w14:paraId="1AD9BEBA" w14:textId="77777777" w:rsidR="003D214E" w:rsidRDefault="003D214E" w:rsidP="0030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A668" w14:textId="7EE3DC94" w:rsidR="00BF1526" w:rsidRDefault="004934AB" w:rsidP="004934AB">
    <w:pPr>
      <w:pStyle w:val="Header"/>
      <w:tabs>
        <w:tab w:val="clear" w:pos="4513"/>
        <w:tab w:val="clear" w:pos="9026"/>
        <w:tab w:val="left" w:pos="7112"/>
      </w:tabs>
      <w:jc w:val="right"/>
    </w:pPr>
    <w:r>
      <w:rPr>
        <w:noProof/>
        <w:sz w:val="20"/>
        <w:szCs w:val="20"/>
        <w:lang w:eastAsia="en-AU"/>
      </w:rPr>
      <w:drawing>
        <wp:inline distT="0" distB="0" distL="0" distR="0" wp14:anchorId="429D6804" wp14:editId="4FB61D96">
          <wp:extent cx="1295400" cy="1666875"/>
          <wp:effectExtent l="0" t="0" r="0" b="9525"/>
          <wp:docPr id="1" name="Picture 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B32"/>
    <w:multiLevelType w:val="hybridMultilevel"/>
    <w:tmpl w:val="7B68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D42AC1"/>
    <w:multiLevelType w:val="hybridMultilevel"/>
    <w:tmpl w:val="D972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39C02FE"/>
    <w:multiLevelType w:val="hybridMultilevel"/>
    <w:tmpl w:val="E7FEA7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65F64D3"/>
    <w:multiLevelType w:val="hybridMultilevel"/>
    <w:tmpl w:val="62F27C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9240C72"/>
    <w:multiLevelType w:val="hybridMultilevel"/>
    <w:tmpl w:val="63D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B17B67"/>
    <w:multiLevelType w:val="hybridMultilevel"/>
    <w:tmpl w:val="32460196"/>
    <w:lvl w:ilvl="0" w:tplc="D3E21D8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BE31F07"/>
    <w:multiLevelType w:val="hybridMultilevel"/>
    <w:tmpl w:val="1E70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D8"/>
    <w:rsid w:val="00000F21"/>
    <w:rsid w:val="00003743"/>
    <w:rsid w:val="00047A09"/>
    <w:rsid w:val="00067456"/>
    <w:rsid w:val="00085A81"/>
    <w:rsid w:val="00090974"/>
    <w:rsid w:val="00117D63"/>
    <w:rsid w:val="00167A7B"/>
    <w:rsid w:val="001A0FE3"/>
    <w:rsid w:val="001B3443"/>
    <w:rsid w:val="001B4464"/>
    <w:rsid w:val="001E4182"/>
    <w:rsid w:val="0022545B"/>
    <w:rsid w:val="00237B22"/>
    <w:rsid w:val="00280302"/>
    <w:rsid w:val="002C43AA"/>
    <w:rsid w:val="002F3AE3"/>
    <w:rsid w:val="00304150"/>
    <w:rsid w:val="003059D8"/>
    <w:rsid w:val="0030786C"/>
    <w:rsid w:val="003140EF"/>
    <w:rsid w:val="00314CA9"/>
    <w:rsid w:val="00317B0A"/>
    <w:rsid w:val="003401A5"/>
    <w:rsid w:val="003566A1"/>
    <w:rsid w:val="00366633"/>
    <w:rsid w:val="00393B27"/>
    <w:rsid w:val="003D17F9"/>
    <w:rsid w:val="003D214E"/>
    <w:rsid w:val="00412CD8"/>
    <w:rsid w:val="00441865"/>
    <w:rsid w:val="004641A1"/>
    <w:rsid w:val="004867E2"/>
    <w:rsid w:val="004934AB"/>
    <w:rsid w:val="004F4BAF"/>
    <w:rsid w:val="005518CA"/>
    <w:rsid w:val="005574D5"/>
    <w:rsid w:val="00573A52"/>
    <w:rsid w:val="005966EB"/>
    <w:rsid w:val="005A0CFA"/>
    <w:rsid w:val="006155D0"/>
    <w:rsid w:val="00685142"/>
    <w:rsid w:val="006A290A"/>
    <w:rsid w:val="006B11AE"/>
    <w:rsid w:val="006D1A9E"/>
    <w:rsid w:val="00753A41"/>
    <w:rsid w:val="007E1137"/>
    <w:rsid w:val="008264EB"/>
    <w:rsid w:val="008D5AF8"/>
    <w:rsid w:val="008E3607"/>
    <w:rsid w:val="00922A6B"/>
    <w:rsid w:val="009250D2"/>
    <w:rsid w:val="009707F1"/>
    <w:rsid w:val="00992F87"/>
    <w:rsid w:val="00A05FB5"/>
    <w:rsid w:val="00A4512D"/>
    <w:rsid w:val="00A705AF"/>
    <w:rsid w:val="00A90504"/>
    <w:rsid w:val="00AD398F"/>
    <w:rsid w:val="00B0782D"/>
    <w:rsid w:val="00B4122B"/>
    <w:rsid w:val="00B42851"/>
    <w:rsid w:val="00B5097E"/>
    <w:rsid w:val="00B779BB"/>
    <w:rsid w:val="00B8684A"/>
    <w:rsid w:val="00B9008D"/>
    <w:rsid w:val="00B938F7"/>
    <w:rsid w:val="00BC50FC"/>
    <w:rsid w:val="00BF1526"/>
    <w:rsid w:val="00BF3652"/>
    <w:rsid w:val="00C451F6"/>
    <w:rsid w:val="00C632F8"/>
    <w:rsid w:val="00CB5B1A"/>
    <w:rsid w:val="00CF3BB4"/>
    <w:rsid w:val="00D06E80"/>
    <w:rsid w:val="00D5638C"/>
    <w:rsid w:val="00D669FE"/>
    <w:rsid w:val="00D94302"/>
    <w:rsid w:val="00D95BF3"/>
    <w:rsid w:val="00E057DD"/>
    <w:rsid w:val="00EA6D30"/>
    <w:rsid w:val="00EB625D"/>
    <w:rsid w:val="00F23686"/>
    <w:rsid w:val="00F56116"/>
    <w:rsid w:val="00FC7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500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uiPriority w:val="99"/>
    <w:rsid w:val="003059D8"/>
    <w:pPr>
      <w:tabs>
        <w:tab w:val="center" w:pos="4513"/>
        <w:tab w:val="right" w:pos="9026"/>
      </w:tabs>
    </w:pPr>
  </w:style>
  <w:style w:type="character" w:customStyle="1" w:styleId="FooterChar">
    <w:name w:val="Footer Char"/>
    <w:basedOn w:val="DefaultParagraphFont"/>
    <w:link w:val="Footer"/>
    <w:uiPriority w:val="99"/>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992F8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992F87"/>
    <w:rPr>
      <w:rFonts w:asciiTheme="minorHAnsi" w:eastAsia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uiPriority w:val="99"/>
    <w:rsid w:val="003059D8"/>
    <w:pPr>
      <w:tabs>
        <w:tab w:val="center" w:pos="4513"/>
        <w:tab w:val="right" w:pos="9026"/>
      </w:tabs>
    </w:pPr>
  </w:style>
  <w:style w:type="character" w:customStyle="1" w:styleId="FooterChar">
    <w:name w:val="Footer Char"/>
    <w:basedOn w:val="DefaultParagraphFont"/>
    <w:link w:val="Footer"/>
    <w:uiPriority w:val="99"/>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992F8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992F87"/>
    <w:rPr>
      <w:rFonts w:asciiTheme="minorHAnsi" w:eastAsia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cda-cdna-bloodborne.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internet/main/publishing.nsf/content/cda-cdna-bloodborne.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alth.gov.au/internet/main/publishing.nsf/content/cda-cdna-bloodborne.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ealth.gov.au/internet/main/publishing.nsf/content/cda-cdna-bloodborne.htm" TargetMode="External"/><Relationship Id="rId5" Type="http://schemas.openxmlformats.org/officeDocument/2006/relationships/styles" Target="styles.xml"/><Relationship Id="rId15" Type="http://schemas.openxmlformats.org/officeDocument/2006/relationships/hyperlink" Target="http://www.health.gov.au/internet/main/publishing.nsf/content/cda-cdna-bloodborn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hpr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1A0DE-DEE5-4627-9E34-5B392831D624}">
  <ds:schemaRefs>
    <ds:schemaRef ds:uri="http://purl.org/dc/elements/1.1/"/>
    <ds:schemaRef ds:uri="http://www.w3.org/XML/1998/namespace"/>
    <ds:schemaRef ds:uri="http://purl.org/dc/dcmitype/"/>
    <ds:schemaRef ds:uri="http://purl.org/dc/terms/"/>
    <ds:schemaRef ds:uri="http://schemas.microsoft.com/office/2006/documentManagement/types"/>
    <ds:schemaRef ds:uri="98528b0f-cc00-4e41-83ee-325489e55a8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27AC324-1035-4448-B7DB-943B4E82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B9293-497D-49F1-9EB8-DA9359AF1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COLWELL, Anna</dc:creator>
  <cp:lastModifiedBy>Keane Laurie</cp:lastModifiedBy>
  <cp:revision>2</cp:revision>
  <cp:lastPrinted>2018-11-08T01:24:00Z</cp:lastPrinted>
  <dcterms:created xsi:type="dcterms:W3CDTF">2018-12-18T03:17:00Z</dcterms:created>
  <dcterms:modified xsi:type="dcterms:W3CDTF">2018-12-18T03:17:00Z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