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7D386" w14:textId="129D0B2A" w:rsidR="00AE3252" w:rsidRPr="00900D6C" w:rsidRDefault="003707EE" w:rsidP="00EA19BA">
      <w:pPr>
        <w:pStyle w:val="Title"/>
        <w:ind w:right="-46"/>
        <w:rPr>
          <w:lang w:val="en-AU"/>
        </w:rPr>
      </w:pPr>
      <w:r w:rsidRPr="00900D6C">
        <w:rPr>
          <w:lang w:val="en-AU"/>
        </w:rPr>
        <w:t xml:space="preserve">Typhoid and Paratyphoid </w:t>
      </w:r>
      <w:r w:rsidR="00B1071A" w:rsidRPr="00900D6C">
        <w:rPr>
          <w:lang w:val="en-AU"/>
        </w:rPr>
        <w:t>Fever</w:t>
      </w:r>
      <w:r w:rsidRPr="00900D6C">
        <w:rPr>
          <w:lang w:val="en-AU"/>
        </w:rPr>
        <w:t>s</w:t>
      </w:r>
    </w:p>
    <w:p w14:paraId="1A0AA808" w14:textId="77777777" w:rsidR="002A4B69" w:rsidRPr="00900D6C" w:rsidRDefault="002A4B69" w:rsidP="00EA19BA">
      <w:pPr>
        <w:pStyle w:val="Title"/>
        <w:ind w:right="-46"/>
        <w:rPr>
          <w:lang w:val="en-AU"/>
        </w:rPr>
      </w:pPr>
      <w:r w:rsidRPr="00900D6C">
        <w:rPr>
          <w:lang w:val="en-AU"/>
        </w:rPr>
        <w:t xml:space="preserve">CDNA </w:t>
      </w:r>
      <w:r w:rsidR="00791684" w:rsidRPr="00900D6C">
        <w:rPr>
          <w:lang w:val="en-AU"/>
        </w:rPr>
        <w:t>National Guidelines for Public Health Units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957"/>
        <w:gridCol w:w="1536"/>
        <w:gridCol w:w="3871"/>
      </w:tblGrid>
      <w:tr w:rsidR="002A4B69" w:rsidRPr="00900D6C" w14:paraId="1ACE2472" w14:textId="77777777" w:rsidTr="00BA01D7">
        <w:trPr>
          <w:tblHeader/>
          <w:jc w:val="center"/>
        </w:trPr>
        <w:tc>
          <w:tcPr>
            <w:tcW w:w="8528" w:type="dxa"/>
            <w:gridSpan w:val="4"/>
            <w:tcBorders>
              <w:bottom w:val="single" w:sz="4" w:space="0" w:color="auto"/>
            </w:tcBorders>
            <w:shd w:val="clear" w:color="auto" w:fill="auto"/>
          </w:tcPr>
          <w:p w14:paraId="276CFA61" w14:textId="77777777" w:rsidR="002A4B69" w:rsidRPr="00900D6C" w:rsidRDefault="002A4B69" w:rsidP="00A37233">
            <w:pPr>
              <w:ind w:right="-46"/>
              <w:rPr>
                <w:b/>
              </w:rPr>
            </w:pPr>
            <w:r w:rsidRPr="00900D6C">
              <w:rPr>
                <w:b/>
              </w:rPr>
              <w:t>Revision history</w:t>
            </w:r>
          </w:p>
        </w:tc>
      </w:tr>
      <w:tr w:rsidR="002A4B69" w:rsidRPr="00900D6C" w14:paraId="6A710D0D" w14:textId="77777777" w:rsidTr="00BA01D7">
        <w:trPr>
          <w:tblHeader/>
          <w:jc w:val="center"/>
        </w:trPr>
        <w:tc>
          <w:tcPr>
            <w:tcW w:w="1164" w:type="dxa"/>
            <w:shd w:val="clear" w:color="auto" w:fill="E0E0E0"/>
          </w:tcPr>
          <w:p w14:paraId="7158EEA5" w14:textId="77777777" w:rsidR="002A4B69" w:rsidRPr="00900D6C" w:rsidRDefault="002A4B69" w:rsidP="00A37233">
            <w:pPr>
              <w:ind w:right="-46"/>
              <w:rPr>
                <w:b/>
              </w:rPr>
            </w:pPr>
            <w:r w:rsidRPr="00900D6C">
              <w:rPr>
                <w:b/>
              </w:rPr>
              <w:t>Version</w:t>
            </w:r>
          </w:p>
        </w:tc>
        <w:tc>
          <w:tcPr>
            <w:tcW w:w="1957" w:type="dxa"/>
            <w:shd w:val="clear" w:color="auto" w:fill="E0E0E0"/>
          </w:tcPr>
          <w:p w14:paraId="7BC829D9" w14:textId="77777777" w:rsidR="002A4B69" w:rsidRPr="00900D6C" w:rsidRDefault="002A4B69" w:rsidP="00A37233">
            <w:pPr>
              <w:ind w:right="-46"/>
              <w:rPr>
                <w:b/>
              </w:rPr>
            </w:pPr>
            <w:r w:rsidRPr="00900D6C">
              <w:rPr>
                <w:b/>
              </w:rPr>
              <w:t>Date</w:t>
            </w:r>
          </w:p>
        </w:tc>
        <w:tc>
          <w:tcPr>
            <w:tcW w:w="1536" w:type="dxa"/>
            <w:shd w:val="clear" w:color="auto" w:fill="E0E0E0"/>
          </w:tcPr>
          <w:p w14:paraId="48FA580D" w14:textId="77777777" w:rsidR="002A4B69" w:rsidRPr="00900D6C" w:rsidRDefault="002A4B69" w:rsidP="00A37233">
            <w:pPr>
              <w:ind w:right="-46"/>
              <w:rPr>
                <w:b/>
              </w:rPr>
            </w:pPr>
            <w:r w:rsidRPr="00900D6C">
              <w:rPr>
                <w:b/>
              </w:rPr>
              <w:t>Revised by</w:t>
            </w:r>
          </w:p>
        </w:tc>
        <w:tc>
          <w:tcPr>
            <w:tcW w:w="3871" w:type="dxa"/>
            <w:shd w:val="clear" w:color="auto" w:fill="E0E0E0"/>
          </w:tcPr>
          <w:p w14:paraId="4710CC0E" w14:textId="77777777" w:rsidR="002A4B69" w:rsidRPr="00900D6C" w:rsidRDefault="002A4B69" w:rsidP="00A37233">
            <w:pPr>
              <w:ind w:right="-46"/>
              <w:rPr>
                <w:b/>
              </w:rPr>
            </w:pPr>
            <w:r w:rsidRPr="00900D6C">
              <w:rPr>
                <w:b/>
              </w:rPr>
              <w:t>Changes</w:t>
            </w:r>
          </w:p>
        </w:tc>
      </w:tr>
      <w:tr w:rsidR="002A4B69" w:rsidRPr="00900D6C" w14:paraId="2F1649C1" w14:textId="77777777" w:rsidTr="00BA01D7">
        <w:trPr>
          <w:jc w:val="center"/>
        </w:trPr>
        <w:tc>
          <w:tcPr>
            <w:tcW w:w="1164" w:type="dxa"/>
            <w:shd w:val="clear" w:color="auto" w:fill="auto"/>
          </w:tcPr>
          <w:p w14:paraId="0E0E8F02" w14:textId="2BD3DD9D" w:rsidR="002A4B69" w:rsidRPr="00900D6C" w:rsidRDefault="00314274" w:rsidP="00A37233">
            <w:pPr>
              <w:ind w:right="-46"/>
            </w:pPr>
            <w:r w:rsidRPr="00900D6C">
              <w:t>1.0</w:t>
            </w:r>
          </w:p>
        </w:tc>
        <w:tc>
          <w:tcPr>
            <w:tcW w:w="1957" w:type="dxa"/>
            <w:shd w:val="clear" w:color="auto" w:fill="auto"/>
          </w:tcPr>
          <w:p w14:paraId="5F90E6B0" w14:textId="5C977CAA" w:rsidR="002A4B69" w:rsidRPr="00900D6C" w:rsidRDefault="0015488C" w:rsidP="00A37233">
            <w:pPr>
              <w:ind w:right="-46"/>
            </w:pPr>
            <w:r>
              <w:t>5 December 2016</w:t>
            </w:r>
          </w:p>
        </w:tc>
        <w:tc>
          <w:tcPr>
            <w:tcW w:w="1536" w:type="dxa"/>
            <w:shd w:val="clear" w:color="auto" w:fill="auto"/>
          </w:tcPr>
          <w:p w14:paraId="54EED929" w14:textId="79E9A5D3" w:rsidR="002A4B69" w:rsidRPr="00900D6C" w:rsidRDefault="00314274" w:rsidP="00A37233">
            <w:pPr>
              <w:ind w:right="-46"/>
            </w:pPr>
            <w:r w:rsidRPr="00900D6C">
              <w:t>Developed by the Typhoid and Paratyphoid working group</w:t>
            </w:r>
          </w:p>
        </w:tc>
        <w:tc>
          <w:tcPr>
            <w:tcW w:w="3871" w:type="dxa"/>
            <w:shd w:val="clear" w:color="auto" w:fill="auto"/>
          </w:tcPr>
          <w:p w14:paraId="6A0DD0F5" w14:textId="482328A7" w:rsidR="002A4B69" w:rsidRPr="00900D6C" w:rsidRDefault="002A4B69" w:rsidP="00A37233">
            <w:pPr>
              <w:ind w:right="-46"/>
            </w:pPr>
          </w:p>
        </w:tc>
      </w:tr>
    </w:tbl>
    <w:p w14:paraId="05184988" w14:textId="77777777" w:rsidR="0092728B" w:rsidRPr="00900D6C" w:rsidRDefault="0092728B" w:rsidP="00EA19BA">
      <w:pPr>
        <w:ind w:right="-46"/>
        <w:rPr>
          <w:rFonts w:ascii="Tahoma" w:hAnsi="Tahoma" w:cs="Tahoma"/>
        </w:rPr>
      </w:pPr>
    </w:p>
    <w:p w14:paraId="5593B303" w14:textId="5EE67AC3" w:rsidR="0015488C" w:rsidRPr="0015488C" w:rsidRDefault="0015488C" w:rsidP="0015488C">
      <w:pPr>
        <w:pStyle w:val="Title"/>
        <w:spacing w:after="240"/>
        <w:ind w:right="-45"/>
        <w:jc w:val="left"/>
        <w:rPr>
          <w:rFonts w:cstheme="minorBidi"/>
          <w:b w:val="0"/>
          <w:sz w:val="22"/>
          <w:szCs w:val="22"/>
          <w:lang w:val="en-AU"/>
        </w:rPr>
      </w:pPr>
      <w:r w:rsidRPr="0015488C">
        <w:rPr>
          <w:rFonts w:cstheme="minorBidi"/>
          <w:b w:val="0"/>
          <w:sz w:val="22"/>
          <w:szCs w:val="22"/>
          <w:lang w:val="en-AU"/>
        </w:rPr>
        <w:t>The Series of National Guidelines (‘the Guidelines’) have been developed by the</w:t>
      </w:r>
      <w:r>
        <w:rPr>
          <w:rFonts w:cstheme="minorBidi"/>
          <w:b w:val="0"/>
          <w:sz w:val="22"/>
          <w:szCs w:val="22"/>
          <w:lang w:val="en-AU"/>
        </w:rPr>
        <w:t xml:space="preserve"> </w:t>
      </w:r>
      <w:r w:rsidRPr="0015488C">
        <w:rPr>
          <w:rFonts w:cstheme="minorBidi"/>
          <w:b w:val="0"/>
          <w:sz w:val="22"/>
          <w:szCs w:val="22"/>
          <w:lang w:val="en-AU"/>
        </w:rPr>
        <w:t>Communicable Diseases Network Australia (CDNA) and noted by the Australian Health</w:t>
      </w:r>
      <w:r>
        <w:rPr>
          <w:rFonts w:cstheme="minorBidi"/>
          <w:b w:val="0"/>
          <w:sz w:val="22"/>
          <w:szCs w:val="22"/>
          <w:lang w:val="en-AU"/>
        </w:rPr>
        <w:t xml:space="preserve"> </w:t>
      </w:r>
      <w:r w:rsidRPr="0015488C">
        <w:rPr>
          <w:rFonts w:cstheme="minorBidi"/>
          <w:b w:val="0"/>
          <w:sz w:val="22"/>
          <w:szCs w:val="22"/>
          <w:lang w:val="en-AU"/>
        </w:rPr>
        <w:t>Protection Principal Committee (AHPPC). Their purpose is to provide nationally consistent</w:t>
      </w:r>
      <w:r>
        <w:rPr>
          <w:rFonts w:cstheme="minorBidi"/>
          <w:b w:val="0"/>
          <w:sz w:val="22"/>
          <w:szCs w:val="22"/>
          <w:lang w:val="en-AU"/>
        </w:rPr>
        <w:t xml:space="preserve"> </w:t>
      </w:r>
      <w:r w:rsidRPr="0015488C">
        <w:rPr>
          <w:rFonts w:cstheme="minorBidi"/>
          <w:b w:val="0"/>
          <w:sz w:val="22"/>
          <w:szCs w:val="22"/>
          <w:lang w:val="en-AU"/>
        </w:rPr>
        <w:t xml:space="preserve">guidance to public health units (PHUs) in responding to a </w:t>
      </w:r>
      <w:proofErr w:type="spellStart"/>
      <w:r w:rsidRPr="0015488C">
        <w:rPr>
          <w:rFonts w:cstheme="minorBidi"/>
          <w:b w:val="0"/>
          <w:sz w:val="22"/>
          <w:szCs w:val="22"/>
          <w:lang w:val="en-AU"/>
        </w:rPr>
        <w:t>notifiable</w:t>
      </w:r>
      <w:proofErr w:type="spellEnd"/>
      <w:r w:rsidRPr="0015488C">
        <w:rPr>
          <w:rFonts w:cstheme="minorBidi"/>
          <w:b w:val="0"/>
          <w:sz w:val="22"/>
          <w:szCs w:val="22"/>
          <w:lang w:val="en-AU"/>
        </w:rPr>
        <w:t xml:space="preserve"> disease event.</w:t>
      </w:r>
    </w:p>
    <w:p w14:paraId="44472727" w14:textId="3E2923B6" w:rsidR="0015488C" w:rsidRPr="0015488C" w:rsidRDefault="0015488C" w:rsidP="0015488C">
      <w:pPr>
        <w:pStyle w:val="Title"/>
        <w:spacing w:after="240"/>
        <w:ind w:right="-45"/>
        <w:jc w:val="left"/>
        <w:rPr>
          <w:rFonts w:cstheme="minorBidi"/>
          <w:b w:val="0"/>
          <w:sz w:val="22"/>
          <w:szCs w:val="22"/>
          <w:lang w:val="en-AU"/>
        </w:rPr>
      </w:pPr>
      <w:r w:rsidRPr="0015488C">
        <w:rPr>
          <w:rFonts w:cstheme="minorBidi"/>
          <w:b w:val="0"/>
          <w:sz w:val="22"/>
          <w:szCs w:val="22"/>
          <w:lang w:val="en-AU"/>
        </w:rPr>
        <w:t>These guidelines capture the knowledge of experienced professionals and provide guidance</w:t>
      </w:r>
      <w:r>
        <w:rPr>
          <w:rFonts w:cstheme="minorBidi"/>
          <w:b w:val="0"/>
          <w:sz w:val="22"/>
          <w:szCs w:val="22"/>
          <w:lang w:val="en-AU"/>
        </w:rPr>
        <w:t xml:space="preserve"> </w:t>
      </w:r>
      <w:r w:rsidRPr="0015488C">
        <w:rPr>
          <w:rFonts w:cstheme="minorBidi"/>
          <w:b w:val="0"/>
          <w:sz w:val="22"/>
          <w:szCs w:val="22"/>
          <w:lang w:val="en-AU"/>
        </w:rPr>
        <w:t>on best practice based upon the best available evidence at the time of completion.</w:t>
      </w:r>
      <w:r>
        <w:rPr>
          <w:rFonts w:cstheme="minorBidi"/>
          <w:b w:val="0"/>
          <w:sz w:val="22"/>
          <w:szCs w:val="22"/>
          <w:lang w:val="en-AU"/>
        </w:rPr>
        <w:t xml:space="preserve"> </w:t>
      </w:r>
      <w:r w:rsidRPr="0015488C">
        <w:rPr>
          <w:rFonts w:cstheme="minorBidi"/>
          <w:b w:val="0"/>
          <w:sz w:val="22"/>
          <w:szCs w:val="22"/>
          <w:lang w:val="en-AU"/>
        </w:rPr>
        <w:t>Readers should not rely solely on the information contained within these guidelines.</w:t>
      </w:r>
      <w:r>
        <w:rPr>
          <w:rFonts w:cstheme="minorBidi"/>
          <w:b w:val="0"/>
          <w:sz w:val="22"/>
          <w:szCs w:val="22"/>
          <w:lang w:val="en-AU"/>
        </w:rPr>
        <w:t xml:space="preserve"> </w:t>
      </w:r>
      <w:r w:rsidRPr="0015488C">
        <w:rPr>
          <w:rFonts w:cstheme="minorBidi"/>
          <w:b w:val="0"/>
          <w:sz w:val="22"/>
          <w:szCs w:val="22"/>
          <w:lang w:val="en-AU"/>
        </w:rPr>
        <w:t>Guideline information is not intended to be a substitute for advice from other relevant</w:t>
      </w:r>
      <w:r>
        <w:rPr>
          <w:rFonts w:cstheme="minorBidi"/>
          <w:b w:val="0"/>
          <w:sz w:val="22"/>
          <w:szCs w:val="22"/>
          <w:lang w:val="en-AU"/>
        </w:rPr>
        <w:t xml:space="preserve"> </w:t>
      </w:r>
      <w:r w:rsidRPr="0015488C">
        <w:rPr>
          <w:rFonts w:cstheme="minorBidi"/>
          <w:b w:val="0"/>
          <w:sz w:val="22"/>
          <w:szCs w:val="22"/>
          <w:lang w:val="en-AU"/>
        </w:rPr>
        <w:t>sources including, but not limited to, the advice from a health professional. Clinical</w:t>
      </w:r>
      <w:r>
        <w:rPr>
          <w:rFonts w:cstheme="minorBidi"/>
          <w:b w:val="0"/>
          <w:sz w:val="22"/>
          <w:szCs w:val="22"/>
          <w:lang w:val="en-AU"/>
        </w:rPr>
        <w:t xml:space="preserve"> </w:t>
      </w:r>
      <w:r w:rsidRPr="0015488C">
        <w:rPr>
          <w:rFonts w:cstheme="minorBidi"/>
          <w:b w:val="0"/>
          <w:sz w:val="22"/>
          <w:szCs w:val="22"/>
          <w:lang w:val="en-AU"/>
        </w:rPr>
        <w:t>judgement and discretion may be required in the interpretation and application of these</w:t>
      </w:r>
      <w:r>
        <w:rPr>
          <w:rFonts w:cstheme="minorBidi"/>
          <w:b w:val="0"/>
          <w:sz w:val="22"/>
          <w:szCs w:val="22"/>
          <w:lang w:val="en-AU"/>
        </w:rPr>
        <w:t xml:space="preserve"> </w:t>
      </w:r>
      <w:r w:rsidRPr="0015488C">
        <w:rPr>
          <w:rFonts w:cstheme="minorBidi"/>
          <w:b w:val="0"/>
          <w:sz w:val="22"/>
          <w:szCs w:val="22"/>
          <w:lang w:val="en-AU"/>
        </w:rPr>
        <w:t>guidelines.</w:t>
      </w:r>
    </w:p>
    <w:p w14:paraId="21FFC2E5" w14:textId="60290C8E" w:rsidR="0015488C" w:rsidRPr="0015488C" w:rsidRDefault="0015488C" w:rsidP="0015488C">
      <w:pPr>
        <w:pStyle w:val="Title"/>
        <w:spacing w:after="240"/>
        <w:ind w:right="-45"/>
        <w:jc w:val="left"/>
        <w:rPr>
          <w:rFonts w:cstheme="minorBidi"/>
          <w:b w:val="0"/>
          <w:sz w:val="22"/>
          <w:szCs w:val="22"/>
          <w:lang w:val="en-AU"/>
        </w:rPr>
      </w:pPr>
      <w:r w:rsidRPr="0015488C">
        <w:rPr>
          <w:rFonts w:cstheme="minorBidi"/>
          <w:b w:val="0"/>
          <w:sz w:val="22"/>
          <w:szCs w:val="22"/>
          <w:lang w:val="en-AU"/>
        </w:rPr>
        <w:t>The membership of CDNA and AHPPC, and the Commonwealth of Australia as represented</w:t>
      </w:r>
      <w:r>
        <w:rPr>
          <w:rFonts w:cstheme="minorBidi"/>
          <w:b w:val="0"/>
          <w:sz w:val="22"/>
          <w:szCs w:val="22"/>
          <w:lang w:val="en-AU"/>
        </w:rPr>
        <w:t xml:space="preserve"> </w:t>
      </w:r>
      <w:r w:rsidRPr="0015488C">
        <w:rPr>
          <w:rFonts w:cstheme="minorBidi"/>
          <w:b w:val="0"/>
          <w:sz w:val="22"/>
          <w:szCs w:val="22"/>
          <w:lang w:val="en-AU"/>
        </w:rPr>
        <w:t>by the Department of Health (‘Health’), do not warrant or represent that the information</w:t>
      </w:r>
      <w:r>
        <w:rPr>
          <w:rFonts w:cstheme="minorBidi"/>
          <w:b w:val="0"/>
          <w:sz w:val="22"/>
          <w:szCs w:val="22"/>
          <w:lang w:val="en-AU"/>
        </w:rPr>
        <w:t xml:space="preserve"> </w:t>
      </w:r>
      <w:r w:rsidRPr="0015488C">
        <w:rPr>
          <w:rFonts w:cstheme="minorBidi"/>
          <w:b w:val="0"/>
          <w:sz w:val="22"/>
          <w:szCs w:val="22"/>
          <w:lang w:val="en-AU"/>
        </w:rPr>
        <w:t>contained in the Guidelines is accurate, current or complete. CDNA, AHPPC and Health do</w:t>
      </w:r>
      <w:r>
        <w:rPr>
          <w:rFonts w:cstheme="minorBidi"/>
          <w:b w:val="0"/>
          <w:sz w:val="22"/>
          <w:szCs w:val="22"/>
          <w:lang w:val="en-AU"/>
        </w:rPr>
        <w:t xml:space="preserve"> </w:t>
      </w:r>
      <w:r w:rsidRPr="0015488C">
        <w:rPr>
          <w:rFonts w:cstheme="minorBidi"/>
          <w:b w:val="0"/>
          <w:sz w:val="22"/>
          <w:szCs w:val="22"/>
          <w:lang w:val="en-AU"/>
        </w:rPr>
        <w:t>not accept any legal liability or responsibility for any loss, damages, costs or expenses</w:t>
      </w:r>
      <w:r>
        <w:rPr>
          <w:rFonts w:cstheme="minorBidi"/>
          <w:b w:val="0"/>
          <w:sz w:val="22"/>
          <w:szCs w:val="22"/>
          <w:lang w:val="en-AU"/>
        </w:rPr>
        <w:t xml:space="preserve"> </w:t>
      </w:r>
      <w:r w:rsidRPr="0015488C">
        <w:rPr>
          <w:rFonts w:cstheme="minorBidi"/>
          <w:b w:val="0"/>
          <w:sz w:val="22"/>
          <w:szCs w:val="22"/>
          <w:lang w:val="en-AU"/>
        </w:rPr>
        <w:t>incurred by the use of, or reliance on, or interpretation of, the information contained in the</w:t>
      </w:r>
      <w:r>
        <w:rPr>
          <w:rFonts w:cstheme="minorBidi"/>
          <w:b w:val="0"/>
          <w:sz w:val="22"/>
          <w:szCs w:val="22"/>
          <w:lang w:val="en-AU"/>
        </w:rPr>
        <w:t xml:space="preserve"> </w:t>
      </w:r>
      <w:r w:rsidRPr="0015488C">
        <w:rPr>
          <w:rFonts w:cstheme="minorBidi"/>
          <w:b w:val="0"/>
          <w:sz w:val="22"/>
          <w:szCs w:val="22"/>
          <w:lang w:val="en-AU"/>
        </w:rPr>
        <w:t>guidelines.</w:t>
      </w:r>
    </w:p>
    <w:p w14:paraId="6BE49F8F" w14:textId="520DEB3B" w:rsidR="0015488C" w:rsidRPr="0015488C" w:rsidRDefault="0015488C" w:rsidP="0015488C">
      <w:pPr>
        <w:pStyle w:val="Title"/>
        <w:spacing w:after="240"/>
        <w:ind w:right="-46"/>
        <w:jc w:val="left"/>
        <w:rPr>
          <w:rFonts w:cstheme="minorBidi"/>
          <w:b w:val="0"/>
          <w:sz w:val="22"/>
          <w:szCs w:val="22"/>
          <w:lang w:val="en-AU"/>
        </w:rPr>
      </w:pPr>
      <w:r w:rsidRPr="0015488C">
        <w:rPr>
          <w:rFonts w:cstheme="minorBidi"/>
          <w:b w:val="0"/>
          <w:sz w:val="22"/>
          <w:szCs w:val="22"/>
          <w:lang w:val="en-AU"/>
        </w:rPr>
        <w:t xml:space="preserve">Endorsed by CDNA: </w:t>
      </w:r>
      <w:r>
        <w:rPr>
          <w:rFonts w:cstheme="minorBidi"/>
          <w:b w:val="0"/>
          <w:sz w:val="22"/>
          <w:szCs w:val="22"/>
          <w:lang w:val="en-AU"/>
        </w:rPr>
        <w:t>10 January 2017</w:t>
      </w:r>
    </w:p>
    <w:p w14:paraId="3CCA1F05" w14:textId="5FDA8119" w:rsidR="0015488C" w:rsidRPr="0015488C" w:rsidRDefault="0015488C" w:rsidP="0015488C">
      <w:pPr>
        <w:pStyle w:val="Title"/>
        <w:spacing w:after="240"/>
        <w:ind w:right="-46"/>
        <w:jc w:val="left"/>
        <w:rPr>
          <w:rFonts w:cstheme="minorBidi"/>
          <w:b w:val="0"/>
          <w:sz w:val="22"/>
          <w:szCs w:val="22"/>
          <w:lang w:val="en-AU"/>
        </w:rPr>
      </w:pPr>
      <w:r w:rsidRPr="0015488C">
        <w:rPr>
          <w:rFonts w:cstheme="minorBidi"/>
          <w:b w:val="0"/>
          <w:sz w:val="22"/>
          <w:szCs w:val="22"/>
          <w:lang w:val="en-AU"/>
        </w:rPr>
        <w:t xml:space="preserve">Endorsed by AHPPC: </w:t>
      </w:r>
      <w:r>
        <w:rPr>
          <w:rFonts w:cstheme="minorBidi"/>
          <w:b w:val="0"/>
          <w:sz w:val="22"/>
          <w:szCs w:val="22"/>
          <w:lang w:val="en-AU"/>
        </w:rPr>
        <w:t>1 March 2017</w:t>
      </w:r>
    </w:p>
    <w:p w14:paraId="500FC036" w14:textId="1CCC05D4" w:rsidR="0015488C" w:rsidRDefault="0015488C" w:rsidP="0015488C">
      <w:pPr>
        <w:pStyle w:val="Title"/>
        <w:spacing w:after="240"/>
        <w:ind w:right="-46"/>
        <w:jc w:val="left"/>
        <w:rPr>
          <w:rFonts w:cstheme="minorBidi"/>
          <w:b w:val="0"/>
          <w:sz w:val="22"/>
          <w:szCs w:val="22"/>
          <w:lang w:val="en-AU"/>
        </w:rPr>
      </w:pPr>
      <w:r>
        <w:rPr>
          <w:rFonts w:cstheme="minorBidi"/>
          <w:b w:val="0"/>
          <w:sz w:val="22"/>
          <w:szCs w:val="22"/>
          <w:lang w:val="en-AU"/>
        </w:rPr>
        <w:t xml:space="preserve">Released by Health: </w:t>
      </w:r>
      <w:r w:rsidR="004A57BC">
        <w:rPr>
          <w:rFonts w:cstheme="minorBidi"/>
          <w:b w:val="0"/>
          <w:sz w:val="22"/>
          <w:szCs w:val="22"/>
          <w:lang w:val="en-AU"/>
        </w:rPr>
        <w:t>15 March 2017</w:t>
      </w:r>
    </w:p>
    <w:p w14:paraId="0E347491" w14:textId="074DB6B4" w:rsidR="005B676D" w:rsidRPr="00900D6C" w:rsidRDefault="002A4B69" w:rsidP="0015488C">
      <w:pPr>
        <w:pStyle w:val="Title"/>
        <w:spacing w:after="240"/>
        <w:ind w:right="-46"/>
        <w:rPr>
          <w:b w:val="0"/>
          <w:bCs/>
          <w:lang w:val="en-AU"/>
        </w:rPr>
      </w:pPr>
      <w:r w:rsidRPr="00900D6C">
        <w:rPr>
          <w:bCs/>
          <w:lang w:val="en-AU"/>
        </w:rPr>
        <w:br w:type="page"/>
      </w:r>
      <w:r w:rsidR="003707EE" w:rsidRPr="0015488C">
        <w:lastRenderedPageBreak/>
        <w:t xml:space="preserve">Typhoid and Paratyphoid </w:t>
      </w:r>
      <w:r w:rsidR="00B1071A" w:rsidRPr="0015488C">
        <w:t>Fever</w:t>
      </w:r>
      <w:r w:rsidR="003707EE" w:rsidRPr="0015488C">
        <w:t>s</w:t>
      </w:r>
    </w:p>
    <w:p w14:paraId="0D68AA48" w14:textId="77777777" w:rsidR="0092728B" w:rsidRPr="00900D6C" w:rsidRDefault="002A4B69" w:rsidP="0015488C">
      <w:pPr>
        <w:pStyle w:val="Subtitle"/>
      </w:pPr>
      <w:r w:rsidRPr="00900D6C">
        <w:t xml:space="preserve">CDNA </w:t>
      </w:r>
      <w:r w:rsidR="0092728B" w:rsidRPr="00900D6C">
        <w:t>National Guidelines for Public Health Units</w:t>
      </w:r>
    </w:p>
    <w:p w14:paraId="1380494B" w14:textId="77777777" w:rsidR="0092728B" w:rsidRPr="00193BD1" w:rsidRDefault="002A4B69" w:rsidP="00193BD1">
      <w:pPr>
        <w:pStyle w:val="Heading1"/>
      </w:pPr>
      <w:r w:rsidRPr="00193BD1">
        <w:t>1. Summary</w:t>
      </w:r>
    </w:p>
    <w:p w14:paraId="3B886FA7" w14:textId="77777777" w:rsidR="002A4B69" w:rsidRPr="00900D6C" w:rsidRDefault="002A4B69" w:rsidP="00900D6C">
      <w:pPr>
        <w:pStyle w:val="Heading2"/>
      </w:pPr>
      <w:r w:rsidRPr="00900D6C">
        <w:t>Public health priority</w:t>
      </w:r>
    </w:p>
    <w:p w14:paraId="7C30365A" w14:textId="77777777" w:rsidR="002C4A6B" w:rsidRPr="00900D6C" w:rsidRDefault="002C4A6B" w:rsidP="00EA19BA">
      <w:pPr>
        <w:ind w:right="-46"/>
      </w:pPr>
      <w:r w:rsidRPr="00900D6C">
        <w:t>High</w:t>
      </w:r>
    </w:p>
    <w:p w14:paraId="4425AFCA" w14:textId="77777777" w:rsidR="002A4B69" w:rsidRPr="00900D6C" w:rsidRDefault="002A4B69" w:rsidP="00900D6C">
      <w:pPr>
        <w:pStyle w:val="Heading2"/>
      </w:pPr>
      <w:r w:rsidRPr="00900D6C">
        <w:t>Case management</w:t>
      </w:r>
    </w:p>
    <w:p w14:paraId="74D5B4D7" w14:textId="788CD751" w:rsidR="00B1071A" w:rsidRPr="00900D6C" w:rsidRDefault="00B1071A" w:rsidP="00EA19BA">
      <w:pPr>
        <w:ind w:right="-46"/>
        <w:rPr>
          <w:rStyle w:val="Strong"/>
          <w:b w:val="0"/>
        </w:rPr>
      </w:pPr>
      <w:r w:rsidRPr="00900D6C">
        <w:rPr>
          <w:rStyle w:val="Strong"/>
          <w:b w:val="0"/>
        </w:rPr>
        <w:t>Public health investigations involve two separate scenarios:</w:t>
      </w:r>
    </w:p>
    <w:p w14:paraId="4587A1DA" w14:textId="2C6B4354" w:rsidR="00B1071A" w:rsidRPr="00900D6C" w:rsidRDefault="00CA3708" w:rsidP="00EA19BA">
      <w:pPr>
        <w:pStyle w:val="ListParagraph"/>
        <w:numPr>
          <w:ilvl w:val="0"/>
          <w:numId w:val="11"/>
        </w:numPr>
        <w:ind w:right="-46"/>
        <w:rPr>
          <w:rStyle w:val="Strong"/>
          <w:b w:val="0"/>
          <w:sz w:val="24"/>
          <w:lang w:val="en-AU"/>
        </w:rPr>
      </w:pPr>
      <w:r w:rsidRPr="00900D6C">
        <w:rPr>
          <w:rStyle w:val="Strong"/>
          <w:b w:val="0"/>
          <w:lang w:val="en-AU"/>
        </w:rPr>
        <w:t>travel</w:t>
      </w:r>
      <w:r w:rsidR="004A586C" w:rsidRPr="00900D6C">
        <w:rPr>
          <w:rStyle w:val="Strong"/>
          <w:b w:val="0"/>
          <w:lang w:val="en-AU"/>
        </w:rPr>
        <w:t>l</w:t>
      </w:r>
      <w:r w:rsidRPr="00900D6C">
        <w:rPr>
          <w:rStyle w:val="Strong"/>
          <w:b w:val="0"/>
          <w:lang w:val="en-AU"/>
        </w:rPr>
        <w:t>ers recently returning from endemic countries</w:t>
      </w:r>
      <w:r w:rsidR="007A6DCF" w:rsidRPr="00900D6C">
        <w:rPr>
          <w:rStyle w:val="Strong"/>
          <w:b w:val="0"/>
          <w:lang w:val="en-AU"/>
        </w:rPr>
        <w:t>;</w:t>
      </w:r>
      <w:r w:rsidRPr="00900D6C">
        <w:rPr>
          <w:rStyle w:val="Strong"/>
          <w:b w:val="0"/>
          <w:lang w:val="en-AU"/>
        </w:rPr>
        <w:t xml:space="preserve"> </w:t>
      </w:r>
      <w:r w:rsidR="00B1071A" w:rsidRPr="00900D6C">
        <w:rPr>
          <w:rStyle w:val="Strong"/>
          <w:b w:val="0"/>
          <w:lang w:val="en-AU"/>
        </w:rPr>
        <w:t>and</w:t>
      </w:r>
    </w:p>
    <w:p w14:paraId="7F590ADF" w14:textId="7E0273B1" w:rsidR="00B1071A" w:rsidRPr="00900D6C" w:rsidRDefault="00B1071A" w:rsidP="00EA19BA">
      <w:pPr>
        <w:pStyle w:val="ListParagraph"/>
        <w:numPr>
          <w:ilvl w:val="0"/>
          <w:numId w:val="11"/>
        </w:numPr>
        <w:ind w:right="-46"/>
        <w:rPr>
          <w:rStyle w:val="Strong"/>
          <w:b w:val="0"/>
          <w:sz w:val="24"/>
          <w:lang w:val="en-AU"/>
        </w:rPr>
      </w:pPr>
      <w:proofErr w:type="gramStart"/>
      <w:r w:rsidRPr="00900D6C">
        <w:rPr>
          <w:rStyle w:val="Strong"/>
          <w:b w:val="0"/>
          <w:lang w:val="en-AU"/>
        </w:rPr>
        <w:t>cases</w:t>
      </w:r>
      <w:proofErr w:type="gramEnd"/>
      <w:r w:rsidRPr="00900D6C">
        <w:rPr>
          <w:rStyle w:val="Strong"/>
          <w:b w:val="0"/>
          <w:lang w:val="en-AU"/>
        </w:rPr>
        <w:t xml:space="preserve"> with no </w:t>
      </w:r>
      <w:r w:rsidR="00CA3708" w:rsidRPr="00900D6C">
        <w:rPr>
          <w:rStyle w:val="Strong"/>
          <w:b w:val="0"/>
          <w:lang w:val="en-AU"/>
        </w:rPr>
        <w:t xml:space="preserve">recent </w:t>
      </w:r>
      <w:r w:rsidR="005603B2" w:rsidRPr="00900D6C">
        <w:rPr>
          <w:rStyle w:val="Strong"/>
          <w:b w:val="0"/>
          <w:lang w:val="en-AU"/>
        </w:rPr>
        <w:t xml:space="preserve">international </w:t>
      </w:r>
      <w:r w:rsidRPr="00900D6C">
        <w:rPr>
          <w:rStyle w:val="Strong"/>
          <w:b w:val="0"/>
          <w:lang w:val="en-AU"/>
        </w:rPr>
        <w:t>travel history.</w:t>
      </w:r>
    </w:p>
    <w:p w14:paraId="160315AF" w14:textId="2B58A3A2" w:rsidR="00B1071A" w:rsidRPr="00900D6C" w:rsidRDefault="00B1071A" w:rsidP="00EA19BA">
      <w:pPr>
        <w:ind w:right="-46"/>
      </w:pPr>
      <w:r w:rsidRPr="00900D6C">
        <w:t>Generally</w:t>
      </w:r>
      <w:r w:rsidR="007A6DCF" w:rsidRPr="00900D6C">
        <w:t>,</w:t>
      </w:r>
      <w:r w:rsidRPr="00900D6C">
        <w:t xml:space="preserve"> cases are travel</w:t>
      </w:r>
      <w:r w:rsidR="004A586C" w:rsidRPr="00900D6C">
        <w:t>l</w:t>
      </w:r>
      <w:r w:rsidRPr="00900D6C">
        <w:t xml:space="preserve">ers recently returned from endemic areas. If there is no history of </w:t>
      </w:r>
      <w:r w:rsidR="00CA3708" w:rsidRPr="00900D6C">
        <w:t xml:space="preserve">international </w:t>
      </w:r>
      <w:r w:rsidRPr="00900D6C">
        <w:t>travel, the likely source of infection should be identified as soon as possible. If the case is a food handler</w:t>
      </w:r>
      <w:r w:rsidR="005603B2" w:rsidRPr="00900D6C">
        <w:t>,</w:t>
      </w:r>
      <w:r w:rsidRPr="00900D6C">
        <w:t xml:space="preserve"> a child in pre-school, kindergarten or childcare (below the age of primary school entry)</w:t>
      </w:r>
      <w:r w:rsidR="00BC50D4" w:rsidRPr="00900D6C">
        <w:t>,</w:t>
      </w:r>
      <w:r w:rsidRPr="00900D6C">
        <w:t xml:space="preserve"> or directly cares for patients, children, the debilitated or elderly</w:t>
      </w:r>
      <w:r w:rsidR="00BD7603" w:rsidRPr="00900D6C">
        <w:t>,</w:t>
      </w:r>
      <w:r w:rsidRPr="00900D6C">
        <w:t xml:space="preserve"> refer to</w:t>
      </w:r>
      <w:r w:rsidR="004E651F" w:rsidRPr="00900D6C">
        <w:t xml:space="preserve"> Section</w:t>
      </w:r>
      <w:r w:rsidRPr="00900D6C">
        <w:t xml:space="preserve"> </w:t>
      </w:r>
      <w:r w:rsidR="00935BEA" w:rsidRPr="00900D6C">
        <w:t xml:space="preserve">9. </w:t>
      </w:r>
      <w:proofErr w:type="gramStart"/>
      <w:r w:rsidR="00935BEA" w:rsidRPr="00900D6C">
        <w:t>Case management</w:t>
      </w:r>
      <w:r w:rsidR="004E651F" w:rsidRPr="00900D6C">
        <w:t xml:space="preserve"> </w:t>
      </w:r>
      <w:r w:rsidRPr="00900D6C">
        <w:t>for details of exclusion and screening arrangements.</w:t>
      </w:r>
      <w:proofErr w:type="gramEnd"/>
    </w:p>
    <w:p w14:paraId="0F639A0B" w14:textId="77777777" w:rsidR="002A4B69" w:rsidRPr="00900D6C" w:rsidRDefault="002A4B69" w:rsidP="00900D6C">
      <w:pPr>
        <w:pStyle w:val="Heading2"/>
      </w:pPr>
      <w:r w:rsidRPr="00900D6C">
        <w:t>Contact management</w:t>
      </w:r>
    </w:p>
    <w:p w14:paraId="7B1945B3" w14:textId="21657B13" w:rsidR="006E2713" w:rsidRPr="00900D6C" w:rsidRDefault="006E2713" w:rsidP="00EA19BA">
      <w:pPr>
        <w:ind w:right="-46"/>
      </w:pPr>
      <w:r w:rsidRPr="00900D6C">
        <w:t>M</w:t>
      </w:r>
      <w:r w:rsidR="002A4B69" w:rsidRPr="00900D6C">
        <w:t>anage</w:t>
      </w:r>
      <w:r w:rsidRPr="00900D6C">
        <w:t xml:space="preserve">ment of contacts depends on the likely source of </w:t>
      </w:r>
      <w:r w:rsidR="00A404A2" w:rsidRPr="00900D6C">
        <w:t xml:space="preserve">the case’s </w:t>
      </w:r>
      <w:r w:rsidRPr="00900D6C">
        <w:t>infection</w:t>
      </w:r>
      <w:r w:rsidR="00A404A2" w:rsidRPr="00900D6C">
        <w:t xml:space="preserve"> and whether the contact is at higher risk for transmitting the infection</w:t>
      </w:r>
      <w:r w:rsidRPr="00900D6C">
        <w:t>. Refer to</w:t>
      </w:r>
      <w:r w:rsidR="004E651F" w:rsidRPr="00900D6C">
        <w:t xml:space="preserve"> Section</w:t>
      </w:r>
      <w:r w:rsidRPr="00900D6C">
        <w:t xml:space="preserve"> </w:t>
      </w:r>
      <w:r w:rsidR="00935BEA" w:rsidRPr="00900D6C">
        <w:t>11. Contact management</w:t>
      </w:r>
      <w:r w:rsidR="004E651F" w:rsidRPr="00900D6C">
        <w:t xml:space="preserve"> </w:t>
      </w:r>
      <w:r w:rsidRPr="00900D6C">
        <w:t>for details of exclusion</w:t>
      </w:r>
      <w:r w:rsidR="00511509" w:rsidRPr="00900D6C">
        <w:t xml:space="preserve"> and</w:t>
      </w:r>
      <w:r w:rsidRPr="00900D6C">
        <w:t xml:space="preserve"> screening </w:t>
      </w:r>
      <w:r w:rsidR="00135497" w:rsidRPr="00900D6C">
        <w:t>arrangements</w:t>
      </w:r>
      <w:r w:rsidRPr="00900D6C">
        <w:t xml:space="preserve"> </w:t>
      </w:r>
      <w:r w:rsidR="002A4B69" w:rsidRPr="00900D6C">
        <w:t>for th</w:t>
      </w:r>
      <w:r w:rsidRPr="00900D6C">
        <w:t>e different types of contacts.</w:t>
      </w:r>
    </w:p>
    <w:p w14:paraId="1393DC97" w14:textId="676D7066" w:rsidR="002A4B69" w:rsidRPr="00900D6C" w:rsidRDefault="002A4B69" w:rsidP="00900D6C">
      <w:pPr>
        <w:pStyle w:val="Heading3"/>
      </w:pPr>
      <w:r w:rsidRPr="00900D6C">
        <w:t>Note</w:t>
      </w:r>
    </w:p>
    <w:p w14:paraId="2A824A60" w14:textId="598CE4EE" w:rsidR="00C2590A" w:rsidRPr="00900D6C" w:rsidRDefault="00135497" w:rsidP="00EA19BA">
      <w:pPr>
        <w:ind w:right="-46"/>
      </w:pPr>
      <w:r w:rsidRPr="00900D6C">
        <w:t>T</w:t>
      </w:r>
      <w:r w:rsidR="002A4B69" w:rsidRPr="00900D6C">
        <w:t xml:space="preserve">hese guidelines </w:t>
      </w:r>
      <w:r w:rsidR="009E6F79" w:rsidRPr="00900D6C">
        <w:t>cover</w:t>
      </w:r>
      <w:r w:rsidR="00993E8B" w:rsidRPr="00900D6C">
        <w:t xml:space="preserve"> both</w:t>
      </w:r>
      <w:r w:rsidR="009E6F79" w:rsidRPr="00900D6C">
        <w:t xml:space="preserve"> </w:t>
      </w:r>
      <w:r w:rsidRPr="00900D6C">
        <w:t xml:space="preserve">typhoid </w:t>
      </w:r>
      <w:r w:rsidR="00B1071A" w:rsidRPr="00900D6C">
        <w:t>fever</w:t>
      </w:r>
      <w:r w:rsidR="00D7508D" w:rsidRPr="00900D6C">
        <w:t xml:space="preserve">, caused by </w:t>
      </w:r>
      <w:r w:rsidR="00D7508D" w:rsidRPr="00900D6C">
        <w:rPr>
          <w:i/>
        </w:rPr>
        <w:t xml:space="preserve">Salmonella </w:t>
      </w:r>
      <w:proofErr w:type="spellStart"/>
      <w:r w:rsidR="00D7508D" w:rsidRPr="00900D6C">
        <w:rPr>
          <w:i/>
        </w:rPr>
        <w:t>enterica</w:t>
      </w:r>
      <w:proofErr w:type="spellEnd"/>
      <w:r w:rsidR="00D7508D" w:rsidRPr="00900D6C">
        <w:t xml:space="preserve">, </w:t>
      </w:r>
      <w:proofErr w:type="spellStart"/>
      <w:r w:rsidR="00D7508D" w:rsidRPr="00900D6C">
        <w:t>serovar</w:t>
      </w:r>
      <w:proofErr w:type="spellEnd"/>
      <w:r w:rsidR="00D7508D" w:rsidRPr="00900D6C">
        <w:t xml:space="preserve"> </w:t>
      </w:r>
      <w:proofErr w:type="spellStart"/>
      <w:r w:rsidR="00D7508D" w:rsidRPr="00900D6C">
        <w:t>Typhi</w:t>
      </w:r>
      <w:proofErr w:type="spellEnd"/>
      <w:r w:rsidR="00993E8B" w:rsidRPr="00900D6C">
        <w:t xml:space="preserve"> </w:t>
      </w:r>
      <w:r w:rsidR="00176B97" w:rsidRPr="00900D6C">
        <w:t>(</w:t>
      </w:r>
      <w:r w:rsidR="00176B97" w:rsidRPr="00900D6C">
        <w:rPr>
          <w:i/>
        </w:rPr>
        <w:t>S.</w:t>
      </w:r>
      <w:r w:rsidR="00176B97" w:rsidRPr="00900D6C">
        <w:t xml:space="preserve"> </w:t>
      </w:r>
      <w:proofErr w:type="spellStart"/>
      <w:r w:rsidR="00176B97" w:rsidRPr="00900D6C">
        <w:t>Typhi</w:t>
      </w:r>
      <w:proofErr w:type="spellEnd"/>
      <w:r w:rsidR="00176B97" w:rsidRPr="00900D6C">
        <w:t xml:space="preserve">) </w:t>
      </w:r>
      <w:r w:rsidR="00993E8B" w:rsidRPr="00900D6C">
        <w:t>and</w:t>
      </w:r>
      <w:r w:rsidR="002F2BDC" w:rsidRPr="00900D6C">
        <w:t xml:space="preserve"> paratyphoid </w:t>
      </w:r>
      <w:r w:rsidR="00B1071A" w:rsidRPr="00900D6C">
        <w:t xml:space="preserve">fever </w:t>
      </w:r>
      <w:r w:rsidR="002F2BDC" w:rsidRPr="00900D6C">
        <w:t>caused by</w:t>
      </w:r>
      <w:r w:rsidR="00410932" w:rsidRPr="00900D6C">
        <w:t xml:space="preserve"> </w:t>
      </w:r>
      <w:r w:rsidR="00D7508D" w:rsidRPr="00900D6C">
        <w:rPr>
          <w:i/>
        </w:rPr>
        <w:t xml:space="preserve">Salmonella </w:t>
      </w:r>
      <w:proofErr w:type="spellStart"/>
      <w:r w:rsidR="00D7508D" w:rsidRPr="00900D6C">
        <w:rPr>
          <w:i/>
        </w:rPr>
        <w:t>enterica</w:t>
      </w:r>
      <w:proofErr w:type="spellEnd"/>
      <w:r w:rsidR="00D7508D" w:rsidRPr="00900D6C">
        <w:t xml:space="preserve">, </w:t>
      </w:r>
      <w:proofErr w:type="spellStart"/>
      <w:r w:rsidR="00410932" w:rsidRPr="00900D6C">
        <w:t>serovars</w:t>
      </w:r>
      <w:proofErr w:type="spellEnd"/>
      <w:r w:rsidR="009E6F79" w:rsidRPr="00900D6C">
        <w:t xml:space="preserve"> </w:t>
      </w:r>
      <w:proofErr w:type="spellStart"/>
      <w:r w:rsidR="00D04635" w:rsidRPr="00900D6C">
        <w:t>P</w:t>
      </w:r>
      <w:r w:rsidR="00410932" w:rsidRPr="00900D6C">
        <w:t>aratyphi</w:t>
      </w:r>
      <w:proofErr w:type="spellEnd"/>
      <w:r w:rsidR="009E6F79" w:rsidRPr="00900D6C">
        <w:t xml:space="preserve"> </w:t>
      </w:r>
      <w:r w:rsidR="00410932" w:rsidRPr="00900D6C">
        <w:t>A, B, and C</w:t>
      </w:r>
      <w:r w:rsidR="00CA3708" w:rsidRPr="00900D6C">
        <w:t>. These guidelines, however, do not cover</w:t>
      </w:r>
      <w:r w:rsidR="00C302DD" w:rsidRPr="00900D6C">
        <w:t xml:space="preserve"> </w:t>
      </w:r>
      <w:r w:rsidR="00C302DD" w:rsidRPr="00900D6C">
        <w:rPr>
          <w:i/>
        </w:rPr>
        <w:t>S</w:t>
      </w:r>
      <w:r w:rsidR="00C302DD" w:rsidRPr="00900D6C">
        <w:t xml:space="preserve">. </w:t>
      </w:r>
      <w:proofErr w:type="spellStart"/>
      <w:r w:rsidR="00C302DD" w:rsidRPr="00900D6C">
        <w:t>Paratyphi</w:t>
      </w:r>
      <w:proofErr w:type="spellEnd"/>
      <w:r w:rsidR="00C302DD" w:rsidRPr="00900D6C">
        <w:t xml:space="preserve"> B </w:t>
      </w:r>
      <w:proofErr w:type="spellStart"/>
      <w:r w:rsidR="00A4695B" w:rsidRPr="00900D6C">
        <w:t>biovar</w:t>
      </w:r>
      <w:proofErr w:type="spellEnd"/>
      <w:r w:rsidR="00DB269F" w:rsidRPr="00900D6C">
        <w:t xml:space="preserve"> </w:t>
      </w:r>
      <w:r w:rsidR="00C302DD" w:rsidRPr="00900D6C">
        <w:t>Java</w:t>
      </w:r>
      <w:r w:rsidR="00B1071A" w:rsidRPr="00900D6C">
        <w:t xml:space="preserve"> as this causes gastroenteritis rather than paratyphoid fever and as such is grouped with other </w:t>
      </w:r>
      <w:r w:rsidR="00C32980" w:rsidRPr="00900D6C">
        <w:t>s</w:t>
      </w:r>
      <w:r w:rsidR="00B1071A" w:rsidRPr="00900D6C">
        <w:t>almonella</w:t>
      </w:r>
      <w:r w:rsidR="00C302DD" w:rsidRPr="00900D6C">
        <w:t>)</w:t>
      </w:r>
      <w:r w:rsidR="005827FA" w:rsidRPr="00900D6C">
        <w:t xml:space="preserve"> </w:t>
      </w:r>
      <w:r w:rsidR="00223935" w:rsidRPr="00900D6C">
        <w:t>(</w:t>
      </w:r>
      <w:r w:rsidR="00196AAD" w:rsidRPr="00900D6C">
        <w:t>1</w:t>
      </w:r>
      <w:r w:rsidR="00223935" w:rsidRPr="00900D6C">
        <w:t xml:space="preserve">, </w:t>
      </w:r>
      <w:r w:rsidR="00196AAD" w:rsidRPr="00900D6C">
        <w:t>2</w:t>
      </w:r>
      <w:r w:rsidR="00223935" w:rsidRPr="00900D6C">
        <w:t>)</w:t>
      </w:r>
      <w:r w:rsidR="00FE41AC" w:rsidRPr="00900D6C">
        <w:t>.</w:t>
      </w:r>
    </w:p>
    <w:p w14:paraId="40DE3DF6" w14:textId="77777777" w:rsidR="0092728B" w:rsidRPr="00193BD1" w:rsidRDefault="002A4B69" w:rsidP="00193BD1">
      <w:pPr>
        <w:pStyle w:val="Heading1"/>
      </w:pPr>
      <w:r w:rsidRPr="00193BD1">
        <w:t>2. The disease</w:t>
      </w:r>
    </w:p>
    <w:p w14:paraId="28FBE06F" w14:textId="77777777" w:rsidR="002A4B69" w:rsidRPr="00900D6C" w:rsidRDefault="002A4B69" w:rsidP="00900D6C">
      <w:pPr>
        <w:pStyle w:val="Heading2"/>
      </w:pPr>
      <w:r w:rsidRPr="00900D6C">
        <w:t>Infectious agent</w:t>
      </w:r>
    </w:p>
    <w:p w14:paraId="61DDC289" w14:textId="54411B33" w:rsidR="00964DC3" w:rsidRPr="00900D6C" w:rsidRDefault="00410932" w:rsidP="00EA19BA">
      <w:pPr>
        <w:ind w:right="-46"/>
      </w:pPr>
      <w:r w:rsidRPr="00900D6C">
        <w:t xml:space="preserve">The nomenclature and classification of the </w:t>
      </w:r>
      <w:r w:rsidR="00CD6068" w:rsidRPr="00900D6C">
        <w:rPr>
          <w:i/>
        </w:rPr>
        <w:t xml:space="preserve">Salmonella </w:t>
      </w:r>
      <w:r w:rsidRPr="00900D6C">
        <w:t>genus ha</w:t>
      </w:r>
      <w:r w:rsidR="000B313A" w:rsidRPr="00900D6C">
        <w:t>ve</w:t>
      </w:r>
      <w:r w:rsidRPr="00900D6C">
        <w:t xml:space="preserve"> changed over the years. The current classification of</w:t>
      </w:r>
      <w:r w:rsidR="00D7508D" w:rsidRPr="00900D6C">
        <w:t xml:space="preserve"> </w:t>
      </w:r>
      <w:r w:rsidR="006F59FB" w:rsidRPr="00900D6C">
        <w:rPr>
          <w:rStyle w:val="Emphasis"/>
          <w:i w:val="0"/>
          <w:iCs w:val="0"/>
        </w:rPr>
        <w:t>the causative bacterium of typhoid is</w:t>
      </w:r>
      <w:r w:rsidR="00D7508D" w:rsidRPr="00900D6C">
        <w:rPr>
          <w:rStyle w:val="Emphasis"/>
          <w:i w:val="0"/>
          <w:iCs w:val="0"/>
        </w:rPr>
        <w:t xml:space="preserve"> </w:t>
      </w:r>
      <w:r w:rsidR="006F59FB" w:rsidRPr="00900D6C">
        <w:rPr>
          <w:i/>
        </w:rPr>
        <w:t xml:space="preserve">Salmonella </w:t>
      </w:r>
      <w:proofErr w:type="spellStart"/>
      <w:r w:rsidR="006F59FB" w:rsidRPr="00900D6C">
        <w:rPr>
          <w:i/>
        </w:rPr>
        <w:t>enterica</w:t>
      </w:r>
      <w:proofErr w:type="spellEnd"/>
      <w:r w:rsidR="006F59FB" w:rsidRPr="00900D6C">
        <w:t xml:space="preserve"> </w:t>
      </w:r>
      <w:r w:rsidR="00DB269F" w:rsidRPr="00900D6C">
        <w:rPr>
          <w:rFonts w:cs="Tahoma"/>
          <w:color w:val="000000"/>
          <w:shd w:val="clear" w:color="auto" w:fill="FFFFFF"/>
        </w:rPr>
        <w:t>subspecies</w:t>
      </w:r>
      <w:r w:rsidR="00DB269F" w:rsidRPr="00900D6C">
        <w:rPr>
          <w:rStyle w:val="apple-converted-space"/>
          <w:rFonts w:cs="Tahoma"/>
          <w:color w:val="000000"/>
          <w:shd w:val="clear" w:color="auto" w:fill="FFFFFF"/>
        </w:rPr>
        <w:t> </w:t>
      </w:r>
      <w:proofErr w:type="spellStart"/>
      <w:r w:rsidR="00DB269F" w:rsidRPr="00900D6C">
        <w:rPr>
          <w:rStyle w:val="Emphasis"/>
          <w:rFonts w:cs="Tahoma"/>
          <w:color w:val="000000"/>
          <w:shd w:val="clear" w:color="auto" w:fill="FFFFFF"/>
        </w:rPr>
        <w:t>enterica</w:t>
      </w:r>
      <w:proofErr w:type="spellEnd"/>
      <w:r w:rsidR="00DB269F" w:rsidRPr="00900D6C">
        <w:rPr>
          <w:rFonts w:cs="Tahoma"/>
        </w:rPr>
        <w:t xml:space="preserve"> </w:t>
      </w:r>
      <w:proofErr w:type="spellStart"/>
      <w:r w:rsidR="006F59FB" w:rsidRPr="00900D6C">
        <w:rPr>
          <w:rFonts w:cs="Tahoma"/>
        </w:rPr>
        <w:t>serovar</w:t>
      </w:r>
      <w:proofErr w:type="spellEnd"/>
      <w:r w:rsidR="006F59FB" w:rsidRPr="00900D6C">
        <w:rPr>
          <w:rFonts w:cs="Tahoma"/>
        </w:rPr>
        <w:t xml:space="preserve"> </w:t>
      </w:r>
      <w:proofErr w:type="spellStart"/>
      <w:r w:rsidR="006F59FB" w:rsidRPr="00900D6C">
        <w:rPr>
          <w:rFonts w:cs="Tahoma"/>
        </w:rPr>
        <w:t>Typhi</w:t>
      </w:r>
      <w:proofErr w:type="spellEnd"/>
      <w:r w:rsidR="006F59FB" w:rsidRPr="00900D6C">
        <w:rPr>
          <w:rFonts w:cs="Tahoma"/>
        </w:rPr>
        <w:t xml:space="preserve"> (commonly</w:t>
      </w:r>
      <w:r w:rsidR="00CD6068" w:rsidRPr="00900D6C">
        <w:rPr>
          <w:rFonts w:cs="Tahoma"/>
        </w:rPr>
        <w:t xml:space="preserve"> referred to as</w:t>
      </w:r>
      <w:r w:rsidR="006F59FB" w:rsidRPr="00900D6C">
        <w:rPr>
          <w:rFonts w:cs="Tahoma"/>
        </w:rPr>
        <w:t xml:space="preserve"> </w:t>
      </w:r>
      <w:r w:rsidR="006F59FB" w:rsidRPr="00900D6C">
        <w:rPr>
          <w:rFonts w:cs="Tahoma"/>
          <w:i/>
        </w:rPr>
        <w:t>S.</w:t>
      </w:r>
      <w:r w:rsidR="006F59FB" w:rsidRPr="00900D6C">
        <w:rPr>
          <w:rFonts w:cs="Tahoma"/>
        </w:rPr>
        <w:t xml:space="preserve"> </w:t>
      </w:r>
      <w:proofErr w:type="spellStart"/>
      <w:r w:rsidR="006F59FB" w:rsidRPr="00900D6C">
        <w:rPr>
          <w:rFonts w:cs="Tahoma"/>
        </w:rPr>
        <w:t>Typhi</w:t>
      </w:r>
      <w:proofErr w:type="spellEnd"/>
      <w:r w:rsidR="006F59FB" w:rsidRPr="00900D6C">
        <w:rPr>
          <w:rFonts w:cs="Tahoma"/>
        </w:rPr>
        <w:t>)</w:t>
      </w:r>
      <w:r w:rsidR="009F4DF1" w:rsidRPr="00900D6C">
        <w:rPr>
          <w:rFonts w:cs="Tahoma"/>
        </w:rPr>
        <w:t xml:space="preserve"> </w:t>
      </w:r>
      <w:r w:rsidR="003D4D9A" w:rsidRPr="00900D6C">
        <w:rPr>
          <w:rFonts w:cs="Tahoma"/>
        </w:rPr>
        <w:t>(</w:t>
      </w:r>
      <w:r w:rsidR="00196AAD" w:rsidRPr="00900D6C">
        <w:rPr>
          <w:rFonts w:cs="Tahoma"/>
        </w:rPr>
        <w:t>3</w:t>
      </w:r>
      <w:r w:rsidR="003D4D9A" w:rsidRPr="00900D6C">
        <w:rPr>
          <w:rFonts w:cs="Tahoma"/>
        </w:rPr>
        <w:t>)</w:t>
      </w:r>
      <w:r w:rsidR="00FE41AC" w:rsidRPr="00900D6C">
        <w:rPr>
          <w:rFonts w:cs="Tahoma"/>
        </w:rPr>
        <w:t>.</w:t>
      </w:r>
      <w:r w:rsidR="00B1071A" w:rsidRPr="00900D6C">
        <w:rPr>
          <w:rFonts w:cs="Tahoma"/>
        </w:rPr>
        <w:t xml:space="preserve"> </w:t>
      </w:r>
      <w:r w:rsidR="006F59FB" w:rsidRPr="00900D6C">
        <w:rPr>
          <w:rFonts w:cs="Tahoma"/>
        </w:rPr>
        <w:t xml:space="preserve">A number of </w:t>
      </w:r>
      <w:r w:rsidR="009E59DF" w:rsidRPr="00900D6C">
        <w:rPr>
          <w:rFonts w:cs="Tahoma"/>
        </w:rPr>
        <w:t>strains</w:t>
      </w:r>
      <w:r w:rsidR="006F59FB" w:rsidRPr="00900D6C">
        <w:rPr>
          <w:rFonts w:cs="Tahoma"/>
        </w:rPr>
        <w:t xml:space="preserve"> are</w:t>
      </w:r>
      <w:r w:rsidR="006F59FB" w:rsidRPr="00900D6C">
        <w:t xml:space="preserve"> recogni</w:t>
      </w:r>
      <w:r w:rsidR="00895357" w:rsidRPr="00900D6C">
        <w:t>s</w:t>
      </w:r>
      <w:r w:rsidR="006F59FB" w:rsidRPr="00900D6C">
        <w:t>ed and p</w:t>
      </w:r>
      <w:r w:rsidR="00EB2E8B" w:rsidRPr="00900D6C">
        <w:t xml:space="preserve">hage typing </w:t>
      </w:r>
      <w:r w:rsidR="00135BE5" w:rsidRPr="00900D6C">
        <w:t>and pulse field gel electrophoresis (PFGE) are</w:t>
      </w:r>
      <w:r w:rsidR="00EB2E8B" w:rsidRPr="00900D6C">
        <w:t xml:space="preserve"> </w:t>
      </w:r>
      <w:r w:rsidR="00135BE5" w:rsidRPr="00900D6C">
        <w:t xml:space="preserve">currently </w:t>
      </w:r>
      <w:r w:rsidR="00EB2E8B" w:rsidRPr="00900D6C">
        <w:t xml:space="preserve">used </w:t>
      </w:r>
      <w:r w:rsidR="00D7508D" w:rsidRPr="00900D6C">
        <w:t>to</w:t>
      </w:r>
      <w:r w:rsidR="00EB2E8B" w:rsidRPr="00900D6C">
        <w:t xml:space="preserve"> characteris</w:t>
      </w:r>
      <w:r w:rsidR="00D7508D" w:rsidRPr="00900D6C">
        <w:t>e</w:t>
      </w:r>
      <w:r w:rsidR="00EB2E8B" w:rsidRPr="00900D6C">
        <w:t xml:space="preserve"> </w:t>
      </w:r>
      <w:r w:rsidR="00EB2E8B" w:rsidRPr="00900D6C">
        <w:rPr>
          <w:i/>
        </w:rPr>
        <w:t>S</w:t>
      </w:r>
      <w:r w:rsidR="00EB2E8B" w:rsidRPr="00900D6C">
        <w:t xml:space="preserve">. </w:t>
      </w:r>
      <w:proofErr w:type="spellStart"/>
      <w:r w:rsidR="00EB2E8B" w:rsidRPr="00900D6C">
        <w:t>Typhi</w:t>
      </w:r>
      <w:proofErr w:type="spellEnd"/>
      <w:r w:rsidR="00EB2E8B" w:rsidRPr="00900D6C">
        <w:t xml:space="preserve"> isolates for epidemiological purposes and in outbreak settings.</w:t>
      </w:r>
      <w:r w:rsidR="00993E8B" w:rsidRPr="00900D6C">
        <w:t xml:space="preserve"> Paratyphoid is caused by </w:t>
      </w:r>
      <w:r w:rsidR="00993E8B" w:rsidRPr="00900D6C">
        <w:rPr>
          <w:i/>
        </w:rPr>
        <w:t>S</w:t>
      </w:r>
      <w:r w:rsidR="005D0987" w:rsidRPr="00900D6C">
        <w:rPr>
          <w:i/>
        </w:rPr>
        <w:t>.</w:t>
      </w:r>
      <w:r w:rsidR="001A08F1" w:rsidRPr="00900D6C">
        <w:rPr>
          <w:i/>
        </w:rPr>
        <w:t xml:space="preserve"> </w:t>
      </w:r>
      <w:proofErr w:type="spellStart"/>
      <w:r w:rsidR="00993E8B" w:rsidRPr="00900D6C">
        <w:rPr>
          <w:i/>
        </w:rPr>
        <w:t>enterica</w:t>
      </w:r>
      <w:proofErr w:type="spellEnd"/>
      <w:r w:rsidR="00993E8B" w:rsidRPr="00900D6C">
        <w:t xml:space="preserve">, </w:t>
      </w:r>
      <w:r w:rsidR="005D0987" w:rsidRPr="00900D6C">
        <w:t>s</w:t>
      </w:r>
      <w:r w:rsidR="00DB269F" w:rsidRPr="00900D6C">
        <w:rPr>
          <w:rFonts w:cs="Tahoma"/>
          <w:color w:val="000000"/>
          <w:shd w:val="clear" w:color="auto" w:fill="FFFFFF"/>
        </w:rPr>
        <w:t>ubspecies</w:t>
      </w:r>
      <w:r w:rsidR="00DB269F" w:rsidRPr="00900D6C">
        <w:rPr>
          <w:rStyle w:val="apple-converted-space"/>
          <w:rFonts w:cs="Tahoma"/>
          <w:color w:val="000000"/>
          <w:shd w:val="clear" w:color="auto" w:fill="FFFFFF"/>
        </w:rPr>
        <w:t> </w:t>
      </w:r>
      <w:proofErr w:type="spellStart"/>
      <w:r w:rsidR="00DB269F" w:rsidRPr="00900D6C">
        <w:rPr>
          <w:rStyle w:val="Emphasis"/>
          <w:rFonts w:cs="Tahoma"/>
          <w:color w:val="000000"/>
          <w:shd w:val="clear" w:color="auto" w:fill="FFFFFF"/>
        </w:rPr>
        <w:t>enterica</w:t>
      </w:r>
      <w:proofErr w:type="spellEnd"/>
      <w:r w:rsidR="00DB269F" w:rsidRPr="00900D6C">
        <w:rPr>
          <w:rFonts w:cs="Tahoma"/>
        </w:rPr>
        <w:t xml:space="preserve"> </w:t>
      </w:r>
      <w:proofErr w:type="spellStart"/>
      <w:r w:rsidR="00993E8B" w:rsidRPr="00900D6C">
        <w:rPr>
          <w:rFonts w:cs="Tahoma"/>
        </w:rPr>
        <w:t>serovars</w:t>
      </w:r>
      <w:proofErr w:type="spellEnd"/>
      <w:r w:rsidR="00993E8B" w:rsidRPr="00900D6C">
        <w:rPr>
          <w:rFonts w:cs="Tahoma"/>
        </w:rPr>
        <w:t xml:space="preserve"> </w:t>
      </w:r>
      <w:proofErr w:type="spellStart"/>
      <w:r w:rsidR="00993E8B" w:rsidRPr="00900D6C">
        <w:rPr>
          <w:rFonts w:cs="Tahoma"/>
        </w:rPr>
        <w:t>Paratyphi</w:t>
      </w:r>
      <w:proofErr w:type="spellEnd"/>
      <w:r w:rsidR="00993E8B" w:rsidRPr="00900D6C">
        <w:rPr>
          <w:rFonts w:cs="Tahoma"/>
        </w:rPr>
        <w:t xml:space="preserve"> A</w:t>
      </w:r>
      <w:r w:rsidR="005D0987" w:rsidRPr="00900D6C">
        <w:rPr>
          <w:rFonts w:cs="Tahoma"/>
        </w:rPr>
        <w:t>,</w:t>
      </w:r>
      <w:r w:rsidR="00993E8B" w:rsidRPr="00900D6C">
        <w:rPr>
          <w:rFonts w:cs="Tahoma"/>
        </w:rPr>
        <w:t xml:space="preserve"> B, and C</w:t>
      </w:r>
      <w:r w:rsidR="00055FF5" w:rsidRPr="00900D6C">
        <w:rPr>
          <w:rFonts w:cs="Tahoma"/>
        </w:rPr>
        <w:t xml:space="preserve"> with the exception of </w:t>
      </w:r>
      <w:r w:rsidR="00055FF5" w:rsidRPr="00900D6C">
        <w:rPr>
          <w:rFonts w:cs="Tahoma"/>
          <w:i/>
        </w:rPr>
        <w:t>S</w:t>
      </w:r>
      <w:r w:rsidR="00055FF5" w:rsidRPr="00900D6C">
        <w:rPr>
          <w:rFonts w:cs="Tahoma"/>
        </w:rPr>
        <w:t xml:space="preserve">. </w:t>
      </w:r>
      <w:proofErr w:type="spellStart"/>
      <w:r w:rsidR="00055FF5" w:rsidRPr="00900D6C">
        <w:rPr>
          <w:rFonts w:cs="Tahoma"/>
        </w:rPr>
        <w:t>Paratyphi</w:t>
      </w:r>
      <w:proofErr w:type="spellEnd"/>
      <w:r w:rsidR="00055FF5" w:rsidRPr="00900D6C">
        <w:rPr>
          <w:rFonts w:cs="Tahoma"/>
        </w:rPr>
        <w:t xml:space="preserve"> B </w:t>
      </w:r>
      <w:proofErr w:type="spellStart"/>
      <w:r w:rsidR="00A4695B" w:rsidRPr="00900D6C">
        <w:rPr>
          <w:rFonts w:cs="Tahoma"/>
        </w:rPr>
        <w:t>biovar</w:t>
      </w:r>
      <w:proofErr w:type="spellEnd"/>
      <w:r w:rsidR="00A4695B" w:rsidRPr="00900D6C">
        <w:t xml:space="preserve"> </w:t>
      </w:r>
      <w:r w:rsidR="00055FF5" w:rsidRPr="00900D6C">
        <w:t xml:space="preserve">Java </w:t>
      </w:r>
      <w:r w:rsidR="0029663A" w:rsidRPr="00900D6C">
        <w:rPr>
          <w:rFonts w:cs="Tahoma"/>
        </w:rPr>
        <w:t xml:space="preserve">(also called </w:t>
      </w:r>
      <w:proofErr w:type="spellStart"/>
      <w:r w:rsidR="00A4695B" w:rsidRPr="00900D6C">
        <w:rPr>
          <w:rFonts w:cs="Tahoma"/>
        </w:rPr>
        <w:t>biovar</w:t>
      </w:r>
      <w:proofErr w:type="spellEnd"/>
      <w:r w:rsidR="0029663A" w:rsidRPr="00900D6C">
        <w:rPr>
          <w:rFonts w:cs="Tahoma"/>
        </w:rPr>
        <w:t xml:space="preserve"> L(+) tartrate(+)/</w:t>
      </w:r>
      <w:proofErr w:type="spellStart"/>
      <w:r w:rsidR="00A4695B" w:rsidRPr="00900D6C">
        <w:rPr>
          <w:rFonts w:cs="Tahoma"/>
        </w:rPr>
        <w:t>biovar</w:t>
      </w:r>
      <w:proofErr w:type="spellEnd"/>
      <w:r w:rsidR="0029663A" w:rsidRPr="00900D6C">
        <w:rPr>
          <w:rFonts w:cs="Tahoma"/>
        </w:rPr>
        <w:t xml:space="preserve"> </w:t>
      </w:r>
      <w:proofErr w:type="spellStart"/>
      <w:r w:rsidR="0029663A" w:rsidRPr="00900D6C">
        <w:rPr>
          <w:rFonts w:cs="Tahoma"/>
          <w:color w:val="000000"/>
          <w:shd w:val="clear" w:color="auto" w:fill="FFFFFF"/>
        </w:rPr>
        <w:t>dT</w:t>
      </w:r>
      <w:proofErr w:type="spellEnd"/>
      <w:r w:rsidR="0029663A" w:rsidRPr="00900D6C">
        <w:rPr>
          <w:rFonts w:cs="Tahoma"/>
          <w:color w:val="000000"/>
          <w:shd w:val="clear" w:color="auto" w:fill="FFFFFF"/>
        </w:rPr>
        <w:t>+</w:t>
      </w:r>
      <w:r w:rsidR="0029663A" w:rsidRPr="00900D6C">
        <w:rPr>
          <w:rFonts w:cs="Tahoma"/>
        </w:rPr>
        <w:t xml:space="preserve">) </w:t>
      </w:r>
      <w:r w:rsidR="00055FF5" w:rsidRPr="00900D6C">
        <w:t>which does not cause a typhoid-like enteric illness</w:t>
      </w:r>
      <w:r w:rsidR="0029663A" w:rsidRPr="00900D6C">
        <w:t xml:space="preserve"> (</w:t>
      </w:r>
      <w:r w:rsidR="00196AAD" w:rsidRPr="00900D6C">
        <w:t>4</w:t>
      </w:r>
      <w:r w:rsidR="0029663A" w:rsidRPr="00900D6C">
        <w:t>)</w:t>
      </w:r>
      <w:r w:rsidR="00055FF5" w:rsidRPr="00900D6C">
        <w:t xml:space="preserve">. </w:t>
      </w:r>
      <w:r w:rsidR="00A45CD8" w:rsidRPr="00900D6C">
        <w:t xml:space="preserve">Globally, </w:t>
      </w:r>
      <w:r w:rsidR="00A45CD8" w:rsidRPr="00900D6C">
        <w:rPr>
          <w:i/>
        </w:rPr>
        <w:t>S</w:t>
      </w:r>
      <w:r w:rsidR="00A45CD8" w:rsidRPr="00900D6C">
        <w:t>.</w:t>
      </w:r>
      <w:r w:rsidR="00CD6068" w:rsidRPr="00900D6C">
        <w:t xml:space="preserve"> </w:t>
      </w:r>
      <w:proofErr w:type="spellStart"/>
      <w:r w:rsidR="00A45CD8" w:rsidRPr="00900D6C">
        <w:t>Paratyphi</w:t>
      </w:r>
      <w:proofErr w:type="spellEnd"/>
      <w:r w:rsidR="00A45CD8" w:rsidRPr="00900D6C">
        <w:t xml:space="preserve"> A is the most frequently described of the </w:t>
      </w:r>
      <w:r w:rsidR="004937DA" w:rsidRPr="00900D6C">
        <w:t>three</w:t>
      </w:r>
      <w:r w:rsidR="00A45CD8" w:rsidRPr="00900D6C">
        <w:t xml:space="preserve"> </w:t>
      </w:r>
      <w:proofErr w:type="spellStart"/>
      <w:r w:rsidR="003707EE" w:rsidRPr="00900D6C">
        <w:t>serovars</w:t>
      </w:r>
      <w:proofErr w:type="spellEnd"/>
      <w:r w:rsidR="003707EE" w:rsidRPr="00900D6C">
        <w:t xml:space="preserve"> </w:t>
      </w:r>
      <w:r w:rsidR="0029663A" w:rsidRPr="00900D6C">
        <w:t>(</w:t>
      </w:r>
      <w:r w:rsidR="00196AAD" w:rsidRPr="00900D6C">
        <w:t>1</w:t>
      </w:r>
      <w:r w:rsidR="0029663A" w:rsidRPr="00900D6C">
        <w:t xml:space="preserve">, </w:t>
      </w:r>
      <w:r w:rsidR="00196AAD" w:rsidRPr="00900D6C">
        <w:t>5</w:t>
      </w:r>
      <w:r w:rsidR="0029663A" w:rsidRPr="00900D6C">
        <w:t>)</w:t>
      </w:r>
      <w:r w:rsidR="00FE41AC" w:rsidRPr="00900D6C">
        <w:t>.</w:t>
      </w:r>
      <w:r w:rsidR="00A45CD8" w:rsidRPr="00900D6C">
        <w:t xml:space="preserve"> Little is known about </w:t>
      </w:r>
      <w:proofErr w:type="spellStart"/>
      <w:r w:rsidR="003707EE" w:rsidRPr="00900D6C">
        <w:t>serovars</w:t>
      </w:r>
      <w:proofErr w:type="spellEnd"/>
      <w:r w:rsidR="003707EE" w:rsidRPr="00900D6C">
        <w:t xml:space="preserve"> </w:t>
      </w:r>
      <w:proofErr w:type="spellStart"/>
      <w:r w:rsidR="00A45CD8" w:rsidRPr="00900D6C">
        <w:t>Paratyphi</w:t>
      </w:r>
      <w:proofErr w:type="spellEnd"/>
      <w:r w:rsidR="00A45CD8" w:rsidRPr="00900D6C">
        <w:t xml:space="preserve"> B and </w:t>
      </w:r>
      <w:proofErr w:type="spellStart"/>
      <w:r w:rsidR="00A45CD8" w:rsidRPr="00900D6C">
        <w:t>Paratyphi</w:t>
      </w:r>
      <w:proofErr w:type="spellEnd"/>
      <w:r w:rsidR="00A45CD8" w:rsidRPr="00900D6C">
        <w:t xml:space="preserve"> C (</w:t>
      </w:r>
      <w:r w:rsidR="00196AAD" w:rsidRPr="00900D6C">
        <w:t>1</w:t>
      </w:r>
      <w:r w:rsidR="00A45CD8" w:rsidRPr="00900D6C">
        <w:t>)</w:t>
      </w:r>
      <w:r w:rsidR="00FE41AC" w:rsidRPr="00900D6C">
        <w:t>.</w:t>
      </w:r>
    </w:p>
    <w:p w14:paraId="3BD5F53F" w14:textId="77777777" w:rsidR="002A4B69" w:rsidRPr="00900D6C" w:rsidRDefault="002A4B69" w:rsidP="00900D6C">
      <w:pPr>
        <w:pStyle w:val="Heading2"/>
      </w:pPr>
      <w:r w:rsidRPr="00900D6C">
        <w:t>Reservoir</w:t>
      </w:r>
    </w:p>
    <w:p w14:paraId="1144BC46" w14:textId="77777777" w:rsidR="00BA01D7" w:rsidRDefault="00B1071A" w:rsidP="00EA19BA">
      <w:pPr>
        <w:ind w:right="-46"/>
        <w:rPr>
          <w:shd w:val="clear" w:color="auto" w:fill="FFFFFF"/>
        </w:rPr>
      </w:pPr>
      <w:r w:rsidRPr="00900D6C">
        <w:rPr>
          <w:i/>
          <w:shd w:val="clear" w:color="auto" w:fill="FFFFFF"/>
        </w:rPr>
        <w:t xml:space="preserve">S. </w:t>
      </w:r>
      <w:proofErr w:type="spellStart"/>
      <w:r w:rsidRPr="00900D6C">
        <w:rPr>
          <w:shd w:val="clear" w:color="auto" w:fill="FFFFFF"/>
        </w:rPr>
        <w:t>Typhi</w:t>
      </w:r>
      <w:proofErr w:type="spellEnd"/>
      <w:r w:rsidRPr="00900D6C">
        <w:rPr>
          <w:shd w:val="clear" w:color="auto" w:fill="FFFFFF"/>
        </w:rPr>
        <w:t xml:space="preserve"> – Humans are the only reservoir.</w:t>
      </w:r>
    </w:p>
    <w:p w14:paraId="796A3ACA" w14:textId="5ED0F49B" w:rsidR="00B1071A" w:rsidRPr="00900D6C" w:rsidRDefault="00B1071A" w:rsidP="00EA19BA">
      <w:pPr>
        <w:ind w:right="-46"/>
        <w:rPr>
          <w:shd w:val="clear" w:color="auto" w:fill="FFFFFF"/>
        </w:rPr>
      </w:pPr>
      <w:r w:rsidRPr="00900D6C">
        <w:rPr>
          <w:i/>
          <w:shd w:val="clear" w:color="auto" w:fill="FFFFFF"/>
        </w:rPr>
        <w:t>S.</w:t>
      </w:r>
      <w:r w:rsidRPr="00900D6C">
        <w:rPr>
          <w:shd w:val="clear" w:color="auto" w:fill="FFFFFF"/>
        </w:rPr>
        <w:t xml:space="preserve"> </w:t>
      </w:r>
      <w:proofErr w:type="spellStart"/>
      <w:r w:rsidR="00CD6068" w:rsidRPr="00900D6C">
        <w:rPr>
          <w:shd w:val="clear" w:color="auto" w:fill="FFFFFF"/>
        </w:rPr>
        <w:t>Paratyphi</w:t>
      </w:r>
      <w:proofErr w:type="spellEnd"/>
      <w:r w:rsidR="00CD6068" w:rsidRPr="00900D6C">
        <w:rPr>
          <w:shd w:val="clear" w:color="auto" w:fill="FFFFFF"/>
        </w:rPr>
        <w:t xml:space="preserve"> </w:t>
      </w:r>
      <w:r w:rsidRPr="00900D6C">
        <w:rPr>
          <w:shd w:val="clear" w:color="auto" w:fill="FFFFFF"/>
        </w:rPr>
        <w:t>A – Humans are the only reservoir.</w:t>
      </w:r>
    </w:p>
    <w:p w14:paraId="7B5E3DE2" w14:textId="72FDD7B3" w:rsidR="00B1071A" w:rsidRPr="00900D6C" w:rsidRDefault="00B1071A" w:rsidP="00EA19BA">
      <w:pPr>
        <w:ind w:right="-46"/>
      </w:pPr>
      <w:r w:rsidRPr="00900D6C">
        <w:rPr>
          <w:i/>
          <w:shd w:val="clear" w:color="auto" w:fill="FFFFFF"/>
        </w:rPr>
        <w:lastRenderedPageBreak/>
        <w:t>S.</w:t>
      </w:r>
      <w:r w:rsidR="00CD6068" w:rsidRPr="00900D6C">
        <w:rPr>
          <w:shd w:val="clear" w:color="auto" w:fill="FFFFFF"/>
        </w:rPr>
        <w:t xml:space="preserve"> </w:t>
      </w:r>
      <w:proofErr w:type="spellStart"/>
      <w:r w:rsidR="00CD6068" w:rsidRPr="00900D6C">
        <w:rPr>
          <w:shd w:val="clear" w:color="auto" w:fill="FFFFFF"/>
        </w:rPr>
        <w:t>Paratyphi</w:t>
      </w:r>
      <w:proofErr w:type="spellEnd"/>
      <w:r w:rsidR="00CD6068" w:rsidRPr="00900D6C">
        <w:rPr>
          <w:shd w:val="clear" w:color="auto" w:fill="FFFFFF"/>
        </w:rPr>
        <w:t xml:space="preserve"> </w:t>
      </w:r>
      <w:r w:rsidRPr="00900D6C">
        <w:rPr>
          <w:shd w:val="clear" w:color="auto" w:fill="FFFFFF"/>
        </w:rPr>
        <w:t>B and C - Humans are the princip</w:t>
      </w:r>
      <w:r w:rsidR="006251B5" w:rsidRPr="00900D6C">
        <w:rPr>
          <w:shd w:val="clear" w:color="auto" w:fill="FFFFFF"/>
        </w:rPr>
        <w:t>a</w:t>
      </w:r>
      <w:r w:rsidRPr="00900D6C">
        <w:rPr>
          <w:shd w:val="clear" w:color="auto" w:fill="FFFFFF"/>
        </w:rPr>
        <w:t>l reservoir</w:t>
      </w:r>
      <w:r w:rsidR="00162C20" w:rsidRPr="00900D6C">
        <w:rPr>
          <w:shd w:val="clear" w:color="auto" w:fill="FFFFFF"/>
        </w:rPr>
        <w:t xml:space="preserve"> (</w:t>
      </w:r>
      <w:r w:rsidR="00196AAD" w:rsidRPr="00900D6C">
        <w:rPr>
          <w:shd w:val="clear" w:color="auto" w:fill="FFFFFF"/>
        </w:rPr>
        <w:t>6</w:t>
      </w:r>
      <w:r w:rsidR="00162C20" w:rsidRPr="00900D6C">
        <w:rPr>
          <w:shd w:val="clear" w:color="auto" w:fill="FFFFFF"/>
        </w:rPr>
        <w:t>)</w:t>
      </w:r>
      <w:r w:rsidRPr="00900D6C">
        <w:rPr>
          <w:shd w:val="clear" w:color="auto" w:fill="FFFFFF"/>
        </w:rPr>
        <w:t xml:space="preserve">. Domestic animals may also carry these </w:t>
      </w:r>
      <w:proofErr w:type="spellStart"/>
      <w:r w:rsidRPr="00900D6C">
        <w:rPr>
          <w:shd w:val="clear" w:color="auto" w:fill="FFFFFF"/>
        </w:rPr>
        <w:t>serovars</w:t>
      </w:r>
      <w:proofErr w:type="spellEnd"/>
      <w:r w:rsidRPr="00900D6C">
        <w:rPr>
          <w:shd w:val="clear" w:color="auto" w:fill="FFFFFF"/>
        </w:rPr>
        <w:t>.</w:t>
      </w:r>
      <w:r w:rsidR="008C754D" w:rsidRPr="00900D6C">
        <w:t xml:space="preserve"> </w:t>
      </w:r>
      <w:proofErr w:type="spellStart"/>
      <w:r w:rsidR="008C754D" w:rsidRPr="00900D6C">
        <w:t>Paratyphi</w:t>
      </w:r>
      <w:proofErr w:type="spellEnd"/>
      <w:r w:rsidR="008C754D" w:rsidRPr="00900D6C">
        <w:t xml:space="preserve"> B infections have occasionally been associated with cattle </w:t>
      </w:r>
      <w:r w:rsidR="00162C20" w:rsidRPr="00900D6C">
        <w:t>(</w:t>
      </w:r>
      <w:r w:rsidR="00196AAD" w:rsidRPr="00900D6C">
        <w:t>7</w:t>
      </w:r>
      <w:r w:rsidR="00162C20" w:rsidRPr="00900D6C">
        <w:t>)</w:t>
      </w:r>
      <w:r w:rsidR="004146FF" w:rsidRPr="00900D6C">
        <w:t>.</w:t>
      </w:r>
    </w:p>
    <w:p w14:paraId="60232F39" w14:textId="54D574C9" w:rsidR="00FB487F" w:rsidRPr="00900D6C" w:rsidRDefault="00550143" w:rsidP="00EA19BA">
      <w:pPr>
        <w:ind w:right="-46"/>
      </w:pPr>
      <w:r w:rsidRPr="00900D6C">
        <w:rPr>
          <w:iCs/>
          <w:shd w:val="clear" w:color="auto" w:fill="FFFFFF"/>
        </w:rPr>
        <w:t xml:space="preserve">Both </w:t>
      </w:r>
      <w:r w:rsidR="00CA3708" w:rsidRPr="00900D6C">
        <w:rPr>
          <w:i/>
          <w:shd w:val="clear" w:color="auto" w:fill="FFFFFF"/>
        </w:rPr>
        <w:t xml:space="preserve">S. </w:t>
      </w:r>
      <w:proofErr w:type="spellStart"/>
      <w:r w:rsidR="00CA3708" w:rsidRPr="00900D6C">
        <w:rPr>
          <w:shd w:val="clear" w:color="auto" w:fill="FFFFFF"/>
        </w:rPr>
        <w:t>Typhi</w:t>
      </w:r>
      <w:proofErr w:type="spellEnd"/>
      <w:r w:rsidR="00CA3708" w:rsidRPr="00900D6C">
        <w:rPr>
          <w:shd w:val="clear" w:color="auto" w:fill="FFFFFF"/>
        </w:rPr>
        <w:t xml:space="preserve"> and </w:t>
      </w:r>
      <w:r w:rsidR="00CA3708" w:rsidRPr="00900D6C">
        <w:rPr>
          <w:i/>
          <w:shd w:val="clear" w:color="auto" w:fill="FFFFFF"/>
        </w:rPr>
        <w:t>S.</w:t>
      </w:r>
      <w:r w:rsidR="00CA3708" w:rsidRPr="00900D6C">
        <w:rPr>
          <w:shd w:val="clear" w:color="auto" w:fill="FFFFFF"/>
        </w:rPr>
        <w:t xml:space="preserve"> </w:t>
      </w:r>
      <w:proofErr w:type="spellStart"/>
      <w:r w:rsidR="00CA3708" w:rsidRPr="00900D6C">
        <w:rPr>
          <w:shd w:val="clear" w:color="auto" w:fill="FFFFFF"/>
        </w:rPr>
        <w:t>Paratyphi</w:t>
      </w:r>
      <w:proofErr w:type="spellEnd"/>
      <w:r w:rsidR="00CA3708" w:rsidRPr="00900D6C">
        <w:rPr>
          <w:shd w:val="clear" w:color="auto" w:fill="FFFFFF"/>
        </w:rPr>
        <w:t xml:space="preserve"> </w:t>
      </w:r>
      <w:r w:rsidR="00B1071A" w:rsidRPr="00900D6C">
        <w:rPr>
          <w:iCs/>
          <w:shd w:val="clear" w:color="auto" w:fill="FFFFFF"/>
        </w:rPr>
        <w:t>can survive in the environment (</w:t>
      </w:r>
      <w:r w:rsidR="001352B5" w:rsidRPr="00900D6C">
        <w:rPr>
          <w:iCs/>
          <w:shd w:val="clear" w:color="auto" w:fill="FFFFFF"/>
        </w:rPr>
        <w:t xml:space="preserve">Section </w:t>
      </w:r>
      <w:r w:rsidR="00935BEA" w:rsidRPr="00900D6C">
        <w:t xml:space="preserve">10. </w:t>
      </w:r>
      <w:proofErr w:type="gramStart"/>
      <w:r w:rsidR="00935BEA" w:rsidRPr="00900D6C">
        <w:t>Environmental evaluation</w:t>
      </w:r>
      <w:r w:rsidR="00B1071A" w:rsidRPr="00900D6C">
        <w:rPr>
          <w:iCs/>
          <w:shd w:val="clear" w:color="auto" w:fill="FFFFFF"/>
        </w:rPr>
        <w:t>).</w:t>
      </w:r>
      <w:proofErr w:type="gramEnd"/>
    </w:p>
    <w:p w14:paraId="40D78BDA" w14:textId="77777777" w:rsidR="002A4B69" w:rsidRPr="00900D6C" w:rsidRDefault="002A4B69" w:rsidP="00900D6C">
      <w:pPr>
        <w:pStyle w:val="Heading2"/>
      </w:pPr>
      <w:r w:rsidRPr="00900D6C">
        <w:t>Mode of transmission</w:t>
      </w:r>
    </w:p>
    <w:p w14:paraId="495AE101" w14:textId="42E19BD5" w:rsidR="00CB03FD" w:rsidRPr="00900D6C" w:rsidRDefault="00135BE5" w:rsidP="00EA19BA">
      <w:pPr>
        <w:ind w:right="-46"/>
      </w:pPr>
      <w:r w:rsidRPr="00900D6C">
        <w:rPr>
          <w:lang w:eastAsia="en-AU"/>
        </w:rPr>
        <w:t xml:space="preserve">Transmission is via the </w:t>
      </w:r>
      <w:r w:rsidR="003707EE" w:rsidRPr="00900D6C">
        <w:rPr>
          <w:lang w:eastAsia="en-AU"/>
        </w:rPr>
        <w:t>faecal</w:t>
      </w:r>
      <w:r w:rsidR="00BD7D69" w:rsidRPr="00900D6C">
        <w:rPr>
          <w:lang w:eastAsia="en-AU"/>
        </w:rPr>
        <w:t>-oral route</w:t>
      </w:r>
      <w:r w:rsidR="00550143" w:rsidRPr="00900D6C">
        <w:rPr>
          <w:lang w:eastAsia="en-AU"/>
        </w:rPr>
        <w:t>.</w:t>
      </w:r>
      <w:r w:rsidRPr="00900D6C">
        <w:rPr>
          <w:lang w:eastAsia="en-AU"/>
        </w:rPr>
        <w:t xml:space="preserve"> </w:t>
      </w:r>
      <w:r w:rsidR="00550143" w:rsidRPr="00900D6C">
        <w:rPr>
          <w:lang w:eastAsia="en-AU"/>
        </w:rPr>
        <w:t>O</w:t>
      </w:r>
      <w:r w:rsidR="00B33804" w:rsidRPr="00900D6C">
        <w:rPr>
          <w:lang w:eastAsia="en-AU"/>
        </w:rPr>
        <w:t>verwhelmingly</w:t>
      </w:r>
      <w:r w:rsidR="004B39EB" w:rsidRPr="00900D6C">
        <w:rPr>
          <w:lang w:eastAsia="en-AU"/>
        </w:rPr>
        <w:t>,</w:t>
      </w:r>
      <w:r w:rsidR="00B33804" w:rsidRPr="00900D6C">
        <w:rPr>
          <w:lang w:eastAsia="en-AU"/>
        </w:rPr>
        <w:t xml:space="preserve"> </w:t>
      </w:r>
      <w:r w:rsidR="00550143" w:rsidRPr="00900D6C">
        <w:rPr>
          <w:lang w:eastAsia="en-AU"/>
        </w:rPr>
        <w:t xml:space="preserve">transmission is </w:t>
      </w:r>
      <w:r w:rsidR="00B33804" w:rsidRPr="00900D6C">
        <w:rPr>
          <w:lang w:eastAsia="en-AU"/>
        </w:rPr>
        <w:t xml:space="preserve">indirect </w:t>
      </w:r>
      <w:r w:rsidR="006F59FB" w:rsidRPr="00900D6C">
        <w:t>by the</w:t>
      </w:r>
      <w:r w:rsidR="00FB487F" w:rsidRPr="00900D6C">
        <w:t xml:space="preserve"> </w:t>
      </w:r>
      <w:r w:rsidR="0063659E" w:rsidRPr="00900D6C">
        <w:t xml:space="preserve">ingestion of </w:t>
      </w:r>
      <w:r w:rsidR="0063659E" w:rsidRPr="00900D6C">
        <w:rPr>
          <w:lang w:eastAsia="en-AU"/>
        </w:rPr>
        <w:t>water and food</w:t>
      </w:r>
      <w:r w:rsidR="008C6FBE" w:rsidRPr="00900D6C">
        <w:rPr>
          <w:lang w:eastAsia="en-AU"/>
        </w:rPr>
        <w:t xml:space="preserve"> contaminated with faeces and/or urine</w:t>
      </w:r>
      <w:r w:rsidR="00550143" w:rsidRPr="00900D6C">
        <w:rPr>
          <w:lang w:eastAsia="en-AU"/>
        </w:rPr>
        <w:t xml:space="preserve">. </w:t>
      </w:r>
      <w:r w:rsidR="00BF1771" w:rsidRPr="00900D6C">
        <w:rPr>
          <w:lang w:eastAsia="en-AU"/>
        </w:rPr>
        <w:t>T</w:t>
      </w:r>
      <w:r w:rsidR="00BF1771" w:rsidRPr="00900D6C">
        <w:t>ransmission</w:t>
      </w:r>
      <w:r w:rsidR="00BF1771" w:rsidRPr="00900D6C">
        <w:rPr>
          <w:lang w:eastAsia="en-AU"/>
        </w:rPr>
        <w:t xml:space="preserve"> by direct p</w:t>
      </w:r>
      <w:r w:rsidR="00BF1771" w:rsidRPr="00900D6C">
        <w:t>erson</w:t>
      </w:r>
      <w:r w:rsidR="00D02951" w:rsidRPr="00900D6C">
        <w:t>-</w:t>
      </w:r>
      <w:r w:rsidR="00BF1771" w:rsidRPr="00900D6C">
        <w:t>to</w:t>
      </w:r>
      <w:r w:rsidR="004B39EB" w:rsidRPr="00900D6C">
        <w:t>-</w:t>
      </w:r>
      <w:r w:rsidR="00BF1771" w:rsidRPr="00900D6C">
        <w:t xml:space="preserve">person </w:t>
      </w:r>
      <w:r w:rsidR="00BF1771" w:rsidRPr="00900D6C">
        <w:rPr>
          <w:lang w:eastAsia="en-AU"/>
        </w:rPr>
        <w:t xml:space="preserve">contact </w:t>
      </w:r>
      <w:r w:rsidR="00B33804" w:rsidRPr="00900D6C">
        <w:rPr>
          <w:lang w:eastAsia="en-AU"/>
        </w:rPr>
        <w:t xml:space="preserve">can occur but </w:t>
      </w:r>
      <w:r w:rsidR="00BF1771" w:rsidRPr="00900D6C">
        <w:rPr>
          <w:lang w:eastAsia="en-AU"/>
        </w:rPr>
        <w:t>is rare</w:t>
      </w:r>
      <w:r w:rsidR="00B33804" w:rsidRPr="00900D6C">
        <w:rPr>
          <w:lang w:eastAsia="en-AU"/>
        </w:rPr>
        <w:t xml:space="preserve"> </w:t>
      </w:r>
      <w:r w:rsidR="00162C20" w:rsidRPr="00900D6C">
        <w:rPr>
          <w:lang w:eastAsia="en-AU"/>
        </w:rPr>
        <w:t>(</w:t>
      </w:r>
      <w:r w:rsidR="00196AAD" w:rsidRPr="00900D6C">
        <w:rPr>
          <w:lang w:eastAsia="en-AU"/>
        </w:rPr>
        <w:t>8</w:t>
      </w:r>
      <w:r w:rsidR="00162C20" w:rsidRPr="00900D6C">
        <w:rPr>
          <w:lang w:eastAsia="en-AU"/>
        </w:rPr>
        <w:t>)</w:t>
      </w:r>
      <w:r w:rsidR="004146FF" w:rsidRPr="00900D6C">
        <w:rPr>
          <w:lang w:eastAsia="en-AU"/>
        </w:rPr>
        <w:t>.</w:t>
      </w:r>
      <w:r w:rsidR="0063659E" w:rsidRPr="00900D6C">
        <w:rPr>
          <w:lang w:eastAsia="en-AU"/>
        </w:rPr>
        <w:t xml:space="preserve"> </w:t>
      </w:r>
      <w:r w:rsidR="00436780" w:rsidRPr="00900D6C">
        <w:rPr>
          <w:lang w:eastAsia="en-AU"/>
        </w:rPr>
        <w:t>C</w:t>
      </w:r>
      <w:r w:rsidR="00CB03FD" w:rsidRPr="00900D6C">
        <w:t>hronic carriers</w:t>
      </w:r>
      <w:r w:rsidR="00436780" w:rsidRPr="00900D6C">
        <w:t xml:space="preserve"> transmit typhoid by contaminating food as a consequence of unsatisfactory hygiene practices</w:t>
      </w:r>
      <w:r w:rsidR="00CB03FD" w:rsidRPr="00900D6C">
        <w:t xml:space="preserve"> </w:t>
      </w:r>
      <w:r w:rsidR="009E59DF" w:rsidRPr="00900D6C">
        <w:t>(12)</w:t>
      </w:r>
      <w:r w:rsidR="00CB03FD" w:rsidRPr="00900D6C">
        <w:t>.</w:t>
      </w:r>
      <w:r w:rsidR="008257BF" w:rsidRPr="00900D6C">
        <w:t xml:space="preserve"> </w:t>
      </w:r>
      <w:r w:rsidR="00C952F2" w:rsidRPr="00900D6C">
        <w:t>Little is known about chronic paratyphoid carriage.</w:t>
      </w:r>
    </w:p>
    <w:p w14:paraId="4E41874B" w14:textId="0AE04023" w:rsidR="00CA3708" w:rsidRPr="00900D6C" w:rsidRDefault="00F05A60" w:rsidP="00EA19BA">
      <w:pPr>
        <w:ind w:right="-46"/>
        <w:rPr>
          <w:shd w:val="clear" w:color="auto" w:fill="FFFFFF"/>
        </w:rPr>
      </w:pPr>
      <w:r w:rsidRPr="00900D6C">
        <w:t xml:space="preserve">Food was identified as the source of paratyphoid </w:t>
      </w:r>
      <w:proofErr w:type="gramStart"/>
      <w:r w:rsidRPr="00900D6C">
        <w:t>A</w:t>
      </w:r>
      <w:proofErr w:type="gramEnd"/>
      <w:r w:rsidRPr="00900D6C">
        <w:t xml:space="preserve"> </w:t>
      </w:r>
      <w:r w:rsidR="009C0539" w:rsidRPr="00900D6C">
        <w:t xml:space="preserve">infection </w:t>
      </w:r>
      <w:r w:rsidRPr="00900D6C">
        <w:t>following an outbreak among travel</w:t>
      </w:r>
      <w:r w:rsidR="00F95468" w:rsidRPr="00900D6C">
        <w:t>l</w:t>
      </w:r>
      <w:r w:rsidRPr="00900D6C">
        <w:t>ers returning f</w:t>
      </w:r>
      <w:r w:rsidR="00550143" w:rsidRPr="00900D6C">
        <w:t>ro</w:t>
      </w:r>
      <w:r w:rsidRPr="00900D6C">
        <w:t xml:space="preserve">m Nepal </w:t>
      </w:r>
      <w:r w:rsidR="00A04C70" w:rsidRPr="00900D6C">
        <w:t>(</w:t>
      </w:r>
      <w:r w:rsidR="00196AAD" w:rsidRPr="00900D6C">
        <w:t>5</w:t>
      </w:r>
      <w:r w:rsidR="00A04C70" w:rsidRPr="00900D6C">
        <w:t xml:space="preserve">, </w:t>
      </w:r>
      <w:r w:rsidR="00196AAD" w:rsidRPr="00900D6C">
        <w:t>8</w:t>
      </w:r>
      <w:r w:rsidR="00A04C70" w:rsidRPr="00900D6C">
        <w:t xml:space="preserve">, </w:t>
      </w:r>
      <w:r w:rsidR="00196AAD" w:rsidRPr="00900D6C">
        <w:t>9</w:t>
      </w:r>
      <w:r w:rsidR="00A04C70" w:rsidRPr="00900D6C">
        <w:t>)</w:t>
      </w:r>
      <w:r w:rsidR="004146FF" w:rsidRPr="00900D6C">
        <w:t>.</w:t>
      </w:r>
      <w:r w:rsidR="00FB487F" w:rsidRPr="00900D6C">
        <w:rPr>
          <w:rFonts w:eastAsia="Times New Roman" w:cs="Times New Roman"/>
          <w:lang w:eastAsia="en-AU"/>
        </w:rPr>
        <w:t xml:space="preserve"> </w:t>
      </w:r>
      <w:r w:rsidR="009C0539" w:rsidRPr="00900D6C">
        <w:rPr>
          <w:rFonts w:eastAsia="Times New Roman" w:cs="Times New Roman"/>
          <w:lang w:eastAsia="en-AU"/>
        </w:rPr>
        <w:t>T</w:t>
      </w:r>
      <w:r w:rsidR="009C0539" w:rsidRPr="00900D6C">
        <w:t>o explain the higher incidence of paratyphoid in returned travellers, authors of a</w:t>
      </w:r>
      <w:r w:rsidR="00686E5A" w:rsidRPr="00900D6C">
        <w:t xml:space="preserve"> Swedish study of enteric fever</w:t>
      </w:r>
      <w:r w:rsidR="008257BF" w:rsidRPr="00900D6C">
        <w:t xml:space="preserve"> (typhoid fever or paratyphoid fever)</w:t>
      </w:r>
      <w:r w:rsidR="00686E5A" w:rsidRPr="00900D6C">
        <w:t xml:space="preserve"> surmised that </w:t>
      </w:r>
      <w:r w:rsidR="00786325" w:rsidRPr="00900D6C">
        <w:t>travel</w:t>
      </w:r>
      <w:r w:rsidR="00F95468" w:rsidRPr="00900D6C">
        <w:t>l</w:t>
      </w:r>
      <w:r w:rsidR="00786325" w:rsidRPr="00900D6C">
        <w:t xml:space="preserve">ers are more likely to be exposed to food from street vendors infected by </w:t>
      </w:r>
      <w:r w:rsidR="00786325" w:rsidRPr="00900D6C">
        <w:rPr>
          <w:i/>
        </w:rPr>
        <w:t>S</w:t>
      </w:r>
      <w:r w:rsidR="00786325" w:rsidRPr="00900D6C">
        <w:t>.</w:t>
      </w:r>
      <w:r w:rsidR="00594927" w:rsidRPr="00900D6C">
        <w:t xml:space="preserve"> </w:t>
      </w:r>
      <w:proofErr w:type="spellStart"/>
      <w:r w:rsidR="00594927" w:rsidRPr="00900D6C">
        <w:t>Paratyphi</w:t>
      </w:r>
      <w:proofErr w:type="spellEnd"/>
      <w:r w:rsidR="00594927" w:rsidRPr="00900D6C">
        <w:t xml:space="preserve"> </w:t>
      </w:r>
      <w:r w:rsidR="00786325" w:rsidRPr="00900D6C">
        <w:t xml:space="preserve">than to persons carrying </w:t>
      </w:r>
      <w:r w:rsidR="00786325" w:rsidRPr="00900D6C">
        <w:rPr>
          <w:i/>
        </w:rPr>
        <w:t>S</w:t>
      </w:r>
      <w:r w:rsidR="00786325" w:rsidRPr="00900D6C">
        <w:t>.</w:t>
      </w:r>
      <w:r w:rsidR="00594927" w:rsidRPr="00900D6C">
        <w:t xml:space="preserve"> </w:t>
      </w:r>
      <w:proofErr w:type="spellStart"/>
      <w:r w:rsidR="00594927" w:rsidRPr="00900D6C">
        <w:t>T</w:t>
      </w:r>
      <w:r w:rsidR="00786325" w:rsidRPr="00900D6C">
        <w:t>yphi</w:t>
      </w:r>
      <w:proofErr w:type="spellEnd"/>
      <w:r w:rsidR="00686E5A" w:rsidRPr="00900D6C">
        <w:t xml:space="preserve"> </w:t>
      </w:r>
      <w:r w:rsidR="00E56A9C" w:rsidRPr="00900D6C">
        <w:rPr>
          <w:shd w:val="clear" w:color="auto" w:fill="FFFFFF"/>
        </w:rPr>
        <w:t>(</w:t>
      </w:r>
      <w:r w:rsidR="00196AAD" w:rsidRPr="00900D6C">
        <w:rPr>
          <w:shd w:val="clear" w:color="auto" w:fill="FFFFFF"/>
        </w:rPr>
        <w:t>10</w:t>
      </w:r>
      <w:r w:rsidR="00E56A9C" w:rsidRPr="00900D6C">
        <w:rPr>
          <w:shd w:val="clear" w:color="auto" w:fill="FFFFFF"/>
        </w:rPr>
        <w:t>)</w:t>
      </w:r>
      <w:r w:rsidR="004146FF" w:rsidRPr="00900D6C">
        <w:rPr>
          <w:shd w:val="clear" w:color="auto" w:fill="FFFFFF"/>
        </w:rPr>
        <w:t>.</w:t>
      </w:r>
      <w:r w:rsidRPr="00900D6C">
        <w:rPr>
          <w:shd w:val="clear" w:color="auto" w:fill="FFFFFF"/>
        </w:rPr>
        <w:t xml:space="preserve"> </w:t>
      </w:r>
      <w:r w:rsidR="00CA3708" w:rsidRPr="00900D6C">
        <w:rPr>
          <w:shd w:val="clear" w:color="auto" w:fill="FFFFFF"/>
        </w:rPr>
        <w:t>Imported foods have also been associated with outbreaks of typhoid</w:t>
      </w:r>
      <w:r w:rsidR="005603B2" w:rsidRPr="00900D6C">
        <w:rPr>
          <w:shd w:val="clear" w:color="auto" w:fill="FFFFFF"/>
        </w:rPr>
        <w:t xml:space="preserve"> (</w:t>
      </w:r>
      <w:r w:rsidR="00196AAD" w:rsidRPr="00900D6C">
        <w:rPr>
          <w:shd w:val="clear" w:color="auto" w:fill="FFFFFF"/>
        </w:rPr>
        <w:t>11</w:t>
      </w:r>
      <w:r w:rsidR="005603B2" w:rsidRPr="00900D6C">
        <w:rPr>
          <w:shd w:val="clear" w:color="auto" w:fill="FFFFFF"/>
        </w:rPr>
        <w:t>)</w:t>
      </w:r>
      <w:r w:rsidR="00E66BD2" w:rsidRPr="00900D6C">
        <w:rPr>
          <w:shd w:val="clear" w:color="auto" w:fill="FFFFFF"/>
        </w:rPr>
        <w:t>.</w:t>
      </w:r>
    </w:p>
    <w:p w14:paraId="05F4D84A" w14:textId="77777777" w:rsidR="002A4B69" w:rsidRPr="00900D6C" w:rsidRDefault="002A4B69" w:rsidP="00900D6C">
      <w:pPr>
        <w:pStyle w:val="Heading2"/>
      </w:pPr>
      <w:r w:rsidRPr="00900D6C">
        <w:t>Incubation period</w:t>
      </w:r>
    </w:p>
    <w:p w14:paraId="7437F0B2" w14:textId="77777777" w:rsidR="00BA01D7" w:rsidRDefault="00550143" w:rsidP="00EA19BA">
      <w:pPr>
        <w:ind w:right="-46"/>
        <w:rPr>
          <w:lang w:eastAsia="en-AU"/>
        </w:rPr>
      </w:pPr>
      <w:r w:rsidRPr="00900D6C">
        <w:rPr>
          <w:u w:val="single"/>
        </w:rPr>
        <w:t>Typhoid</w:t>
      </w:r>
      <w:r w:rsidRPr="00900D6C">
        <w:t xml:space="preserve"> - </w:t>
      </w:r>
      <w:r w:rsidR="00C31636" w:rsidRPr="00900D6C">
        <w:t>Range</w:t>
      </w:r>
      <w:r w:rsidR="0063659E" w:rsidRPr="00900D6C">
        <w:t>s from</w:t>
      </w:r>
      <w:r w:rsidR="00C31636" w:rsidRPr="00900D6C">
        <w:rPr>
          <w:lang w:eastAsia="en-AU"/>
        </w:rPr>
        <w:t xml:space="preserve"> </w:t>
      </w:r>
      <w:r w:rsidR="004B39EB" w:rsidRPr="00900D6C">
        <w:rPr>
          <w:lang w:eastAsia="en-AU"/>
        </w:rPr>
        <w:t>three</w:t>
      </w:r>
      <w:r w:rsidR="00C31636" w:rsidRPr="00900D6C">
        <w:rPr>
          <w:lang w:eastAsia="en-AU"/>
        </w:rPr>
        <w:t xml:space="preserve"> days to </w:t>
      </w:r>
      <w:r w:rsidR="001F42D8" w:rsidRPr="00900D6C">
        <w:rPr>
          <w:lang w:eastAsia="en-AU"/>
        </w:rPr>
        <w:t xml:space="preserve">more than </w:t>
      </w:r>
      <w:r w:rsidR="00BD7D69" w:rsidRPr="00900D6C">
        <w:rPr>
          <w:lang w:eastAsia="en-AU"/>
        </w:rPr>
        <w:t>6</w:t>
      </w:r>
      <w:r w:rsidR="00C31636" w:rsidRPr="00900D6C">
        <w:rPr>
          <w:lang w:eastAsia="en-AU"/>
        </w:rPr>
        <w:t>0 days (depending on infective dose</w:t>
      </w:r>
      <w:r w:rsidR="007204AC" w:rsidRPr="00900D6C">
        <w:rPr>
          <w:lang w:eastAsia="en-AU"/>
        </w:rPr>
        <w:t xml:space="preserve"> and host factors</w:t>
      </w:r>
      <w:r w:rsidR="00C31636" w:rsidRPr="00900D6C">
        <w:rPr>
          <w:lang w:eastAsia="en-AU"/>
        </w:rPr>
        <w:t xml:space="preserve">), </w:t>
      </w:r>
      <w:r w:rsidR="0063659E" w:rsidRPr="00900D6C">
        <w:rPr>
          <w:lang w:eastAsia="en-AU"/>
        </w:rPr>
        <w:t xml:space="preserve">but is </w:t>
      </w:r>
      <w:r w:rsidR="00C31636" w:rsidRPr="00900D6C">
        <w:t>typical</w:t>
      </w:r>
      <w:r w:rsidR="00C31636" w:rsidRPr="00900D6C">
        <w:rPr>
          <w:lang w:eastAsia="en-AU"/>
        </w:rPr>
        <w:t xml:space="preserve">ly </w:t>
      </w:r>
      <w:r w:rsidR="004B39EB" w:rsidRPr="00900D6C">
        <w:rPr>
          <w:lang w:eastAsia="en-AU"/>
        </w:rPr>
        <w:t>eight</w:t>
      </w:r>
      <w:r w:rsidR="00C31636" w:rsidRPr="00900D6C">
        <w:rPr>
          <w:lang w:eastAsia="en-AU"/>
        </w:rPr>
        <w:t xml:space="preserve"> </w:t>
      </w:r>
      <w:r w:rsidR="00E71C74" w:rsidRPr="00900D6C">
        <w:rPr>
          <w:lang w:eastAsia="en-AU"/>
        </w:rPr>
        <w:t>to</w:t>
      </w:r>
      <w:r w:rsidR="00C31636" w:rsidRPr="00900D6C">
        <w:rPr>
          <w:lang w:eastAsia="en-AU"/>
        </w:rPr>
        <w:t xml:space="preserve"> 14 days.</w:t>
      </w:r>
    </w:p>
    <w:p w14:paraId="120C2522" w14:textId="63B04C3D" w:rsidR="00550143" w:rsidRPr="00900D6C" w:rsidRDefault="00550143" w:rsidP="00EA19BA">
      <w:pPr>
        <w:ind w:right="-46"/>
      </w:pPr>
      <w:r w:rsidRPr="00900D6C">
        <w:rPr>
          <w:u w:val="single"/>
          <w:lang w:eastAsia="en-AU"/>
        </w:rPr>
        <w:t>Paratyphoid</w:t>
      </w:r>
      <w:r w:rsidRPr="00900D6C">
        <w:rPr>
          <w:lang w:eastAsia="en-AU"/>
        </w:rPr>
        <w:t xml:space="preserve"> - </w:t>
      </w:r>
      <w:r w:rsidR="009C0BFA" w:rsidRPr="00900D6C">
        <w:t xml:space="preserve">The incubation period for </w:t>
      </w:r>
      <w:r w:rsidR="009C0BFA" w:rsidRPr="00900D6C">
        <w:rPr>
          <w:i/>
        </w:rPr>
        <w:t>S.</w:t>
      </w:r>
      <w:r w:rsidR="009C0BFA" w:rsidRPr="00900D6C">
        <w:t xml:space="preserve"> </w:t>
      </w:r>
      <w:proofErr w:type="spellStart"/>
      <w:r w:rsidR="009C0BFA" w:rsidRPr="00900D6C">
        <w:t>Paratyphi</w:t>
      </w:r>
      <w:proofErr w:type="spellEnd"/>
      <w:r w:rsidR="009C0BFA" w:rsidRPr="00900D6C">
        <w:t xml:space="preserve"> is significantly shorter than for typhoid, usually </w:t>
      </w:r>
      <w:r w:rsidR="004B39EB" w:rsidRPr="00900D6C">
        <w:t>one</w:t>
      </w:r>
      <w:r w:rsidR="009C0BFA" w:rsidRPr="00900D6C">
        <w:t xml:space="preserve">-10 days </w:t>
      </w:r>
      <w:r w:rsidR="00162C20" w:rsidRPr="00900D6C">
        <w:t>(</w:t>
      </w:r>
      <w:r w:rsidR="00196AAD" w:rsidRPr="00900D6C">
        <w:t>6</w:t>
      </w:r>
      <w:r w:rsidR="00162C20" w:rsidRPr="00900D6C">
        <w:t>)</w:t>
      </w:r>
      <w:r w:rsidR="009C0BFA" w:rsidRPr="00900D6C">
        <w:t>.</w:t>
      </w:r>
    </w:p>
    <w:p w14:paraId="54658E41" w14:textId="55FEFE7F" w:rsidR="0078400F" w:rsidRPr="00900D6C" w:rsidRDefault="0078400F" w:rsidP="00EA19BA">
      <w:pPr>
        <w:ind w:right="-46"/>
        <w:rPr>
          <w:rFonts w:eastAsia="Times New Roman" w:cs="Times New Roman"/>
          <w:lang w:eastAsia="en-AU"/>
        </w:rPr>
      </w:pPr>
      <w:r w:rsidRPr="00900D6C">
        <w:rPr>
          <w:rFonts w:eastAsia="Times New Roman" w:cs="Times New Roman"/>
          <w:lang w:eastAsia="en-AU"/>
        </w:rPr>
        <w:t>The inoculum size and the type of vehicle in which the organisms are ingested</w:t>
      </w:r>
      <w:r w:rsidR="002C1EA1" w:rsidRPr="00900D6C">
        <w:rPr>
          <w:rFonts w:eastAsia="Times New Roman" w:cs="Times New Roman"/>
          <w:lang w:eastAsia="en-AU"/>
        </w:rPr>
        <w:t>,</w:t>
      </w:r>
      <w:r w:rsidRPr="00900D6C">
        <w:rPr>
          <w:rFonts w:eastAsia="Times New Roman" w:cs="Times New Roman"/>
          <w:lang w:eastAsia="en-AU"/>
        </w:rPr>
        <w:t xml:space="preserve"> greatly influence both the incubation period and the attack rate</w:t>
      </w:r>
      <w:r w:rsidR="009C0BFA" w:rsidRPr="00900D6C">
        <w:rPr>
          <w:rFonts w:eastAsia="Times New Roman" w:cs="Times New Roman"/>
          <w:lang w:eastAsia="en-AU"/>
        </w:rPr>
        <w:t xml:space="preserve"> </w:t>
      </w:r>
      <w:r w:rsidR="005603B2" w:rsidRPr="00900D6C">
        <w:rPr>
          <w:rFonts w:eastAsia="Times New Roman" w:cs="Times New Roman"/>
          <w:lang w:eastAsia="en-AU"/>
        </w:rPr>
        <w:t>(</w:t>
      </w:r>
      <w:r w:rsidR="00196AAD" w:rsidRPr="00900D6C">
        <w:rPr>
          <w:rFonts w:eastAsia="Times New Roman" w:cs="Times New Roman"/>
          <w:lang w:eastAsia="en-AU"/>
        </w:rPr>
        <w:t>12</w:t>
      </w:r>
      <w:r w:rsidR="005603B2" w:rsidRPr="00900D6C">
        <w:rPr>
          <w:rFonts w:eastAsia="Times New Roman" w:cs="Times New Roman"/>
          <w:lang w:eastAsia="en-AU"/>
        </w:rPr>
        <w:t>)</w:t>
      </w:r>
      <w:r w:rsidR="004146FF" w:rsidRPr="00900D6C">
        <w:rPr>
          <w:rFonts w:eastAsia="Times New Roman" w:cs="Times New Roman"/>
          <w:lang w:eastAsia="en-AU"/>
        </w:rPr>
        <w:t>.</w:t>
      </w:r>
      <w:r w:rsidRPr="00900D6C">
        <w:rPr>
          <w:rFonts w:eastAsia="Times New Roman" w:cs="Times New Roman"/>
          <w:lang w:eastAsia="en-AU"/>
        </w:rPr>
        <w:t xml:space="preserve"> </w:t>
      </w:r>
      <w:r w:rsidR="009270C7" w:rsidRPr="00900D6C">
        <w:t xml:space="preserve">The infective dose for paratyphoid is higher than for typhoid </w:t>
      </w:r>
      <w:r w:rsidR="005603B2" w:rsidRPr="00900D6C">
        <w:t>(</w:t>
      </w:r>
      <w:r w:rsidR="00196AAD" w:rsidRPr="00900D6C">
        <w:t>13</w:t>
      </w:r>
      <w:r w:rsidR="005603B2" w:rsidRPr="00900D6C">
        <w:t>)</w:t>
      </w:r>
      <w:r w:rsidR="005612CB" w:rsidRPr="00900D6C">
        <w:t>.</w:t>
      </w:r>
    </w:p>
    <w:p w14:paraId="7C668BC6" w14:textId="77777777" w:rsidR="002A4B69" w:rsidRPr="00900D6C" w:rsidRDefault="002A4B69" w:rsidP="00900D6C">
      <w:pPr>
        <w:pStyle w:val="Heading2"/>
      </w:pPr>
      <w:r w:rsidRPr="00900D6C">
        <w:t>Infectious period</w:t>
      </w:r>
    </w:p>
    <w:p w14:paraId="050D3015" w14:textId="381599AA" w:rsidR="00550143" w:rsidRPr="00900D6C" w:rsidRDefault="00550143" w:rsidP="00EA19BA">
      <w:pPr>
        <w:ind w:right="-46"/>
      </w:pPr>
      <w:r w:rsidRPr="00900D6C">
        <w:rPr>
          <w:u w:val="single"/>
        </w:rPr>
        <w:t>Typhoid</w:t>
      </w:r>
      <w:r w:rsidRPr="00900D6C">
        <w:t xml:space="preserve"> - </w:t>
      </w:r>
      <w:r w:rsidR="001F42D8" w:rsidRPr="00900D6C">
        <w:t>The infectious period lasts</w:t>
      </w:r>
      <w:r w:rsidR="00C31636" w:rsidRPr="00900D6C">
        <w:rPr>
          <w:lang w:eastAsia="en-AU"/>
        </w:rPr>
        <w:t xml:space="preserve"> as long as the bac</w:t>
      </w:r>
      <w:r w:rsidR="00054179" w:rsidRPr="00900D6C">
        <w:rPr>
          <w:lang w:eastAsia="en-AU"/>
        </w:rPr>
        <w:t>teria</w:t>
      </w:r>
      <w:r w:rsidR="00C31636" w:rsidRPr="00900D6C">
        <w:rPr>
          <w:lang w:eastAsia="en-AU"/>
        </w:rPr>
        <w:t xml:space="preserve"> a</w:t>
      </w:r>
      <w:r w:rsidR="00054179" w:rsidRPr="00900D6C">
        <w:rPr>
          <w:lang w:eastAsia="en-AU"/>
        </w:rPr>
        <w:t>re present</w:t>
      </w:r>
      <w:r w:rsidR="00C31636" w:rsidRPr="00900D6C">
        <w:rPr>
          <w:lang w:eastAsia="en-AU"/>
        </w:rPr>
        <w:t xml:space="preserve"> in excreta, usually from the first week of illness</w:t>
      </w:r>
      <w:r w:rsidR="008D2A04" w:rsidRPr="00900D6C">
        <w:rPr>
          <w:lang w:eastAsia="en-AU"/>
        </w:rPr>
        <w:t xml:space="preserve"> </w:t>
      </w:r>
      <w:r w:rsidR="00054179" w:rsidRPr="00900D6C">
        <w:rPr>
          <w:lang w:eastAsia="en-AU"/>
        </w:rPr>
        <w:t xml:space="preserve">and </w:t>
      </w:r>
      <w:r w:rsidR="008D2A04" w:rsidRPr="00900D6C">
        <w:rPr>
          <w:lang w:eastAsia="en-AU"/>
        </w:rPr>
        <w:t>throughout convalescence</w:t>
      </w:r>
      <w:r w:rsidR="00EA0CB9" w:rsidRPr="00900D6C">
        <w:rPr>
          <w:lang w:eastAsia="en-AU"/>
        </w:rPr>
        <w:t>. Left untreated, about 10</w:t>
      </w:r>
      <w:r w:rsidR="00B31B14" w:rsidRPr="00900D6C">
        <w:rPr>
          <w:lang w:eastAsia="en-AU"/>
        </w:rPr>
        <w:t>%</w:t>
      </w:r>
      <w:r w:rsidR="00EA0CB9" w:rsidRPr="00900D6C">
        <w:rPr>
          <w:lang w:eastAsia="en-AU"/>
        </w:rPr>
        <w:t xml:space="preserve"> of typhoid fever patients will discharge </w:t>
      </w:r>
      <w:r w:rsidR="00EA0CB9" w:rsidRPr="00900D6C">
        <w:rPr>
          <w:i/>
          <w:lang w:eastAsia="en-AU"/>
        </w:rPr>
        <w:t>S</w:t>
      </w:r>
      <w:r w:rsidR="00054179" w:rsidRPr="00900D6C">
        <w:rPr>
          <w:i/>
          <w:lang w:eastAsia="en-AU"/>
        </w:rPr>
        <w:t>.</w:t>
      </w:r>
      <w:r w:rsidR="00054179" w:rsidRPr="00900D6C">
        <w:rPr>
          <w:lang w:eastAsia="en-AU"/>
        </w:rPr>
        <w:t xml:space="preserve"> </w:t>
      </w:r>
      <w:proofErr w:type="spellStart"/>
      <w:r w:rsidR="00054179" w:rsidRPr="00900D6C">
        <w:rPr>
          <w:lang w:eastAsia="en-AU"/>
        </w:rPr>
        <w:t>T</w:t>
      </w:r>
      <w:r w:rsidR="00EA0CB9" w:rsidRPr="00900D6C">
        <w:rPr>
          <w:lang w:eastAsia="en-AU"/>
        </w:rPr>
        <w:t>yphi</w:t>
      </w:r>
      <w:proofErr w:type="spellEnd"/>
      <w:r w:rsidR="00EA0CB9" w:rsidRPr="00900D6C">
        <w:rPr>
          <w:lang w:eastAsia="en-AU"/>
        </w:rPr>
        <w:t xml:space="preserve"> for three months after the onset of symptoms</w:t>
      </w:r>
      <w:r w:rsidR="002D46AD" w:rsidRPr="00900D6C">
        <w:rPr>
          <w:lang w:eastAsia="en-AU"/>
        </w:rPr>
        <w:t xml:space="preserve"> </w:t>
      </w:r>
      <w:r w:rsidR="00162C20" w:rsidRPr="00900D6C">
        <w:rPr>
          <w:lang w:eastAsia="en-AU"/>
        </w:rPr>
        <w:t>(</w:t>
      </w:r>
      <w:r w:rsidR="00196AAD" w:rsidRPr="00900D6C">
        <w:rPr>
          <w:lang w:eastAsia="en-AU"/>
        </w:rPr>
        <w:t>6</w:t>
      </w:r>
      <w:r w:rsidR="00162C20" w:rsidRPr="00900D6C">
        <w:rPr>
          <w:lang w:eastAsia="en-AU"/>
        </w:rPr>
        <w:t>)</w:t>
      </w:r>
      <w:r w:rsidR="00CF46C3" w:rsidRPr="00900D6C">
        <w:rPr>
          <w:lang w:eastAsia="en-AU"/>
        </w:rPr>
        <w:t xml:space="preserve"> and </w:t>
      </w:r>
      <w:r w:rsidR="00B31B14" w:rsidRPr="00900D6C">
        <w:rPr>
          <w:lang w:eastAsia="en-AU"/>
        </w:rPr>
        <w:t>3-5%</w:t>
      </w:r>
      <w:r w:rsidR="00CF46C3" w:rsidRPr="00900D6C">
        <w:rPr>
          <w:lang w:eastAsia="en-AU"/>
        </w:rPr>
        <w:t xml:space="preserve"> become chronic carriers</w:t>
      </w:r>
      <w:r w:rsidR="00EA0CB9" w:rsidRPr="00900D6C">
        <w:rPr>
          <w:lang w:eastAsia="en-AU"/>
        </w:rPr>
        <w:t xml:space="preserve"> </w:t>
      </w:r>
      <w:r w:rsidR="005603B2" w:rsidRPr="00900D6C">
        <w:rPr>
          <w:lang w:eastAsia="en-AU"/>
        </w:rPr>
        <w:t>(</w:t>
      </w:r>
      <w:r w:rsidR="00196AAD" w:rsidRPr="00900D6C">
        <w:rPr>
          <w:lang w:eastAsia="en-AU"/>
        </w:rPr>
        <w:t>6</w:t>
      </w:r>
      <w:r w:rsidR="005603B2" w:rsidRPr="00900D6C">
        <w:rPr>
          <w:lang w:eastAsia="en-AU"/>
        </w:rPr>
        <w:t xml:space="preserve">, </w:t>
      </w:r>
      <w:r w:rsidR="00196AAD" w:rsidRPr="00900D6C">
        <w:rPr>
          <w:lang w:eastAsia="en-AU"/>
        </w:rPr>
        <w:t>14</w:t>
      </w:r>
      <w:r w:rsidR="005603B2" w:rsidRPr="00900D6C">
        <w:rPr>
          <w:lang w:eastAsia="en-AU"/>
        </w:rPr>
        <w:t xml:space="preserve">, </w:t>
      </w:r>
      <w:r w:rsidR="00196AAD" w:rsidRPr="00900D6C">
        <w:rPr>
          <w:lang w:eastAsia="en-AU"/>
        </w:rPr>
        <w:t>15</w:t>
      </w:r>
      <w:r w:rsidR="005603B2" w:rsidRPr="00900D6C">
        <w:rPr>
          <w:lang w:eastAsia="en-AU"/>
        </w:rPr>
        <w:t>)</w:t>
      </w:r>
      <w:r w:rsidR="004146FF" w:rsidRPr="00900D6C">
        <w:rPr>
          <w:lang w:eastAsia="en-AU"/>
        </w:rPr>
        <w:t>.</w:t>
      </w:r>
      <w:r w:rsidR="00D466D4" w:rsidRPr="00900D6C">
        <w:t xml:space="preserve"> </w:t>
      </w:r>
      <w:r w:rsidR="00E66BD2" w:rsidRPr="00900D6C">
        <w:t xml:space="preserve">Chronic carriage may occur with or without the case ever having an acute illness. </w:t>
      </w:r>
      <w:r w:rsidR="00D466D4" w:rsidRPr="00900D6C">
        <w:t xml:space="preserve">This </w:t>
      </w:r>
      <w:r w:rsidR="00D466D4" w:rsidRPr="00900D6C">
        <w:rPr>
          <w:lang w:eastAsia="en-AU"/>
        </w:rPr>
        <w:t xml:space="preserve">chronic </w:t>
      </w:r>
      <w:r w:rsidR="00D466D4" w:rsidRPr="00900D6C">
        <w:t xml:space="preserve">carrier state, </w:t>
      </w:r>
      <w:r w:rsidR="00D466D4" w:rsidRPr="00900D6C">
        <w:rPr>
          <w:lang w:eastAsia="en-AU"/>
        </w:rPr>
        <w:t>d</w:t>
      </w:r>
      <w:r w:rsidR="00D466D4" w:rsidRPr="00900D6C">
        <w:t xml:space="preserve">efined as shedding </w:t>
      </w:r>
      <w:r w:rsidR="005B72EE" w:rsidRPr="00900D6C">
        <w:t xml:space="preserve">the organism </w:t>
      </w:r>
      <w:r w:rsidR="00D466D4" w:rsidRPr="00900D6C">
        <w:t xml:space="preserve">for more than </w:t>
      </w:r>
      <w:r w:rsidR="002C1EA1" w:rsidRPr="00900D6C">
        <w:t>one</w:t>
      </w:r>
      <w:r w:rsidR="00D466D4" w:rsidRPr="00900D6C">
        <w:t xml:space="preserve"> year,</w:t>
      </w:r>
      <w:r w:rsidR="00D466D4" w:rsidRPr="00900D6C">
        <w:rPr>
          <w:lang w:eastAsia="en-AU"/>
        </w:rPr>
        <w:t xml:space="preserve"> </w:t>
      </w:r>
      <w:r w:rsidR="00D466D4" w:rsidRPr="00900D6C">
        <w:t xml:space="preserve">may last </w:t>
      </w:r>
      <w:r w:rsidR="002C1EA1" w:rsidRPr="00900D6C">
        <w:t xml:space="preserve">for </w:t>
      </w:r>
      <w:r w:rsidR="00D466D4" w:rsidRPr="00900D6C">
        <w:t>many years and is more common in females</w:t>
      </w:r>
      <w:r w:rsidR="001A08F1" w:rsidRPr="00900D6C">
        <w:t>,</w:t>
      </w:r>
      <w:r w:rsidR="00D466D4" w:rsidRPr="00900D6C">
        <w:t xml:space="preserve"> </w:t>
      </w:r>
      <w:r w:rsidR="000265C5" w:rsidRPr="00900D6C">
        <w:t xml:space="preserve">the elderly and in patients with </w:t>
      </w:r>
      <w:r w:rsidR="00DE6561" w:rsidRPr="00900D6C">
        <w:t>gallstones</w:t>
      </w:r>
      <w:r w:rsidR="000265C5" w:rsidRPr="00900D6C">
        <w:t xml:space="preserve"> </w:t>
      </w:r>
      <w:r w:rsidR="005603B2" w:rsidRPr="00900D6C">
        <w:rPr>
          <w:lang w:eastAsia="en-AU"/>
        </w:rPr>
        <w:t>(</w:t>
      </w:r>
      <w:r w:rsidR="00196AAD" w:rsidRPr="00900D6C">
        <w:rPr>
          <w:lang w:eastAsia="en-AU"/>
        </w:rPr>
        <w:t>16</w:t>
      </w:r>
      <w:r w:rsidR="005603B2" w:rsidRPr="00900D6C">
        <w:rPr>
          <w:lang w:eastAsia="en-AU"/>
        </w:rPr>
        <w:t xml:space="preserve">, </w:t>
      </w:r>
      <w:r w:rsidR="00196AAD" w:rsidRPr="00900D6C">
        <w:rPr>
          <w:lang w:eastAsia="en-AU"/>
        </w:rPr>
        <w:t>17</w:t>
      </w:r>
      <w:r w:rsidR="005603B2" w:rsidRPr="00900D6C">
        <w:rPr>
          <w:lang w:eastAsia="en-AU"/>
        </w:rPr>
        <w:t>)</w:t>
      </w:r>
      <w:r w:rsidR="00B866DC" w:rsidRPr="00900D6C">
        <w:rPr>
          <w:lang w:eastAsia="en-AU"/>
        </w:rPr>
        <w:t xml:space="preserve">. </w:t>
      </w:r>
      <w:r w:rsidR="00CE1605" w:rsidRPr="00900D6C">
        <w:t xml:space="preserve">Some cases have been shown to be infectious in an asymptomatic period prior to developing acute illness. </w:t>
      </w:r>
      <w:r w:rsidR="00A26A1B" w:rsidRPr="00900D6C">
        <w:rPr>
          <w:lang w:eastAsia="en-AU"/>
        </w:rPr>
        <w:t xml:space="preserve">Concurrent </w:t>
      </w:r>
      <w:proofErr w:type="spellStart"/>
      <w:r w:rsidR="00A26A1B" w:rsidRPr="00900D6C">
        <w:rPr>
          <w:lang w:eastAsia="en-AU"/>
        </w:rPr>
        <w:t>s</w:t>
      </w:r>
      <w:r w:rsidR="00B866DC" w:rsidRPr="00900D6C">
        <w:t>chistosomiasis</w:t>
      </w:r>
      <w:proofErr w:type="spellEnd"/>
      <w:r w:rsidR="00B866DC" w:rsidRPr="00900D6C">
        <w:t xml:space="preserve"> and kidney stones are associated with chronic urinary </w:t>
      </w:r>
      <w:proofErr w:type="gramStart"/>
      <w:r w:rsidR="00B866DC" w:rsidRPr="00900D6C">
        <w:t>carriage</w:t>
      </w:r>
      <w:proofErr w:type="gramEnd"/>
      <w:r w:rsidR="00B866DC" w:rsidRPr="00900D6C">
        <w:rPr>
          <w:rStyle w:val="FootnoteReference"/>
        </w:rPr>
        <w:t xml:space="preserve"> </w:t>
      </w:r>
      <w:r w:rsidR="005603B2" w:rsidRPr="00900D6C">
        <w:t>(</w:t>
      </w:r>
      <w:r w:rsidR="00196AAD" w:rsidRPr="00900D6C">
        <w:t>6</w:t>
      </w:r>
      <w:r w:rsidR="005603B2" w:rsidRPr="00900D6C">
        <w:t xml:space="preserve">, </w:t>
      </w:r>
      <w:r w:rsidR="00196AAD" w:rsidRPr="00900D6C">
        <w:t>15</w:t>
      </w:r>
      <w:r w:rsidR="005603B2" w:rsidRPr="00900D6C">
        <w:t>)</w:t>
      </w:r>
      <w:r w:rsidR="00B866DC" w:rsidRPr="00900D6C">
        <w:t>.</w:t>
      </w:r>
    </w:p>
    <w:p w14:paraId="4C8BB139" w14:textId="7AE89F54" w:rsidR="00B866DC" w:rsidRPr="00900D6C" w:rsidRDefault="00550143" w:rsidP="00EA19BA">
      <w:pPr>
        <w:ind w:right="-46"/>
      </w:pPr>
      <w:r w:rsidRPr="00900D6C">
        <w:rPr>
          <w:u w:val="single"/>
        </w:rPr>
        <w:t>Paratyphoid</w:t>
      </w:r>
      <w:r w:rsidRPr="00900D6C">
        <w:t xml:space="preserve"> - </w:t>
      </w:r>
      <w:r w:rsidR="00B866DC" w:rsidRPr="00900D6C">
        <w:t xml:space="preserve">There is less published literature on the excretion of </w:t>
      </w:r>
      <w:r w:rsidR="00B866DC" w:rsidRPr="00900D6C">
        <w:rPr>
          <w:i/>
        </w:rPr>
        <w:t>S</w:t>
      </w:r>
      <w:r w:rsidR="00B866DC" w:rsidRPr="00900D6C">
        <w:t xml:space="preserve">. </w:t>
      </w:r>
      <w:proofErr w:type="spellStart"/>
      <w:r w:rsidR="00B866DC" w:rsidRPr="00900D6C">
        <w:t>Paratyphi</w:t>
      </w:r>
      <w:proofErr w:type="spellEnd"/>
      <w:r w:rsidR="00D466D4" w:rsidRPr="00900D6C">
        <w:t xml:space="preserve"> but i</w:t>
      </w:r>
      <w:r w:rsidR="00B866DC" w:rsidRPr="00900D6C">
        <w:t xml:space="preserve">t appears that excretion is similar to most other salmonellae: most people will excrete it for </w:t>
      </w:r>
      <w:r w:rsidR="00B31B14" w:rsidRPr="00900D6C">
        <w:t>5-6</w:t>
      </w:r>
      <w:r w:rsidR="00B866DC" w:rsidRPr="00900D6C">
        <w:t xml:space="preserve"> weeks whilst a small minority </w:t>
      </w:r>
      <w:r w:rsidR="00A26A1B" w:rsidRPr="00900D6C">
        <w:t xml:space="preserve">may </w:t>
      </w:r>
      <w:r w:rsidR="00B866DC" w:rsidRPr="00900D6C">
        <w:t>continue excreting for months or even years.</w:t>
      </w:r>
      <w:r w:rsidR="00271E91" w:rsidRPr="00900D6C">
        <w:t xml:space="preserve"> P</w:t>
      </w:r>
      <w:r w:rsidR="00B866DC" w:rsidRPr="00900D6C">
        <w:t>rolonged biliary excretion applies in some cases, as in typhoid</w:t>
      </w:r>
      <w:r w:rsidR="00D466D4" w:rsidRPr="00900D6C">
        <w:t xml:space="preserve"> </w:t>
      </w:r>
      <w:r w:rsidR="00162C20" w:rsidRPr="00900D6C">
        <w:t>(</w:t>
      </w:r>
      <w:r w:rsidR="00196AAD" w:rsidRPr="00900D6C">
        <w:t>7</w:t>
      </w:r>
      <w:r w:rsidR="00162C20" w:rsidRPr="00900D6C">
        <w:t>)</w:t>
      </w:r>
      <w:r w:rsidR="00B866DC" w:rsidRPr="00900D6C">
        <w:t>.</w:t>
      </w:r>
    </w:p>
    <w:p w14:paraId="6A730A03" w14:textId="2FD209A9" w:rsidR="002A4B69" w:rsidRPr="00900D6C" w:rsidRDefault="002A4B69" w:rsidP="00900D6C">
      <w:pPr>
        <w:pStyle w:val="Heading2"/>
      </w:pPr>
      <w:r w:rsidRPr="00900D6C">
        <w:t>Clinical presentation and outcome</w:t>
      </w:r>
    </w:p>
    <w:p w14:paraId="6191ABAA" w14:textId="2EFC4CEA" w:rsidR="005B72EE" w:rsidRPr="00900D6C" w:rsidRDefault="005B72EE" w:rsidP="00EA19BA">
      <w:pPr>
        <w:ind w:right="-46"/>
      </w:pPr>
      <w:r w:rsidRPr="00900D6C">
        <w:rPr>
          <w:u w:val="single"/>
          <w:lang w:eastAsia="en-AU"/>
        </w:rPr>
        <w:t>Typhoid</w:t>
      </w:r>
      <w:r w:rsidRPr="00900D6C">
        <w:rPr>
          <w:lang w:eastAsia="en-AU"/>
        </w:rPr>
        <w:t xml:space="preserve"> – </w:t>
      </w:r>
      <w:r w:rsidR="0028278D" w:rsidRPr="00900D6C">
        <w:rPr>
          <w:lang w:eastAsia="en-AU"/>
        </w:rPr>
        <w:t xml:space="preserve">The clinical picture </w:t>
      </w:r>
      <w:r w:rsidR="005079C0" w:rsidRPr="00900D6C">
        <w:rPr>
          <w:lang w:eastAsia="en-AU"/>
        </w:rPr>
        <w:t xml:space="preserve">of typhoid </w:t>
      </w:r>
      <w:r w:rsidR="0028278D" w:rsidRPr="00900D6C">
        <w:rPr>
          <w:lang w:eastAsia="en-AU"/>
        </w:rPr>
        <w:t xml:space="preserve">can vary from </w:t>
      </w:r>
      <w:r w:rsidR="005079C0" w:rsidRPr="00900D6C">
        <w:rPr>
          <w:lang w:eastAsia="en-AU"/>
        </w:rPr>
        <w:t xml:space="preserve">asymptomatic to </w:t>
      </w:r>
      <w:r w:rsidR="0028278D" w:rsidRPr="00900D6C">
        <w:rPr>
          <w:lang w:eastAsia="en-AU"/>
        </w:rPr>
        <w:t xml:space="preserve">mild illness with low-grade fever to severe </w:t>
      </w:r>
      <w:r w:rsidR="00C86C24" w:rsidRPr="00900D6C">
        <w:rPr>
          <w:lang w:eastAsia="en-AU"/>
        </w:rPr>
        <w:t xml:space="preserve">systemic </w:t>
      </w:r>
      <w:r w:rsidR="0028278D" w:rsidRPr="00900D6C">
        <w:rPr>
          <w:lang w:eastAsia="en-AU"/>
        </w:rPr>
        <w:t>disease</w:t>
      </w:r>
      <w:r w:rsidRPr="00900D6C">
        <w:rPr>
          <w:lang w:eastAsia="en-AU"/>
        </w:rPr>
        <w:t>.</w:t>
      </w:r>
      <w:r w:rsidR="0028278D" w:rsidRPr="00900D6C">
        <w:rPr>
          <w:lang w:eastAsia="en-AU"/>
        </w:rPr>
        <w:t xml:space="preserve"> </w:t>
      </w:r>
      <w:r w:rsidRPr="00900D6C">
        <w:rPr>
          <w:lang w:eastAsia="en-AU"/>
        </w:rPr>
        <w:t xml:space="preserve">Age, strain virulence, infectious dose, delay before treatment, </w:t>
      </w:r>
      <w:r w:rsidRPr="00900D6C">
        <w:t>host factors (e.g. HLA type, AIDS or other immunosuppression), medication which diminishe</w:t>
      </w:r>
      <w:r w:rsidR="002F1D5D" w:rsidRPr="00900D6C">
        <w:t>s</w:t>
      </w:r>
      <w:r w:rsidRPr="00900D6C">
        <w:t xml:space="preserve"> gastric acid secretion </w:t>
      </w:r>
      <w:r w:rsidR="00142F5A" w:rsidRPr="00900D6C">
        <w:t xml:space="preserve">or other causes of </w:t>
      </w:r>
      <w:r w:rsidRPr="00900D6C">
        <w:rPr>
          <w:rFonts w:eastAsia="Times New Roman" w:cs="Tahoma"/>
          <w:color w:val="000000"/>
          <w:lang w:eastAsia="en-AU"/>
        </w:rPr>
        <w:t xml:space="preserve">gastric </w:t>
      </w:r>
      <w:proofErr w:type="spellStart"/>
      <w:r w:rsidRPr="00900D6C">
        <w:rPr>
          <w:rFonts w:eastAsia="Times New Roman" w:cs="Tahoma"/>
          <w:color w:val="000000"/>
          <w:lang w:eastAsia="en-AU"/>
        </w:rPr>
        <w:t>achlorhydria</w:t>
      </w:r>
      <w:proofErr w:type="spellEnd"/>
      <w:r w:rsidR="00142F5A" w:rsidRPr="00900D6C">
        <w:rPr>
          <w:rFonts w:eastAsia="Times New Roman" w:cs="Tahoma"/>
          <w:color w:val="000000"/>
          <w:lang w:eastAsia="en-AU"/>
        </w:rPr>
        <w:t>,</w:t>
      </w:r>
      <w:r w:rsidRPr="00900D6C">
        <w:t xml:space="preserve"> </w:t>
      </w:r>
      <w:r w:rsidRPr="00900D6C">
        <w:rPr>
          <w:lang w:eastAsia="en-AU"/>
        </w:rPr>
        <w:t>and previous vaccination</w:t>
      </w:r>
      <w:r w:rsidR="00121D49" w:rsidRPr="00900D6C">
        <w:rPr>
          <w:lang w:eastAsia="en-AU"/>
        </w:rPr>
        <w:t>,</w:t>
      </w:r>
      <w:r w:rsidR="00A26A1B" w:rsidRPr="00900D6C">
        <w:rPr>
          <w:lang w:eastAsia="en-AU"/>
        </w:rPr>
        <w:t xml:space="preserve"> all</w:t>
      </w:r>
      <w:r w:rsidRPr="00900D6C">
        <w:rPr>
          <w:lang w:eastAsia="en-AU"/>
        </w:rPr>
        <w:t xml:space="preserve"> influence the severity of disease expression </w:t>
      </w:r>
      <w:r w:rsidR="005603B2" w:rsidRPr="00900D6C">
        <w:rPr>
          <w:lang w:eastAsia="en-AU"/>
        </w:rPr>
        <w:t>(</w:t>
      </w:r>
      <w:r w:rsidR="00196AAD" w:rsidRPr="00900D6C">
        <w:rPr>
          <w:lang w:eastAsia="en-AU"/>
        </w:rPr>
        <w:t>12</w:t>
      </w:r>
      <w:r w:rsidR="005603B2" w:rsidRPr="00900D6C">
        <w:rPr>
          <w:lang w:eastAsia="en-AU"/>
        </w:rPr>
        <w:t xml:space="preserve">, </w:t>
      </w:r>
      <w:r w:rsidR="00196AAD" w:rsidRPr="00900D6C">
        <w:rPr>
          <w:lang w:eastAsia="en-AU"/>
        </w:rPr>
        <w:t>18</w:t>
      </w:r>
      <w:r w:rsidR="005603B2" w:rsidRPr="00900D6C">
        <w:rPr>
          <w:lang w:eastAsia="en-AU"/>
        </w:rPr>
        <w:t>)</w:t>
      </w:r>
      <w:r w:rsidRPr="00900D6C">
        <w:t>.</w:t>
      </w:r>
    </w:p>
    <w:p w14:paraId="678C8063" w14:textId="08F038F0" w:rsidR="00852C17" w:rsidRPr="00900D6C" w:rsidRDefault="005B72EE" w:rsidP="00EA19BA">
      <w:pPr>
        <w:ind w:right="-46"/>
        <w:rPr>
          <w:lang w:eastAsia="en-AU"/>
        </w:rPr>
      </w:pPr>
      <w:r w:rsidRPr="00900D6C">
        <w:rPr>
          <w:lang w:eastAsia="en-AU"/>
        </w:rPr>
        <w:lastRenderedPageBreak/>
        <w:t>Presenting symptoms are t</w:t>
      </w:r>
      <w:r w:rsidR="00541A2D" w:rsidRPr="00900D6C">
        <w:rPr>
          <w:lang w:eastAsia="en-AU"/>
        </w:rPr>
        <w:t>ypical</w:t>
      </w:r>
      <w:r w:rsidRPr="00900D6C">
        <w:rPr>
          <w:lang w:eastAsia="en-AU"/>
        </w:rPr>
        <w:t xml:space="preserve">ly insidious in onset and include: </w:t>
      </w:r>
      <w:r w:rsidR="00556338" w:rsidRPr="00900D6C">
        <w:rPr>
          <w:lang w:eastAsia="en-AU"/>
        </w:rPr>
        <w:t>fever, marked headache</w:t>
      </w:r>
      <w:r w:rsidR="00C86C24" w:rsidRPr="00900D6C">
        <w:rPr>
          <w:lang w:eastAsia="en-AU"/>
        </w:rPr>
        <w:t xml:space="preserve">, </w:t>
      </w:r>
      <w:r w:rsidR="00142F5A" w:rsidRPr="00900D6C">
        <w:rPr>
          <w:lang w:eastAsia="en-AU"/>
        </w:rPr>
        <w:t xml:space="preserve">and </w:t>
      </w:r>
      <w:r w:rsidR="00C86C24" w:rsidRPr="00900D6C">
        <w:rPr>
          <w:lang w:eastAsia="en-AU"/>
        </w:rPr>
        <w:t>malaise</w:t>
      </w:r>
      <w:r w:rsidR="00E40C0F" w:rsidRPr="00900D6C">
        <w:t xml:space="preserve"> </w:t>
      </w:r>
      <w:r w:rsidR="005603B2" w:rsidRPr="00900D6C">
        <w:rPr>
          <w:lang w:eastAsia="en-AU"/>
        </w:rPr>
        <w:t>(</w:t>
      </w:r>
      <w:r w:rsidR="00196AAD" w:rsidRPr="00900D6C">
        <w:rPr>
          <w:lang w:eastAsia="en-AU"/>
        </w:rPr>
        <w:t>6</w:t>
      </w:r>
      <w:r w:rsidR="005603B2" w:rsidRPr="00900D6C">
        <w:rPr>
          <w:lang w:eastAsia="en-AU"/>
        </w:rPr>
        <w:t xml:space="preserve">, </w:t>
      </w:r>
      <w:r w:rsidR="00196AAD" w:rsidRPr="00900D6C">
        <w:rPr>
          <w:lang w:eastAsia="en-AU"/>
        </w:rPr>
        <w:t>19</w:t>
      </w:r>
      <w:r w:rsidR="005603B2" w:rsidRPr="00900D6C">
        <w:rPr>
          <w:lang w:eastAsia="en-AU"/>
        </w:rPr>
        <w:t>)</w:t>
      </w:r>
      <w:r w:rsidR="004146FF" w:rsidRPr="00900D6C">
        <w:rPr>
          <w:lang w:eastAsia="en-AU"/>
        </w:rPr>
        <w:t>.</w:t>
      </w:r>
      <w:r w:rsidRPr="00900D6C">
        <w:t xml:space="preserve"> </w:t>
      </w:r>
      <w:r w:rsidR="00556338" w:rsidRPr="00900D6C">
        <w:rPr>
          <w:lang w:eastAsia="en-AU"/>
        </w:rPr>
        <w:t xml:space="preserve">Other </w:t>
      </w:r>
      <w:r w:rsidR="00805FDB" w:rsidRPr="00900D6C">
        <w:rPr>
          <w:lang w:eastAsia="en-AU"/>
        </w:rPr>
        <w:t xml:space="preserve">symptoms and </w:t>
      </w:r>
      <w:r w:rsidR="00556338" w:rsidRPr="00900D6C">
        <w:rPr>
          <w:lang w:eastAsia="en-AU"/>
        </w:rPr>
        <w:t xml:space="preserve">signs </w:t>
      </w:r>
      <w:r w:rsidR="00121D49" w:rsidRPr="00900D6C">
        <w:rPr>
          <w:lang w:eastAsia="en-AU"/>
        </w:rPr>
        <w:t xml:space="preserve">that </w:t>
      </w:r>
      <w:r w:rsidR="00556338" w:rsidRPr="00900D6C">
        <w:rPr>
          <w:lang w:eastAsia="en-AU"/>
        </w:rPr>
        <w:t>present in some patients include</w:t>
      </w:r>
      <w:r w:rsidR="00121D49" w:rsidRPr="00900D6C">
        <w:rPr>
          <w:lang w:eastAsia="en-AU"/>
        </w:rPr>
        <w:t>:</w:t>
      </w:r>
      <w:r w:rsidR="00556338" w:rsidRPr="00900D6C">
        <w:rPr>
          <w:lang w:eastAsia="en-AU"/>
        </w:rPr>
        <w:t xml:space="preserve"> anorexia, </w:t>
      </w:r>
      <w:r w:rsidR="00515BF0" w:rsidRPr="00900D6C">
        <w:rPr>
          <w:lang w:eastAsia="en-AU"/>
        </w:rPr>
        <w:t xml:space="preserve">abdominal pain, </w:t>
      </w:r>
      <w:r w:rsidR="00556338" w:rsidRPr="00900D6C">
        <w:rPr>
          <w:lang w:eastAsia="en-AU"/>
        </w:rPr>
        <w:t xml:space="preserve">splenomegaly, </w:t>
      </w:r>
      <w:r w:rsidR="00C86C24" w:rsidRPr="00900D6C">
        <w:rPr>
          <w:lang w:eastAsia="en-AU"/>
        </w:rPr>
        <w:t xml:space="preserve">constipation, </w:t>
      </w:r>
      <w:r w:rsidR="00142F5A" w:rsidRPr="00900D6C">
        <w:rPr>
          <w:lang w:eastAsia="en-AU"/>
        </w:rPr>
        <w:t xml:space="preserve">diarrhoea, </w:t>
      </w:r>
      <w:r w:rsidR="00E40C0F" w:rsidRPr="00900D6C">
        <w:t xml:space="preserve">relative </w:t>
      </w:r>
      <w:proofErr w:type="spellStart"/>
      <w:r w:rsidR="00E40C0F" w:rsidRPr="00900D6C">
        <w:t>bradycardia</w:t>
      </w:r>
      <w:proofErr w:type="spellEnd"/>
      <w:r w:rsidR="00E40C0F" w:rsidRPr="00900D6C">
        <w:t>,</w:t>
      </w:r>
      <w:r w:rsidR="00556338" w:rsidRPr="00900D6C">
        <w:rPr>
          <w:lang w:eastAsia="en-AU"/>
        </w:rPr>
        <w:t xml:space="preserve"> </w:t>
      </w:r>
      <w:r w:rsidRPr="00900D6C">
        <w:rPr>
          <w:lang w:eastAsia="en-AU"/>
        </w:rPr>
        <w:t xml:space="preserve">non-productive </w:t>
      </w:r>
      <w:r w:rsidR="00556338" w:rsidRPr="00900D6C">
        <w:rPr>
          <w:lang w:eastAsia="en-AU"/>
        </w:rPr>
        <w:t>cough</w:t>
      </w:r>
      <w:r w:rsidR="00E40C0F" w:rsidRPr="00900D6C">
        <w:rPr>
          <w:lang w:eastAsia="en-AU"/>
        </w:rPr>
        <w:t xml:space="preserve"> and r</w:t>
      </w:r>
      <w:r w:rsidR="009B7F72" w:rsidRPr="00900D6C">
        <w:rPr>
          <w:lang w:eastAsia="en-AU"/>
        </w:rPr>
        <w:t xml:space="preserve">ose spots </w:t>
      </w:r>
      <w:r w:rsidR="00C86C24" w:rsidRPr="00900D6C">
        <w:rPr>
          <w:lang w:eastAsia="en-AU"/>
        </w:rPr>
        <w:t xml:space="preserve">(clusters of pink macules on the trunk) </w:t>
      </w:r>
      <w:r w:rsidR="005603B2" w:rsidRPr="00900D6C">
        <w:rPr>
          <w:lang w:eastAsia="en-AU"/>
        </w:rPr>
        <w:t>(</w:t>
      </w:r>
      <w:r w:rsidR="00196AAD" w:rsidRPr="00900D6C">
        <w:rPr>
          <w:lang w:eastAsia="en-AU"/>
        </w:rPr>
        <w:t>20</w:t>
      </w:r>
      <w:r w:rsidR="005603B2" w:rsidRPr="00900D6C">
        <w:rPr>
          <w:lang w:eastAsia="en-AU"/>
        </w:rPr>
        <w:t>)</w:t>
      </w:r>
      <w:r w:rsidR="009B7F72" w:rsidRPr="00900D6C">
        <w:rPr>
          <w:lang w:eastAsia="en-AU"/>
        </w:rPr>
        <w:t>.</w:t>
      </w:r>
    </w:p>
    <w:p w14:paraId="52CB7CD3" w14:textId="4A170D1B" w:rsidR="000822EB" w:rsidRPr="00900D6C" w:rsidRDefault="00FB2C72" w:rsidP="00EA19BA">
      <w:pPr>
        <w:ind w:right="-46"/>
        <w:rPr>
          <w:lang w:eastAsia="en-AU"/>
        </w:rPr>
      </w:pPr>
      <w:r w:rsidRPr="00900D6C">
        <w:t xml:space="preserve">Without </w:t>
      </w:r>
      <w:r w:rsidR="002F1D5D" w:rsidRPr="00900D6C">
        <w:t xml:space="preserve">antibiotic </w:t>
      </w:r>
      <w:r w:rsidRPr="00900D6C">
        <w:t xml:space="preserve">therapy, the illness may last for </w:t>
      </w:r>
      <w:r w:rsidR="00B31B14" w:rsidRPr="00900D6C">
        <w:t>3-4</w:t>
      </w:r>
      <w:r w:rsidRPr="00900D6C">
        <w:t xml:space="preserve"> weeks. </w:t>
      </w:r>
      <w:r w:rsidR="00972177" w:rsidRPr="00900D6C">
        <w:rPr>
          <w:lang w:eastAsia="en-AU"/>
        </w:rPr>
        <w:t>After beginning antibiotics, symptoms typically abate within four days to a week.</w:t>
      </w:r>
      <w:r w:rsidR="00972177" w:rsidRPr="00900D6C">
        <w:rPr>
          <w:sz w:val="16"/>
          <w:szCs w:val="16"/>
        </w:rPr>
        <w:t xml:space="preserve"> </w:t>
      </w:r>
      <w:r w:rsidR="005B72EE" w:rsidRPr="00900D6C">
        <w:rPr>
          <w:shd w:val="clear" w:color="auto" w:fill="FFFFFF"/>
        </w:rPr>
        <w:t>However, r</w:t>
      </w:r>
      <w:r w:rsidR="00964DC3" w:rsidRPr="00900D6C">
        <w:t xml:space="preserve">elapses with milder symptoms occur </w:t>
      </w:r>
      <w:r w:rsidR="00B31B14" w:rsidRPr="00900D6C">
        <w:t>2-3</w:t>
      </w:r>
      <w:r w:rsidR="00142F5A" w:rsidRPr="00900D6C">
        <w:t xml:space="preserve"> weeks after the initial fever resolves </w:t>
      </w:r>
      <w:r w:rsidR="00964DC3" w:rsidRPr="00900D6C">
        <w:t xml:space="preserve">in </w:t>
      </w:r>
      <w:r w:rsidR="00B31B14" w:rsidRPr="00900D6C">
        <w:t xml:space="preserve">5 </w:t>
      </w:r>
      <w:r w:rsidR="00964DC3" w:rsidRPr="00900D6C">
        <w:t>to 20</w:t>
      </w:r>
      <w:r w:rsidR="00DC411E" w:rsidRPr="00900D6C">
        <w:t>%</w:t>
      </w:r>
      <w:r w:rsidR="00964DC3" w:rsidRPr="00900D6C">
        <w:t xml:space="preserve"> of patients</w:t>
      </w:r>
      <w:r w:rsidR="00121D49" w:rsidRPr="00900D6C">
        <w:t>,</w:t>
      </w:r>
      <w:r w:rsidR="00964DC3" w:rsidRPr="00900D6C">
        <w:t xml:space="preserve"> depending on the antimicrobial</w:t>
      </w:r>
      <w:r w:rsidR="008674AE" w:rsidRPr="00900D6C">
        <w:t xml:space="preserve"> agent</w:t>
      </w:r>
      <w:r w:rsidR="00964DC3" w:rsidRPr="00900D6C">
        <w:t xml:space="preserve"> used</w:t>
      </w:r>
      <w:r w:rsidR="00880A03" w:rsidRPr="00900D6C">
        <w:t xml:space="preserve"> </w:t>
      </w:r>
      <w:r w:rsidR="00162C20" w:rsidRPr="00900D6C">
        <w:t>(</w:t>
      </w:r>
      <w:r w:rsidR="00196AAD" w:rsidRPr="00900D6C">
        <w:t>6</w:t>
      </w:r>
      <w:r w:rsidR="00162C20" w:rsidRPr="00900D6C">
        <w:t>)</w:t>
      </w:r>
      <w:r w:rsidR="00964DC3" w:rsidRPr="00900D6C">
        <w:t xml:space="preserve">. </w:t>
      </w:r>
      <w:r w:rsidRPr="00900D6C">
        <w:t xml:space="preserve">The case-fatality rate </w:t>
      </w:r>
      <w:r w:rsidRPr="00900D6C">
        <w:rPr>
          <w:lang w:eastAsia="en-AU"/>
        </w:rPr>
        <w:t xml:space="preserve">is estimated to be </w:t>
      </w:r>
      <w:r w:rsidR="000822EB" w:rsidRPr="00900D6C">
        <w:rPr>
          <w:lang w:eastAsia="en-AU"/>
        </w:rPr>
        <w:t xml:space="preserve">less than </w:t>
      </w:r>
      <w:r w:rsidR="00B31B14" w:rsidRPr="00900D6C">
        <w:rPr>
          <w:lang w:eastAsia="en-AU"/>
        </w:rPr>
        <w:t>1%</w:t>
      </w:r>
      <w:r w:rsidRPr="00900D6C">
        <w:rPr>
          <w:lang w:eastAsia="en-AU"/>
        </w:rPr>
        <w:t xml:space="preserve"> with prompt antibiotic treatment</w:t>
      </w:r>
      <w:r w:rsidR="000822EB" w:rsidRPr="00900D6C">
        <w:rPr>
          <w:lang w:eastAsia="en-AU"/>
        </w:rPr>
        <w:t xml:space="preserve"> </w:t>
      </w:r>
      <w:r w:rsidR="001F6F9D" w:rsidRPr="00900D6C">
        <w:rPr>
          <w:lang w:eastAsia="en-AU"/>
        </w:rPr>
        <w:t>(</w:t>
      </w:r>
      <w:r w:rsidR="00196AAD" w:rsidRPr="00900D6C">
        <w:rPr>
          <w:lang w:eastAsia="en-AU"/>
        </w:rPr>
        <w:t>21</w:t>
      </w:r>
      <w:r w:rsidR="001F6F9D" w:rsidRPr="00900D6C">
        <w:rPr>
          <w:lang w:eastAsia="en-AU"/>
        </w:rPr>
        <w:t>)</w:t>
      </w:r>
      <w:r w:rsidR="000822EB" w:rsidRPr="00900D6C">
        <w:rPr>
          <w:lang w:eastAsia="en-AU"/>
        </w:rPr>
        <w:t>.</w:t>
      </w:r>
    </w:p>
    <w:p w14:paraId="149F3EA9" w14:textId="50E59282" w:rsidR="00FB2C72" w:rsidRPr="00900D6C" w:rsidRDefault="00037963" w:rsidP="00EA19BA">
      <w:pPr>
        <w:ind w:right="-46"/>
      </w:pPr>
      <w:r w:rsidRPr="00900D6C">
        <w:t>Incomplete</w:t>
      </w:r>
      <w:r w:rsidR="00FB2C72" w:rsidRPr="00900D6C">
        <w:t xml:space="preserve"> immunity follows recovery from clinical disease, </w:t>
      </w:r>
      <w:proofErr w:type="spellStart"/>
      <w:r w:rsidR="00FB2C72" w:rsidRPr="00900D6C">
        <w:t>inapparent</w:t>
      </w:r>
      <w:proofErr w:type="spellEnd"/>
      <w:r w:rsidR="00FB2C72" w:rsidRPr="00900D6C">
        <w:t xml:space="preserve"> infection and active immunisation </w:t>
      </w:r>
      <w:r w:rsidR="00162C20" w:rsidRPr="00900D6C">
        <w:t>(</w:t>
      </w:r>
      <w:r w:rsidR="00196AAD" w:rsidRPr="00900D6C">
        <w:t>6</w:t>
      </w:r>
      <w:r w:rsidR="00162C20" w:rsidRPr="00900D6C">
        <w:t>)</w:t>
      </w:r>
      <w:proofErr w:type="gramStart"/>
      <w:r w:rsidR="00142F5A" w:rsidRPr="00900D6C">
        <w:t>,</w:t>
      </w:r>
      <w:proofErr w:type="gramEnd"/>
      <w:r w:rsidR="00FB2C72" w:rsidRPr="00900D6C">
        <w:t xml:space="preserve"> </w:t>
      </w:r>
      <w:r w:rsidR="00142F5A" w:rsidRPr="00900D6C">
        <w:t>h</w:t>
      </w:r>
      <w:r w:rsidR="00FB2C72" w:rsidRPr="00900D6C">
        <w:t>owever</w:t>
      </w:r>
      <w:r w:rsidR="00881561" w:rsidRPr="00900D6C">
        <w:t>,</w:t>
      </w:r>
      <w:r w:rsidR="00FB2C72" w:rsidRPr="00900D6C">
        <w:t xml:space="preserve"> infection-derived immunity </w:t>
      </w:r>
      <w:r w:rsidRPr="00900D6C">
        <w:t xml:space="preserve">has been </w:t>
      </w:r>
      <w:r w:rsidR="00FB2C72" w:rsidRPr="00900D6C">
        <w:t>shown to be significantly less protective</w:t>
      </w:r>
      <w:r w:rsidR="003C25EE" w:rsidRPr="00900D6C">
        <w:t>,</w:t>
      </w:r>
      <w:r w:rsidR="00FB2C72" w:rsidRPr="00900D6C">
        <w:t xml:space="preserve"> than that induced by effective vaccination </w:t>
      </w:r>
      <w:r w:rsidR="001F6F9D" w:rsidRPr="00900D6C">
        <w:t>(</w:t>
      </w:r>
      <w:r w:rsidR="00196AAD" w:rsidRPr="00900D6C">
        <w:t>22</w:t>
      </w:r>
      <w:r w:rsidR="001F6F9D" w:rsidRPr="00900D6C">
        <w:t>)</w:t>
      </w:r>
      <w:r w:rsidR="00FB2C72" w:rsidRPr="00900D6C">
        <w:t>.</w:t>
      </w:r>
    </w:p>
    <w:p w14:paraId="222B879D" w14:textId="52DEEFFF" w:rsidR="00FB2C72" w:rsidRPr="00900D6C" w:rsidRDefault="004D4480" w:rsidP="00EA19BA">
      <w:pPr>
        <w:ind w:right="-46"/>
      </w:pPr>
      <w:r w:rsidRPr="00900D6C">
        <w:t>C</w:t>
      </w:r>
      <w:r w:rsidR="00FB2C72" w:rsidRPr="00900D6C">
        <w:t xml:space="preserve">hronic carriers form a crucial reservoir for the further spread of the disease through bacterial shedding in faeces and urine. Chronic </w:t>
      </w:r>
      <w:r w:rsidR="00FB2C72" w:rsidRPr="00900D6C">
        <w:rPr>
          <w:i/>
        </w:rPr>
        <w:t>S</w:t>
      </w:r>
      <w:r w:rsidR="00FB2C72" w:rsidRPr="00900D6C">
        <w:t xml:space="preserve">. </w:t>
      </w:r>
      <w:proofErr w:type="spellStart"/>
      <w:r w:rsidR="00FB2C72" w:rsidRPr="00900D6C">
        <w:t>Typhi</w:t>
      </w:r>
      <w:proofErr w:type="spellEnd"/>
      <w:r w:rsidR="00FB2C72" w:rsidRPr="00900D6C">
        <w:t xml:space="preserve"> infections can persist for decades, and although infected individuals are contagious, they are typically asymptomatic, making the identification of carriers difficult</w:t>
      </w:r>
      <w:r w:rsidR="00566BFF" w:rsidRPr="00900D6C">
        <w:t xml:space="preserve"> </w:t>
      </w:r>
      <w:r w:rsidR="001F6F9D" w:rsidRPr="00900D6C">
        <w:t>(</w:t>
      </w:r>
      <w:r w:rsidR="00196AAD" w:rsidRPr="00900D6C">
        <w:t>16</w:t>
      </w:r>
      <w:r w:rsidR="001F6F9D" w:rsidRPr="00900D6C">
        <w:t xml:space="preserve">, </w:t>
      </w:r>
      <w:r w:rsidR="00196AAD" w:rsidRPr="00900D6C">
        <w:t>23</w:t>
      </w:r>
      <w:r w:rsidR="001F6F9D" w:rsidRPr="00900D6C">
        <w:t>)</w:t>
      </w:r>
      <w:r w:rsidR="00FB2C72" w:rsidRPr="00900D6C">
        <w:t xml:space="preserve">. </w:t>
      </w:r>
      <w:r w:rsidR="008674AE" w:rsidRPr="00900D6C">
        <w:t>A</w:t>
      </w:r>
      <w:r w:rsidR="00FB2C72" w:rsidRPr="00900D6C">
        <w:t>pproximately 25</w:t>
      </w:r>
      <w:r w:rsidR="00B31B14" w:rsidRPr="00900D6C">
        <w:t>%</w:t>
      </w:r>
      <w:r w:rsidR="00FB2C72" w:rsidRPr="00900D6C">
        <w:t xml:space="preserve"> of carriers experience no clinical manifestations during the acute phase of the disease</w:t>
      </w:r>
      <w:r w:rsidR="006A4190" w:rsidRPr="00900D6C">
        <w:t xml:space="preserve"> </w:t>
      </w:r>
      <w:r w:rsidR="005603B2" w:rsidRPr="00900D6C">
        <w:t>(</w:t>
      </w:r>
      <w:r w:rsidR="00196AAD" w:rsidRPr="00900D6C">
        <w:t>17</w:t>
      </w:r>
      <w:r w:rsidR="005603B2" w:rsidRPr="00900D6C">
        <w:t>)</w:t>
      </w:r>
      <w:r w:rsidR="00FB2C72" w:rsidRPr="00900D6C">
        <w:t xml:space="preserve">. </w:t>
      </w:r>
      <w:r w:rsidRPr="00900D6C">
        <w:t>Approximately 90</w:t>
      </w:r>
      <w:r w:rsidR="00B31B14" w:rsidRPr="00900D6C">
        <w:t>%</w:t>
      </w:r>
      <w:r w:rsidRPr="00900D6C">
        <w:t xml:space="preserve"> of chronically</w:t>
      </w:r>
      <w:r w:rsidR="003C25EE" w:rsidRPr="00900D6C">
        <w:t>-</w:t>
      </w:r>
      <w:r w:rsidRPr="00900D6C">
        <w:t>infected carriers have gallstones (</w:t>
      </w:r>
      <w:r w:rsidR="00196AAD" w:rsidRPr="00900D6C">
        <w:t>16</w:t>
      </w:r>
      <w:r w:rsidRPr="00900D6C">
        <w:t>).</w:t>
      </w:r>
    </w:p>
    <w:p w14:paraId="5C5BF5FC" w14:textId="6C0E158A" w:rsidR="00805FDB" w:rsidRPr="00900D6C" w:rsidRDefault="00472298" w:rsidP="00EA19BA">
      <w:pPr>
        <w:ind w:right="-46"/>
      </w:pPr>
      <w:r w:rsidRPr="00900D6C">
        <w:t>Depending on the clinical setting and the quality of available medical care, up to 10</w:t>
      </w:r>
      <w:r w:rsidR="00B31B14" w:rsidRPr="00900D6C">
        <w:t>%</w:t>
      </w:r>
      <w:r w:rsidRPr="00900D6C">
        <w:t xml:space="preserve"> of typhoid patients may develop </w:t>
      </w:r>
      <w:r w:rsidR="00805FDB" w:rsidRPr="00900D6C">
        <w:t xml:space="preserve">atypical signs and </w:t>
      </w:r>
      <w:r w:rsidRPr="00900D6C">
        <w:t>serious complications</w:t>
      </w:r>
      <w:r w:rsidR="00221334" w:rsidRPr="00900D6C">
        <w:t xml:space="preserve"> </w:t>
      </w:r>
      <w:r w:rsidR="005603B2" w:rsidRPr="00900D6C">
        <w:t>(</w:t>
      </w:r>
      <w:r w:rsidR="00196AAD" w:rsidRPr="00900D6C">
        <w:t>12</w:t>
      </w:r>
      <w:r w:rsidR="005603B2" w:rsidRPr="00900D6C">
        <w:t>)</w:t>
      </w:r>
      <w:r w:rsidR="0078400F" w:rsidRPr="00900D6C">
        <w:t xml:space="preserve">, </w:t>
      </w:r>
      <w:r w:rsidR="00B35735" w:rsidRPr="00900D6C">
        <w:t xml:space="preserve">typically in the third week of disease. </w:t>
      </w:r>
      <w:r w:rsidR="00D60FD4" w:rsidRPr="00900D6C">
        <w:t>These include</w:t>
      </w:r>
      <w:r w:rsidR="00FB2C72" w:rsidRPr="00900D6C">
        <w:t>:</w:t>
      </w:r>
      <w:r w:rsidR="00D60FD4" w:rsidRPr="00900D6C">
        <w:t xml:space="preserve"> </w:t>
      </w:r>
      <w:r w:rsidR="00B35735" w:rsidRPr="00900D6C">
        <w:t xml:space="preserve">intestinal </w:t>
      </w:r>
      <w:r w:rsidR="00FB2C72" w:rsidRPr="00900D6C">
        <w:t>perforation, hepatitis</w:t>
      </w:r>
      <w:r w:rsidR="00717295" w:rsidRPr="00900D6C">
        <w:t>, renal failure,</w:t>
      </w:r>
      <w:r w:rsidR="00717295" w:rsidRPr="00900D6C" w:rsidDel="00D60FD4">
        <w:t xml:space="preserve"> </w:t>
      </w:r>
      <w:r w:rsidR="00717295" w:rsidRPr="00900D6C">
        <w:t>osteomyelitis,</w:t>
      </w:r>
      <w:r w:rsidR="00717295" w:rsidRPr="00900D6C" w:rsidDel="00D60FD4">
        <w:t xml:space="preserve"> </w:t>
      </w:r>
      <w:r w:rsidR="00717295" w:rsidRPr="00900D6C">
        <w:t>myocarditis, psychosis</w:t>
      </w:r>
      <w:r w:rsidR="00FB2C72" w:rsidRPr="00900D6C">
        <w:t>,</w:t>
      </w:r>
      <w:r w:rsidR="00717295" w:rsidRPr="00900D6C">
        <w:t xml:space="preserve"> </w:t>
      </w:r>
      <w:proofErr w:type="spellStart"/>
      <w:r w:rsidR="00717295" w:rsidRPr="00900D6C">
        <w:t>cholecystitis</w:t>
      </w:r>
      <w:proofErr w:type="spellEnd"/>
      <w:r w:rsidR="00717295" w:rsidRPr="00900D6C">
        <w:t>, meningitis</w:t>
      </w:r>
      <w:r w:rsidR="00805FDB" w:rsidRPr="00900D6C">
        <w:t>,</w:t>
      </w:r>
      <w:r w:rsidR="00717295" w:rsidRPr="00900D6C">
        <w:t xml:space="preserve"> </w:t>
      </w:r>
      <w:r w:rsidR="00805FDB" w:rsidRPr="00900D6C">
        <w:t xml:space="preserve">encephalomyelitis, cranial or peripheral neuritis, </w:t>
      </w:r>
      <w:proofErr w:type="spellStart"/>
      <w:r w:rsidR="00805FDB" w:rsidRPr="00900D6C">
        <w:t>Guillain-Barré</w:t>
      </w:r>
      <w:proofErr w:type="spellEnd"/>
      <w:r w:rsidR="00805FDB" w:rsidRPr="00900D6C">
        <w:t xml:space="preserve"> syndrome, haemorrhages (causing rapid death in some patients), </w:t>
      </w:r>
      <w:r w:rsidR="00692471" w:rsidRPr="00900D6C">
        <w:t xml:space="preserve">isolated </w:t>
      </w:r>
      <w:proofErr w:type="spellStart"/>
      <w:r w:rsidR="00692471" w:rsidRPr="00900D6C">
        <w:t>arthralgias</w:t>
      </w:r>
      <w:proofErr w:type="spellEnd"/>
      <w:r w:rsidR="00692471" w:rsidRPr="00900D6C">
        <w:t xml:space="preserve">, severe jaundice, disseminated intravascular coagulation, </w:t>
      </w:r>
      <w:proofErr w:type="spellStart"/>
      <w:r w:rsidR="00692471" w:rsidRPr="00900D6C">
        <w:t>thrombocytopaenia</w:t>
      </w:r>
      <w:proofErr w:type="spellEnd"/>
      <w:r w:rsidR="00692471" w:rsidRPr="00900D6C">
        <w:t xml:space="preserve">, gallbladder and </w:t>
      </w:r>
      <w:proofErr w:type="spellStart"/>
      <w:r w:rsidR="00692471" w:rsidRPr="00900D6C">
        <w:t>hepatobiliary</w:t>
      </w:r>
      <w:proofErr w:type="spellEnd"/>
      <w:r w:rsidR="00692471" w:rsidRPr="00900D6C">
        <w:t xml:space="preserve"> carcinoma, and haemolytic uraemic syndrome </w:t>
      </w:r>
      <w:r w:rsidR="00717295" w:rsidRPr="00900D6C">
        <w:t>and pneumonia</w:t>
      </w:r>
      <w:r w:rsidR="00717295" w:rsidRPr="00900D6C" w:rsidDel="00D60FD4">
        <w:t xml:space="preserve"> </w:t>
      </w:r>
      <w:r w:rsidR="004016B2" w:rsidRPr="00900D6C">
        <w:t>(</w:t>
      </w:r>
      <w:r w:rsidR="00196AAD" w:rsidRPr="00900D6C">
        <w:t>14</w:t>
      </w:r>
      <w:r w:rsidR="004016B2" w:rsidRPr="00900D6C">
        <w:t xml:space="preserve">, </w:t>
      </w:r>
      <w:r w:rsidR="00196AAD" w:rsidRPr="00900D6C">
        <w:t>24</w:t>
      </w:r>
      <w:r w:rsidR="004016B2" w:rsidRPr="00900D6C">
        <w:t>)</w:t>
      </w:r>
      <w:r w:rsidR="00496028" w:rsidRPr="00900D6C">
        <w:t xml:space="preserve">, </w:t>
      </w:r>
      <w:r w:rsidR="004016B2" w:rsidRPr="00900D6C">
        <w:t>(</w:t>
      </w:r>
      <w:r w:rsidR="00196AAD" w:rsidRPr="00900D6C">
        <w:t>12</w:t>
      </w:r>
      <w:r w:rsidR="004016B2" w:rsidRPr="00900D6C">
        <w:t xml:space="preserve">, </w:t>
      </w:r>
      <w:r w:rsidR="00196AAD" w:rsidRPr="00900D6C">
        <w:t>20</w:t>
      </w:r>
      <w:r w:rsidR="004016B2" w:rsidRPr="00900D6C">
        <w:t xml:space="preserve">, </w:t>
      </w:r>
      <w:r w:rsidR="00196AAD" w:rsidRPr="00900D6C">
        <w:t>25</w:t>
      </w:r>
      <w:r w:rsidR="004016B2" w:rsidRPr="00900D6C">
        <w:t>)</w:t>
      </w:r>
      <w:r w:rsidR="00805FDB" w:rsidRPr="00900D6C">
        <w:t>.</w:t>
      </w:r>
    </w:p>
    <w:p w14:paraId="49DF0E69" w14:textId="6CFA79FE" w:rsidR="00FB2C72" w:rsidRPr="00900D6C" w:rsidRDefault="00FB2C72" w:rsidP="00EA19BA">
      <w:pPr>
        <w:ind w:right="-46"/>
      </w:pPr>
      <w:r w:rsidRPr="00900D6C">
        <w:rPr>
          <w:u w:val="single"/>
          <w:lang w:eastAsia="en-AU"/>
        </w:rPr>
        <w:t>Paratyphoid</w:t>
      </w:r>
      <w:r w:rsidRPr="00900D6C">
        <w:rPr>
          <w:lang w:eastAsia="en-AU"/>
        </w:rPr>
        <w:t xml:space="preserve"> - </w:t>
      </w:r>
      <w:r w:rsidR="005B72EE" w:rsidRPr="00900D6C">
        <w:rPr>
          <w:lang w:eastAsia="en-AU"/>
        </w:rPr>
        <w:t xml:space="preserve">Paratyphoid is clinically similar </w:t>
      </w:r>
      <w:r w:rsidRPr="00900D6C">
        <w:rPr>
          <w:lang w:eastAsia="en-AU"/>
        </w:rPr>
        <w:t xml:space="preserve">to typhoid </w:t>
      </w:r>
      <w:r w:rsidR="005B72EE" w:rsidRPr="00900D6C">
        <w:rPr>
          <w:lang w:eastAsia="en-AU"/>
        </w:rPr>
        <w:t xml:space="preserve">but tends to have a more benign </w:t>
      </w:r>
      <w:proofErr w:type="gramStart"/>
      <w:r w:rsidR="005B72EE" w:rsidRPr="00900D6C">
        <w:rPr>
          <w:lang w:eastAsia="en-AU"/>
        </w:rPr>
        <w:t>course</w:t>
      </w:r>
      <w:r w:rsidR="001F6F9D" w:rsidRPr="00900D6C">
        <w:rPr>
          <w:lang w:eastAsia="en-AU"/>
        </w:rPr>
        <w:t>(</w:t>
      </w:r>
      <w:proofErr w:type="gramEnd"/>
      <w:r w:rsidR="00196AAD" w:rsidRPr="00900D6C">
        <w:rPr>
          <w:lang w:eastAsia="en-AU"/>
        </w:rPr>
        <w:t>26</w:t>
      </w:r>
      <w:r w:rsidR="001F6F9D" w:rsidRPr="00900D6C">
        <w:rPr>
          <w:lang w:eastAsia="en-AU"/>
        </w:rPr>
        <w:t>)</w:t>
      </w:r>
      <w:r w:rsidR="005B72EE" w:rsidRPr="00900D6C">
        <w:rPr>
          <w:lang w:eastAsia="en-AU"/>
        </w:rPr>
        <w:t xml:space="preserve">. </w:t>
      </w:r>
      <w:r w:rsidRPr="00900D6C">
        <w:t xml:space="preserve">Relapses may occur in anywhere between </w:t>
      </w:r>
      <w:r w:rsidR="00B31B14" w:rsidRPr="00900D6C">
        <w:t>3</w:t>
      </w:r>
      <w:r w:rsidRPr="00900D6C">
        <w:t xml:space="preserve"> to </w:t>
      </w:r>
      <w:r w:rsidR="00B31B14" w:rsidRPr="00900D6C">
        <w:t>9%</w:t>
      </w:r>
      <w:r w:rsidRPr="00900D6C">
        <w:t xml:space="preserve"> of cases </w:t>
      </w:r>
      <w:r w:rsidR="005603B2" w:rsidRPr="00900D6C">
        <w:t>(</w:t>
      </w:r>
      <w:r w:rsidR="00196AAD" w:rsidRPr="00900D6C">
        <w:t>6</w:t>
      </w:r>
      <w:r w:rsidR="005603B2" w:rsidRPr="00900D6C">
        <w:t xml:space="preserve">, </w:t>
      </w:r>
      <w:r w:rsidR="00196AAD" w:rsidRPr="00900D6C">
        <w:t>15</w:t>
      </w:r>
      <w:r w:rsidR="005603B2" w:rsidRPr="00900D6C">
        <w:t>)</w:t>
      </w:r>
      <w:r w:rsidRPr="00900D6C">
        <w:t xml:space="preserve">. The case fatality rate is estimated at approximately 0.5% </w:t>
      </w:r>
      <w:r w:rsidR="001F6F9D" w:rsidRPr="00900D6C">
        <w:t>(</w:t>
      </w:r>
      <w:r w:rsidR="00196AAD" w:rsidRPr="00900D6C">
        <w:t>26</w:t>
      </w:r>
      <w:r w:rsidR="001F6F9D" w:rsidRPr="00900D6C">
        <w:t>)</w:t>
      </w:r>
      <w:r w:rsidRPr="00900D6C">
        <w:t>.</w:t>
      </w:r>
    </w:p>
    <w:p w14:paraId="0D38B68D" w14:textId="5AC0A0E8" w:rsidR="00C45D87" w:rsidRPr="00900D6C" w:rsidRDefault="003C2F21" w:rsidP="00EA19BA">
      <w:pPr>
        <w:ind w:right="-46"/>
        <w:rPr>
          <w:lang w:eastAsia="en-AU"/>
        </w:rPr>
      </w:pPr>
      <w:r w:rsidRPr="00900D6C">
        <w:t xml:space="preserve">Complications </w:t>
      </w:r>
      <w:r w:rsidR="00037963" w:rsidRPr="00900D6C">
        <w:t>typically arise in the third week (</w:t>
      </w:r>
      <w:r w:rsidR="00196AAD" w:rsidRPr="00900D6C">
        <w:t>15</w:t>
      </w:r>
      <w:r w:rsidR="00037963" w:rsidRPr="00900D6C">
        <w:t>)</w:t>
      </w:r>
      <w:r w:rsidR="00037963" w:rsidRPr="00900D6C">
        <w:rPr>
          <w:rFonts w:ascii="Lucida Sans Unicode" w:hAnsi="Lucida Sans Unicode" w:cs="Lucida Sans Unicode"/>
          <w:sz w:val="21"/>
          <w:szCs w:val="21"/>
          <w:shd w:val="clear" w:color="auto" w:fill="FFFFFF"/>
        </w:rPr>
        <w:t xml:space="preserve"> </w:t>
      </w:r>
      <w:r w:rsidR="00037963" w:rsidRPr="00900D6C">
        <w:t>and</w:t>
      </w:r>
      <w:r w:rsidR="00D91116" w:rsidRPr="00900D6C">
        <w:t xml:space="preserve"> </w:t>
      </w:r>
      <w:r w:rsidR="005B6ABB" w:rsidRPr="00900D6C">
        <w:t>have been reported in 10</w:t>
      </w:r>
      <w:r w:rsidR="00B31B14" w:rsidRPr="00900D6C">
        <w:t>%</w:t>
      </w:r>
      <w:r w:rsidR="005B6ABB" w:rsidRPr="00900D6C">
        <w:t xml:space="preserve"> to </w:t>
      </w:r>
      <w:r w:rsidRPr="00900D6C">
        <w:t>15</w:t>
      </w:r>
      <w:r w:rsidR="00B31B14" w:rsidRPr="00900D6C">
        <w:t>%</w:t>
      </w:r>
      <w:r w:rsidRPr="00900D6C">
        <w:t xml:space="preserve"> of cases in the United States</w:t>
      </w:r>
      <w:r w:rsidR="00037963" w:rsidRPr="00900D6C">
        <w:t>. M</w:t>
      </w:r>
      <w:r w:rsidR="00D91116" w:rsidRPr="00900D6C">
        <w:t>eningitis, endocarditis</w:t>
      </w:r>
      <w:r w:rsidRPr="00900D6C">
        <w:t>, hepatic abscess</w:t>
      </w:r>
      <w:r w:rsidR="00D91116" w:rsidRPr="00900D6C">
        <w:t xml:space="preserve">, </w:t>
      </w:r>
      <w:r w:rsidRPr="00900D6C">
        <w:t>osteomyelitis and psoas abscess</w:t>
      </w:r>
      <w:r w:rsidR="00D91116" w:rsidRPr="00900D6C">
        <w:t>, gallbladder cancer and pancytopenia</w:t>
      </w:r>
      <w:r w:rsidR="00037963" w:rsidRPr="00900D6C">
        <w:t xml:space="preserve"> have been associated with infection</w:t>
      </w:r>
      <w:r w:rsidRPr="00900D6C">
        <w:t xml:space="preserve"> (</w:t>
      </w:r>
      <w:r w:rsidR="00196AAD" w:rsidRPr="00900D6C">
        <w:t>1</w:t>
      </w:r>
      <w:r w:rsidRPr="00900D6C">
        <w:t>)</w:t>
      </w:r>
      <w:r w:rsidR="00D91116" w:rsidRPr="00900D6C">
        <w:t>.</w:t>
      </w:r>
    </w:p>
    <w:p w14:paraId="73D43517" w14:textId="77777777" w:rsidR="00BA01D7" w:rsidRDefault="002A4B69" w:rsidP="00900D6C">
      <w:pPr>
        <w:pStyle w:val="Heading2"/>
      </w:pPr>
      <w:r w:rsidRPr="00900D6C">
        <w:t>Persons at increased risk of disease</w:t>
      </w:r>
    </w:p>
    <w:p w14:paraId="0C9BF319" w14:textId="38105C24" w:rsidR="00496028" w:rsidRPr="00900D6C" w:rsidRDefault="008C348A" w:rsidP="00EA19BA">
      <w:pPr>
        <w:ind w:right="-46"/>
        <w:rPr>
          <w:lang w:eastAsia="en-AU"/>
        </w:rPr>
      </w:pPr>
      <w:r w:rsidRPr="00900D6C">
        <w:rPr>
          <w:lang w:eastAsia="en-AU"/>
        </w:rPr>
        <w:t>S</w:t>
      </w:r>
      <w:r w:rsidR="004B7A69" w:rsidRPr="00900D6C">
        <w:rPr>
          <w:lang w:eastAsia="en-AU"/>
        </w:rPr>
        <w:t>usceptibility is general</w:t>
      </w:r>
      <w:r w:rsidR="008D03F7" w:rsidRPr="00900D6C">
        <w:rPr>
          <w:lang w:eastAsia="en-AU"/>
        </w:rPr>
        <w:t>,</w:t>
      </w:r>
      <w:r w:rsidR="008644CA" w:rsidRPr="00900D6C">
        <w:rPr>
          <w:lang w:eastAsia="en-AU"/>
        </w:rPr>
        <w:t xml:space="preserve"> but cases in endemic areas </w:t>
      </w:r>
      <w:r w:rsidR="00911375" w:rsidRPr="00900D6C">
        <w:rPr>
          <w:lang w:eastAsia="en-AU"/>
        </w:rPr>
        <w:t xml:space="preserve">occur </w:t>
      </w:r>
      <w:r w:rsidR="008644CA" w:rsidRPr="00900D6C">
        <w:rPr>
          <w:lang w:eastAsia="en-AU"/>
        </w:rPr>
        <w:t xml:space="preserve">mainly in pre-school children and those aged from </w:t>
      </w:r>
      <w:r w:rsidR="00B31B14" w:rsidRPr="00900D6C">
        <w:rPr>
          <w:lang w:eastAsia="en-AU"/>
        </w:rPr>
        <w:t>5</w:t>
      </w:r>
      <w:r w:rsidR="008644CA" w:rsidRPr="00900D6C">
        <w:rPr>
          <w:lang w:eastAsia="en-AU"/>
        </w:rPr>
        <w:t>-19 years. Infection risk is also</w:t>
      </w:r>
      <w:r w:rsidR="004B7A69" w:rsidRPr="00900D6C">
        <w:rPr>
          <w:lang w:eastAsia="en-AU"/>
        </w:rPr>
        <w:t xml:space="preserve"> increased in individuals </w:t>
      </w:r>
      <w:r w:rsidR="008644CA" w:rsidRPr="00900D6C">
        <w:rPr>
          <w:lang w:eastAsia="en-AU"/>
        </w:rPr>
        <w:t xml:space="preserve">who travel to endemic areas and those </w:t>
      </w:r>
      <w:r w:rsidR="004B7A69" w:rsidRPr="00900D6C">
        <w:rPr>
          <w:lang w:eastAsia="en-AU"/>
        </w:rPr>
        <w:t xml:space="preserve">with gastric </w:t>
      </w:r>
      <w:proofErr w:type="spellStart"/>
      <w:r w:rsidR="004B7A69" w:rsidRPr="00900D6C">
        <w:rPr>
          <w:lang w:eastAsia="en-AU"/>
        </w:rPr>
        <w:t>achlorhydria</w:t>
      </w:r>
      <w:proofErr w:type="spellEnd"/>
      <w:r w:rsidR="006A4190" w:rsidRPr="00900D6C">
        <w:rPr>
          <w:lang w:eastAsia="en-AU"/>
        </w:rPr>
        <w:t xml:space="preserve"> </w:t>
      </w:r>
      <w:r w:rsidR="00162C20" w:rsidRPr="00900D6C">
        <w:rPr>
          <w:lang w:eastAsia="en-AU"/>
        </w:rPr>
        <w:t>(</w:t>
      </w:r>
      <w:r w:rsidR="00196AAD" w:rsidRPr="00900D6C">
        <w:rPr>
          <w:lang w:eastAsia="en-AU"/>
        </w:rPr>
        <w:t>6</w:t>
      </w:r>
      <w:r w:rsidR="00162C20" w:rsidRPr="00900D6C">
        <w:rPr>
          <w:lang w:eastAsia="en-AU"/>
        </w:rPr>
        <w:t>)</w:t>
      </w:r>
      <w:r w:rsidR="008644CA" w:rsidRPr="00900D6C">
        <w:rPr>
          <w:lang w:eastAsia="en-AU"/>
        </w:rPr>
        <w:t>.</w:t>
      </w:r>
    </w:p>
    <w:p w14:paraId="0818F452" w14:textId="774E0C72" w:rsidR="004B7A69" w:rsidRPr="00900D6C" w:rsidRDefault="00A005E0" w:rsidP="00EA19BA">
      <w:pPr>
        <w:ind w:right="-46"/>
        <w:rPr>
          <w:lang w:eastAsia="en-AU"/>
        </w:rPr>
      </w:pPr>
      <w:r w:rsidRPr="00900D6C">
        <w:rPr>
          <w:lang w:eastAsia="en-AU"/>
        </w:rPr>
        <w:t xml:space="preserve">Travellers who </w:t>
      </w:r>
      <w:proofErr w:type="gramStart"/>
      <w:r w:rsidRPr="00900D6C">
        <w:rPr>
          <w:lang w:eastAsia="en-AU"/>
        </w:rPr>
        <w:t>return to their countr</w:t>
      </w:r>
      <w:r w:rsidR="00911375" w:rsidRPr="00900D6C">
        <w:rPr>
          <w:lang w:eastAsia="en-AU"/>
        </w:rPr>
        <w:t>ies</w:t>
      </w:r>
      <w:r w:rsidRPr="00900D6C">
        <w:rPr>
          <w:lang w:eastAsia="en-AU"/>
        </w:rPr>
        <w:t xml:space="preserve"> of origin</w:t>
      </w:r>
      <w:r w:rsidR="00911375" w:rsidRPr="00900D6C">
        <w:rPr>
          <w:lang w:eastAsia="en-AU"/>
        </w:rPr>
        <w:t>,</w:t>
      </w:r>
      <w:r w:rsidRPr="00900D6C">
        <w:rPr>
          <w:lang w:eastAsia="en-AU"/>
        </w:rPr>
        <w:t xml:space="preserve"> </w:t>
      </w:r>
      <w:r w:rsidR="00911375" w:rsidRPr="00900D6C">
        <w:rPr>
          <w:lang w:eastAsia="en-AU"/>
        </w:rPr>
        <w:t xml:space="preserve">where enteric fever is endemic, </w:t>
      </w:r>
      <w:r w:rsidRPr="00900D6C">
        <w:rPr>
          <w:lang w:eastAsia="en-AU"/>
        </w:rPr>
        <w:t>to visit friends and relatives</w:t>
      </w:r>
      <w:r w:rsidR="004E5F0F" w:rsidRPr="00900D6C">
        <w:rPr>
          <w:lang w:eastAsia="en-AU"/>
        </w:rPr>
        <w:t>,</w:t>
      </w:r>
      <w:r w:rsidRPr="00900D6C">
        <w:rPr>
          <w:lang w:eastAsia="en-AU"/>
        </w:rPr>
        <w:t xml:space="preserve"> are</w:t>
      </w:r>
      <w:proofErr w:type="gramEnd"/>
      <w:r w:rsidRPr="00900D6C">
        <w:rPr>
          <w:lang w:eastAsia="en-AU"/>
        </w:rPr>
        <w:t xml:space="preserve"> an </w:t>
      </w:r>
      <w:r w:rsidR="00911375" w:rsidRPr="00900D6C">
        <w:rPr>
          <w:lang w:eastAsia="en-AU"/>
        </w:rPr>
        <w:t>identified</w:t>
      </w:r>
      <w:r w:rsidRPr="00900D6C">
        <w:rPr>
          <w:lang w:eastAsia="en-AU"/>
        </w:rPr>
        <w:t xml:space="preserve"> risk </w:t>
      </w:r>
      <w:r w:rsidR="00911375" w:rsidRPr="00900D6C">
        <w:rPr>
          <w:lang w:eastAsia="en-AU"/>
        </w:rPr>
        <w:t>group for</w:t>
      </w:r>
      <w:r w:rsidRPr="00900D6C">
        <w:rPr>
          <w:lang w:eastAsia="en-AU"/>
        </w:rPr>
        <w:t xml:space="preserve"> contracting typhoid</w:t>
      </w:r>
      <w:r w:rsidR="00316F44" w:rsidRPr="00900D6C">
        <w:rPr>
          <w:lang w:eastAsia="en-AU"/>
        </w:rPr>
        <w:t xml:space="preserve"> and paratyphoid</w:t>
      </w:r>
      <w:r w:rsidR="00FD6631" w:rsidRPr="00900D6C">
        <w:rPr>
          <w:lang w:eastAsia="en-AU"/>
        </w:rPr>
        <w:t xml:space="preserve"> </w:t>
      </w:r>
      <w:r w:rsidR="001F6F9D" w:rsidRPr="00900D6C">
        <w:rPr>
          <w:lang w:eastAsia="en-AU"/>
        </w:rPr>
        <w:t>(</w:t>
      </w:r>
      <w:r w:rsidR="00196AAD" w:rsidRPr="00900D6C">
        <w:rPr>
          <w:lang w:eastAsia="en-AU"/>
        </w:rPr>
        <w:t>27</w:t>
      </w:r>
      <w:r w:rsidR="001F6F9D" w:rsidRPr="00900D6C">
        <w:rPr>
          <w:lang w:eastAsia="en-AU"/>
        </w:rPr>
        <w:t xml:space="preserve">, </w:t>
      </w:r>
      <w:r w:rsidR="00196AAD" w:rsidRPr="00900D6C">
        <w:rPr>
          <w:lang w:eastAsia="en-AU"/>
        </w:rPr>
        <w:t>28</w:t>
      </w:r>
      <w:r w:rsidR="001F6F9D" w:rsidRPr="00900D6C">
        <w:rPr>
          <w:lang w:eastAsia="en-AU"/>
        </w:rPr>
        <w:t>)</w:t>
      </w:r>
      <w:r w:rsidR="004B7A69" w:rsidRPr="00900D6C">
        <w:rPr>
          <w:lang w:eastAsia="en-AU"/>
        </w:rPr>
        <w:t>.</w:t>
      </w:r>
      <w:r w:rsidR="00316F44" w:rsidRPr="00900D6C">
        <w:rPr>
          <w:rFonts w:ascii="Lucida Sans Unicode" w:hAnsi="Lucida Sans Unicode" w:cs="Lucida Sans Unicode"/>
          <w:sz w:val="21"/>
          <w:szCs w:val="21"/>
          <w:shd w:val="clear" w:color="auto" w:fill="FFFFFF"/>
        </w:rPr>
        <w:t xml:space="preserve"> </w:t>
      </w:r>
      <w:r w:rsidR="00316F44" w:rsidRPr="00900D6C">
        <w:t xml:space="preserve">A </w:t>
      </w:r>
      <w:r w:rsidR="004E5F0F" w:rsidRPr="00900D6C">
        <w:t>six</w:t>
      </w:r>
      <w:r w:rsidR="00651BB8" w:rsidRPr="00900D6C">
        <w:t>-</w:t>
      </w:r>
      <w:r w:rsidR="009B595D" w:rsidRPr="00900D6C">
        <w:t xml:space="preserve">month review of typhoid and paratyphoid cases in </w:t>
      </w:r>
      <w:r w:rsidR="00911375" w:rsidRPr="00900D6C">
        <w:t>New South Wales</w:t>
      </w:r>
      <w:r w:rsidR="004E5F0F" w:rsidRPr="00900D6C">
        <w:t>,</w:t>
      </w:r>
      <w:r w:rsidR="009B595D" w:rsidRPr="00900D6C">
        <w:t xml:space="preserve"> showed </w:t>
      </w:r>
      <w:r w:rsidR="00911375" w:rsidRPr="00900D6C">
        <w:t xml:space="preserve">that </w:t>
      </w:r>
      <w:r w:rsidR="009B595D" w:rsidRPr="00900D6C">
        <w:t>85</w:t>
      </w:r>
      <w:r w:rsidR="00B31B14" w:rsidRPr="00900D6C">
        <w:t>%</w:t>
      </w:r>
      <w:r w:rsidR="009B595D" w:rsidRPr="00900D6C">
        <w:t xml:space="preserve"> were travellers </w:t>
      </w:r>
      <w:r w:rsidR="00911375" w:rsidRPr="00900D6C">
        <w:t xml:space="preserve">returning from overseas after </w:t>
      </w:r>
      <w:r w:rsidR="009B595D" w:rsidRPr="00900D6C">
        <w:t>visiting friends and relatives</w:t>
      </w:r>
      <w:r w:rsidR="00F41892" w:rsidRPr="00900D6C">
        <w:t>. None of these travellers were vaccinated prior to travel</w:t>
      </w:r>
      <w:r w:rsidR="009B595D" w:rsidRPr="00900D6C">
        <w:t xml:space="preserve"> </w:t>
      </w:r>
      <w:r w:rsidR="001F6F9D" w:rsidRPr="00900D6C">
        <w:t>(</w:t>
      </w:r>
      <w:r w:rsidR="00196AAD" w:rsidRPr="00900D6C">
        <w:t>28</w:t>
      </w:r>
      <w:r w:rsidR="001F6F9D" w:rsidRPr="00900D6C">
        <w:t>)</w:t>
      </w:r>
      <w:r w:rsidR="00FF3A65" w:rsidRPr="00900D6C">
        <w:t xml:space="preserve">. Similarly, in the </w:t>
      </w:r>
      <w:r w:rsidR="00316F44" w:rsidRPr="00900D6C">
        <w:t>United States</w:t>
      </w:r>
      <w:r w:rsidR="008674AE" w:rsidRPr="00900D6C">
        <w:t xml:space="preserve"> of America (USA)</w:t>
      </w:r>
      <w:r w:rsidR="00316F44" w:rsidRPr="00900D6C">
        <w:t xml:space="preserve"> </w:t>
      </w:r>
      <w:r w:rsidR="002F1B1A" w:rsidRPr="00900D6C">
        <w:t>and U</w:t>
      </w:r>
      <w:r w:rsidR="008674AE" w:rsidRPr="00900D6C">
        <w:t xml:space="preserve">nited </w:t>
      </w:r>
      <w:r w:rsidR="002F1B1A" w:rsidRPr="00900D6C">
        <w:t>K</w:t>
      </w:r>
      <w:r w:rsidR="008674AE" w:rsidRPr="00900D6C">
        <w:t>ingdom (UK)</w:t>
      </w:r>
      <w:r w:rsidR="006A3122" w:rsidRPr="00900D6C">
        <w:t>,</w:t>
      </w:r>
      <w:r w:rsidR="002F1B1A" w:rsidRPr="00900D6C">
        <w:t xml:space="preserve"> </w:t>
      </w:r>
      <w:r w:rsidR="00316F44" w:rsidRPr="00900D6C">
        <w:t>travel</w:t>
      </w:r>
      <w:r w:rsidR="009B595D" w:rsidRPr="00900D6C">
        <w:t>l</w:t>
      </w:r>
      <w:r w:rsidR="00316F44" w:rsidRPr="00900D6C">
        <w:t xml:space="preserve">ers </w:t>
      </w:r>
      <w:r w:rsidR="00911375" w:rsidRPr="00900D6C">
        <w:t xml:space="preserve">returning from </w:t>
      </w:r>
      <w:r w:rsidR="00316F44" w:rsidRPr="00900D6C">
        <w:t xml:space="preserve">visiting friends and relatives accounted for </w:t>
      </w:r>
      <w:r w:rsidR="002F1B1A" w:rsidRPr="00900D6C">
        <w:t xml:space="preserve">the majority of enteric fever </w:t>
      </w:r>
      <w:r w:rsidR="00FF3A65" w:rsidRPr="00900D6C">
        <w:t>cases</w:t>
      </w:r>
      <w:r w:rsidR="00316F44" w:rsidRPr="00900D6C">
        <w:t xml:space="preserve"> </w:t>
      </w:r>
      <w:r w:rsidR="001F6F9D" w:rsidRPr="00900D6C">
        <w:t>(</w:t>
      </w:r>
      <w:r w:rsidR="00196AAD" w:rsidRPr="00900D6C">
        <w:t>29</w:t>
      </w:r>
      <w:r w:rsidR="001F6F9D" w:rsidRPr="00900D6C">
        <w:t xml:space="preserve">, </w:t>
      </w:r>
      <w:r w:rsidR="00196AAD" w:rsidRPr="00900D6C">
        <w:t>30</w:t>
      </w:r>
      <w:r w:rsidR="001F6F9D" w:rsidRPr="00900D6C">
        <w:t>)</w:t>
      </w:r>
      <w:r w:rsidR="00316F44" w:rsidRPr="00900D6C">
        <w:t>.</w:t>
      </w:r>
    </w:p>
    <w:p w14:paraId="767269B5" w14:textId="33EC71EB" w:rsidR="002A4B69" w:rsidRPr="00900D6C" w:rsidRDefault="002A4B69" w:rsidP="00900D6C">
      <w:pPr>
        <w:pStyle w:val="Heading2"/>
      </w:pPr>
      <w:r w:rsidRPr="00900D6C">
        <w:t>Disease occurrence and public health significance</w:t>
      </w:r>
    </w:p>
    <w:p w14:paraId="1E4E2B2F" w14:textId="335818E4" w:rsidR="008C348A" w:rsidRPr="00900D6C" w:rsidRDefault="008C348A" w:rsidP="00EA19BA">
      <w:pPr>
        <w:ind w:right="-46"/>
      </w:pPr>
      <w:r w:rsidRPr="00900D6C">
        <w:t>Enteric fever</w:t>
      </w:r>
      <w:r w:rsidR="00FB4B3F" w:rsidRPr="00900D6C">
        <w:t xml:space="preserve"> </w:t>
      </w:r>
      <w:r w:rsidR="003E63AC" w:rsidRPr="00900D6C">
        <w:t>remain</w:t>
      </w:r>
      <w:r w:rsidRPr="00900D6C">
        <w:t>s</w:t>
      </w:r>
      <w:r w:rsidR="003E63AC" w:rsidRPr="00900D6C">
        <w:t xml:space="preserve"> </w:t>
      </w:r>
      <w:r w:rsidRPr="00900D6C">
        <w:t xml:space="preserve">an </w:t>
      </w:r>
      <w:r w:rsidR="003E63AC" w:rsidRPr="00900D6C">
        <w:t>important public</w:t>
      </w:r>
      <w:r w:rsidR="00F84B23" w:rsidRPr="00900D6C">
        <w:t>-</w:t>
      </w:r>
      <w:r w:rsidR="003E63AC" w:rsidRPr="00900D6C">
        <w:t xml:space="preserve">health problem, particularly in endemic </w:t>
      </w:r>
      <w:r w:rsidR="00881561" w:rsidRPr="00900D6C">
        <w:t xml:space="preserve">regions </w:t>
      </w:r>
      <w:r w:rsidRPr="00900D6C">
        <w:t>(in</w:t>
      </w:r>
      <w:r w:rsidR="009556C7" w:rsidRPr="00900D6C">
        <w:t>cluding</w:t>
      </w:r>
      <w:r w:rsidRPr="00900D6C">
        <w:t xml:space="preserve"> Asia, the Middle East, Africa, Latin America and the Pacific Islands)</w:t>
      </w:r>
      <w:r w:rsidR="003E63AC" w:rsidRPr="00900D6C">
        <w:t xml:space="preserve">. </w:t>
      </w:r>
      <w:r w:rsidRPr="00900D6C">
        <w:t>In these regions</w:t>
      </w:r>
      <w:r w:rsidR="00F84B23" w:rsidRPr="00900D6C">
        <w:t>,</w:t>
      </w:r>
      <w:r w:rsidRPr="00900D6C">
        <w:t xml:space="preserve"> morbidity and mortality are increasing with the emergence and worldwide spread of </w:t>
      </w:r>
      <w:r w:rsidRPr="00900D6C">
        <w:rPr>
          <w:i/>
        </w:rPr>
        <w:t>S</w:t>
      </w:r>
      <w:r w:rsidRPr="00900D6C">
        <w:t xml:space="preserve">. </w:t>
      </w:r>
      <w:proofErr w:type="spellStart"/>
      <w:r w:rsidRPr="00900D6C">
        <w:t>Typhi</w:t>
      </w:r>
      <w:proofErr w:type="spellEnd"/>
      <w:r w:rsidRPr="00900D6C">
        <w:t xml:space="preserve"> and </w:t>
      </w:r>
      <w:r w:rsidRPr="00900D6C">
        <w:rPr>
          <w:i/>
        </w:rPr>
        <w:t>S.</w:t>
      </w:r>
      <w:r w:rsidRPr="00900D6C">
        <w:t xml:space="preserve"> </w:t>
      </w:r>
      <w:proofErr w:type="spellStart"/>
      <w:r w:rsidRPr="00900D6C">
        <w:t>Paratyphi</w:t>
      </w:r>
      <w:proofErr w:type="spellEnd"/>
      <w:r w:rsidRPr="00900D6C">
        <w:t xml:space="preserve"> strains that are resistant to most previously</w:t>
      </w:r>
      <w:r w:rsidR="00F84B23" w:rsidRPr="00900D6C">
        <w:t>-</w:t>
      </w:r>
      <w:r w:rsidRPr="00900D6C">
        <w:t>useful antibiotics</w:t>
      </w:r>
      <w:r w:rsidR="004146FF" w:rsidRPr="00900D6C">
        <w:t xml:space="preserve"> </w:t>
      </w:r>
      <w:r w:rsidR="001F6F9D" w:rsidRPr="00900D6C">
        <w:t>(</w:t>
      </w:r>
      <w:r w:rsidR="00196AAD" w:rsidRPr="00900D6C">
        <w:t>31</w:t>
      </w:r>
      <w:r w:rsidR="001F6F9D" w:rsidRPr="00900D6C">
        <w:t>)</w:t>
      </w:r>
      <w:r w:rsidR="004146FF" w:rsidRPr="00900D6C">
        <w:t>.</w:t>
      </w:r>
      <w:r w:rsidRPr="00900D6C">
        <w:t xml:space="preserve"> The real impact is difficult to estimate because the clinical picture is </w:t>
      </w:r>
      <w:r w:rsidR="00A82796" w:rsidRPr="00900D6C">
        <w:t xml:space="preserve">often </w:t>
      </w:r>
      <w:r w:rsidRPr="00900D6C">
        <w:t xml:space="preserve">confused with that of other febrile infections. </w:t>
      </w:r>
      <w:r w:rsidRPr="00900D6C">
        <w:lastRenderedPageBreak/>
        <w:t xml:space="preserve">Additionally, </w:t>
      </w:r>
      <w:r w:rsidR="00651BB8" w:rsidRPr="00900D6C">
        <w:t>incidence</w:t>
      </w:r>
      <w:r w:rsidR="00F84B23" w:rsidRPr="00900D6C">
        <w:t xml:space="preserve"> of the </w:t>
      </w:r>
      <w:r w:rsidRPr="00900D6C">
        <w:t xml:space="preserve">disease is underestimated because </w:t>
      </w:r>
      <w:r w:rsidR="0041531E" w:rsidRPr="00900D6C">
        <w:t xml:space="preserve">there are no </w:t>
      </w:r>
      <w:r w:rsidRPr="00900D6C">
        <w:t>bacteriology laboratories in m</w:t>
      </w:r>
      <w:r w:rsidR="0041531E" w:rsidRPr="00900D6C">
        <w:t xml:space="preserve">ost </w:t>
      </w:r>
      <w:r w:rsidRPr="00900D6C">
        <w:t xml:space="preserve">areas of developing countries </w:t>
      </w:r>
      <w:r w:rsidR="005603B2" w:rsidRPr="00900D6C">
        <w:t>(</w:t>
      </w:r>
      <w:r w:rsidR="00196AAD" w:rsidRPr="00900D6C">
        <w:t>12</w:t>
      </w:r>
      <w:r w:rsidR="005603B2" w:rsidRPr="00900D6C">
        <w:t>)</w:t>
      </w:r>
      <w:r w:rsidRPr="00900D6C">
        <w:t>.</w:t>
      </w:r>
    </w:p>
    <w:p w14:paraId="776127B7" w14:textId="04302892" w:rsidR="008C348A" w:rsidRPr="00900D6C" w:rsidRDefault="008C348A" w:rsidP="00EA19BA">
      <w:pPr>
        <w:ind w:right="-46"/>
        <w:rPr>
          <w:rFonts w:cs="Tahoma"/>
        </w:rPr>
      </w:pPr>
      <w:r w:rsidRPr="00900D6C">
        <w:t xml:space="preserve">In </w:t>
      </w:r>
      <w:r w:rsidR="00B1131E" w:rsidRPr="00900D6C">
        <w:t>2010</w:t>
      </w:r>
      <w:r w:rsidRPr="00900D6C">
        <w:t xml:space="preserve">, </w:t>
      </w:r>
      <w:r w:rsidRPr="00900D6C">
        <w:rPr>
          <w:shd w:val="clear" w:color="auto" w:fill="FFFFFF"/>
        </w:rPr>
        <w:t>typhoid fever incidence rates ranged from &lt;0.1</w:t>
      </w:r>
      <w:r w:rsidR="0019735A" w:rsidRPr="00900D6C">
        <w:rPr>
          <w:shd w:val="clear" w:color="auto" w:fill="FFFFFF"/>
        </w:rPr>
        <w:t xml:space="preserve"> cases per </w:t>
      </w:r>
      <w:r w:rsidRPr="00900D6C">
        <w:rPr>
          <w:shd w:val="clear" w:color="auto" w:fill="FFFFFF"/>
        </w:rPr>
        <w:t>100</w:t>
      </w:r>
      <w:r w:rsidR="0041531E" w:rsidRPr="00900D6C">
        <w:rPr>
          <w:shd w:val="clear" w:color="auto" w:fill="FFFFFF"/>
        </w:rPr>
        <w:t>,</w:t>
      </w:r>
      <w:r w:rsidRPr="00900D6C">
        <w:rPr>
          <w:shd w:val="clear" w:color="auto" w:fill="FFFFFF"/>
        </w:rPr>
        <w:t xml:space="preserve">000 </w:t>
      </w:r>
      <w:r w:rsidR="0019735A" w:rsidRPr="00900D6C">
        <w:rPr>
          <w:shd w:val="clear" w:color="auto" w:fill="FFFFFF"/>
        </w:rPr>
        <w:t>population</w:t>
      </w:r>
      <w:r w:rsidRPr="00900D6C">
        <w:rPr>
          <w:shd w:val="clear" w:color="auto" w:fill="FFFFFF"/>
        </w:rPr>
        <w:t xml:space="preserve"> in Central and Eastern Europe and Central Asia</w:t>
      </w:r>
      <w:r w:rsidR="00A82796" w:rsidRPr="00900D6C">
        <w:rPr>
          <w:shd w:val="clear" w:color="auto" w:fill="FFFFFF"/>
        </w:rPr>
        <w:t>,</w:t>
      </w:r>
      <w:r w:rsidRPr="00900D6C">
        <w:rPr>
          <w:shd w:val="clear" w:color="auto" w:fill="FFFFFF"/>
        </w:rPr>
        <w:t xml:space="preserve"> to 724.6</w:t>
      </w:r>
      <w:r w:rsidR="0019735A" w:rsidRPr="00900D6C">
        <w:rPr>
          <w:shd w:val="clear" w:color="auto" w:fill="FFFFFF"/>
        </w:rPr>
        <w:t xml:space="preserve"> cases per </w:t>
      </w:r>
      <w:r w:rsidRPr="00900D6C">
        <w:rPr>
          <w:shd w:val="clear" w:color="auto" w:fill="FFFFFF"/>
        </w:rPr>
        <w:t>100</w:t>
      </w:r>
      <w:r w:rsidR="0019735A" w:rsidRPr="00900D6C">
        <w:rPr>
          <w:shd w:val="clear" w:color="auto" w:fill="FFFFFF"/>
        </w:rPr>
        <w:t>,</w:t>
      </w:r>
      <w:r w:rsidRPr="00900D6C">
        <w:rPr>
          <w:shd w:val="clear" w:color="auto" w:fill="FFFFFF"/>
        </w:rPr>
        <w:t xml:space="preserve">000 </w:t>
      </w:r>
      <w:r w:rsidR="0019735A" w:rsidRPr="00900D6C">
        <w:rPr>
          <w:shd w:val="clear" w:color="auto" w:fill="FFFFFF"/>
        </w:rPr>
        <w:t>population</w:t>
      </w:r>
      <w:r w:rsidRPr="00900D6C">
        <w:rPr>
          <w:shd w:val="clear" w:color="auto" w:fill="FFFFFF"/>
        </w:rPr>
        <w:t xml:space="preserve"> in Sub-Saharan Africa. </w:t>
      </w:r>
      <w:r w:rsidR="00475BC1" w:rsidRPr="00900D6C">
        <w:rPr>
          <w:shd w:val="clear" w:color="auto" w:fill="FFFFFF"/>
        </w:rPr>
        <w:t>In t</w:t>
      </w:r>
      <w:r w:rsidR="00B1131E" w:rsidRPr="00900D6C">
        <w:rPr>
          <w:shd w:val="clear" w:color="auto" w:fill="FFFFFF"/>
        </w:rPr>
        <w:t>he same year, p</w:t>
      </w:r>
      <w:r w:rsidRPr="00900D6C">
        <w:rPr>
          <w:shd w:val="clear" w:color="auto" w:fill="FFFFFF"/>
        </w:rPr>
        <w:t>aratyphoid incidence rates ranged from 0.8</w:t>
      </w:r>
      <w:r w:rsidR="0019735A" w:rsidRPr="00900D6C">
        <w:rPr>
          <w:shd w:val="clear" w:color="auto" w:fill="FFFFFF"/>
        </w:rPr>
        <w:t xml:space="preserve"> cases per </w:t>
      </w:r>
      <w:r w:rsidRPr="00900D6C">
        <w:rPr>
          <w:shd w:val="clear" w:color="auto" w:fill="FFFFFF"/>
        </w:rPr>
        <w:t>100</w:t>
      </w:r>
      <w:r w:rsidR="0019735A" w:rsidRPr="00900D6C">
        <w:rPr>
          <w:shd w:val="clear" w:color="auto" w:fill="FFFFFF"/>
        </w:rPr>
        <w:t>,</w:t>
      </w:r>
      <w:r w:rsidRPr="00900D6C">
        <w:rPr>
          <w:shd w:val="clear" w:color="auto" w:fill="FFFFFF"/>
        </w:rPr>
        <w:t xml:space="preserve">000 </w:t>
      </w:r>
      <w:proofErr w:type="gramStart"/>
      <w:r w:rsidR="0019735A" w:rsidRPr="00900D6C">
        <w:rPr>
          <w:shd w:val="clear" w:color="auto" w:fill="FFFFFF"/>
        </w:rPr>
        <w:t>population</w:t>
      </w:r>
      <w:proofErr w:type="gramEnd"/>
      <w:r w:rsidRPr="00900D6C">
        <w:rPr>
          <w:shd w:val="clear" w:color="auto" w:fill="FFFFFF"/>
        </w:rPr>
        <w:t xml:space="preserve"> in North Africa/Middle East to </w:t>
      </w:r>
      <w:r w:rsidRPr="00900D6C">
        <w:rPr>
          <w:rFonts w:cs="Tahoma"/>
          <w:shd w:val="clear" w:color="auto" w:fill="FFFFFF"/>
        </w:rPr>
        <w:t>77.4</w:t>
      </w:r>
      <w:r w:rsidR="0019735A" w:rsidRPr="00900D6C">
        <w:rPr>
          <w:rFonts w:cs="Tahoma"/>
          <w:shd w:val="clear" w:color="auto" w:fill="FFFFFF"/>
        </w:rPr>
        <w:t xml:space="preserve"> cases per </w:t>
      </w:r>
      <w:r w:rsidRPr="00900D6C">
        <w:rPr>
          <w:rFonts w:cs="Tahoma"/>
          <w:shd w:val="clear" w:color="auto" w:fill="FFFFFF"/>
        </w:rPr>
        <w:t>100</w:t>
      </w:r>
      <w:r w:rsidR="0019735A" w:rsidRPr="00900D6C">
        <w:rPr>
          <w:rFonts w:cs="Tahoma"/>
          <w:shd w:val="clear" w:color="auto" w:fill="FFFFFF"/>
        </w:rPr>
        <w:t>,</w:t>
      </w:r>
      <w:r w:rsidRPr="00900D6C">
        <w:rPr>
          <w:rFonts w:cs="Tahoma"/>
          <w:shd w:val="clear" w:color="auto" w:fill="FFFFFF"/>
        </w:rPr>
        <w:t xml:space="preserve">000 </w:t>
      </w:r>
      <w:r w:rsidR="0019735A" w:rsidRPr="00900D6C">
        <w:rPr>
          <w:rFonts w:cs="Tahoma"/>
          <w:shd w:val="clear" w:color="auto" w:fill="FFFFFF"/>
        </w:rPr>
        <w:t>population</w:t>
      </w:r>
      <w:r w:rsidRPr="00900D6C">
        <w:rPr>
          <w:rFonts w:cs="Tahoma"/>
          <w:shd w:val="clear" w:color="auto" w:fill="FFFFFF"/>
        </w:rPr>
        <w:t xml:space="preserve"> in Sub-Saharan Africa and South Asia </w:t>
      </w:r>
      <w:r w:rsidR="001F6F9D" w:rsidRPr="00900D6C">
        <w:rPr>
          <w:rFonts w:cs="Tahoma"/>
          <w:shd w:val="clear" w:color="auto" w:fill="FFFFFF"/>
        </w:rPr>
        <w:t>(</w:t>
      </w:r>
      <w:r w:rsidR="00196AAD" w:rsidRPr="00900D6C">
        <w:rPr>
          <w:rFonts w:cs="Tahoma"/>
          <w:shd w:val="clear" w:color="auto" w:fill="FFFFFF"/>
        </w:rPr>
        <w:t>26</w:t>
      </w:r>
      <w:r w:rsidR="001F6F9D" w:rsidRPr="00900D6C">
        <w:rPr>
          <w:rFonts w:cs="Tahoma"/>
          <w:shd w:val="clear" w:color="auto" w:fill="FFFFFF"/>
        </w:rPr>
        <w:t>)</w:t>
      </w:r>
      <w:r w:rsidRPr="00900D6C">
        <w:rPr>
          <w:rFonts w:cs="Tahoma"/>
          <w:shd w:val="clear" w:color="auto" w:fill="FFFFFF"/>
        </w:rPr>
        <w:t>.</w:t>
      </w:r>
      <w:r w:rsidR="004146FF" w:rsidRPr="00900D6C">
        <w:rPr>
          <w:rFonts w:cs="Tahoma"/>
          <w:shd w:val="clear" w:color="auto" w:fill="FFFFFF"/>
        </w:rPr>
        <w:t xml:space="preserve"> </w:t>
      </w:r>
      <w:r w:rsidRPr="00900D6C">
        <w:rPr>
          <w:rFonts w:cs="Tahoma"/>
          <w:color w:val="333333"/>
          <w:shd w:val="clear" w:color="auto" w:fill="FFFFFF"/>
        </w:rPr>
        <w:t>In 2010</w:t>
      </w:r>
      <w:r w:rsidR="0041531E" w:rsidRPr="00900D6C">
        <w:rPr>
          <w:rFonts w:cs="Tahoma"/>
          <w:color w:val="333333"/>
          <w:shd w:val="clear" w:color="auto" w:fill="FFFFFF"/>
        </w:rPr>
        <w:t>,</w:t>
      </w:r>
      <w:r w:rsidRPr="00900D6C">
        <w:rPr>
          <w:rFonts w:cs="Tahoma"/>
          <w:color w:val="333333"/>
          <w:shd w:val="clear" w:color="auto" w:fill="FFFFFF"/>
        </w:rPr>
        <w:t xml:space="preserve"> enteric fever was responsible for an estimated 190,000 deaths and more than 12.2 million disability</w:t>
      </w:r>
      <w:r w:rsidR="00475BC1" w:rsidRPr="00900D6C">
        <w:rPr>
          <w:rFonts w:cs="Tahoma"/>
          <w:color w:val="333333"/>
          <w:shd w:val="clear" w:color="auto" w:fill="FFFFFF"/>
        </w:rPr>
        <w:t>-</w:t>
      </w:r>
      <w:r w:rsidRPr="00900D6C">
        <w:rPr>
          <w:rFonts w:cs="Tahoma"/>
          <w:color w:val="333333"/>
          <w:shd w:val="clear" w:color="auto" w:fill="FFFFFF"/>
        </w:rPr>
        <w:t xml:space="preserve">adjusted life years </w:t>
      </w:r>
      <w:r w:rsidR="001F6F9D" w:rsidRPr="00900D6C">
        <w:rPr>
          <w:rStyle w:val="apple-converted-space"/>
          <w:rFonts w:cs="Tahoma"/>
          <w:color w:val="333333"/>
          <w:shd w:val="clear" w:color="auto" w:fill="FFFFFF"/>
        </w:rPr>
        <w:t>(</w:t>
      </w:r>
      <w:r w:rsidR="00196AAD" w:rsidRPr="00900D6C">
        <w:rPr>
          <w:rStyle w:val="apple-converted-space"/>
          <w:rFonts w:cs="Tahoma"/>
          <w:color w:val="333333"/>
          <w:shd w:val="clear" w:color="auto" w:fill="FFFFFF"/>
        </w:rPr>
        <w:t>32</w:t>
      </w:r>
      <w:r w:rsidR="001F6F9D" w:rsidRPr="00900D6C">
        <w:rPr>
          <w:rStyle w:val="apple-converted-space"/>
          <w:rFonts w:cs="Tahoma"/>
          <w:color w:val="333333"/>
          <w:shd w:val="clear" w:color="auto" w:fill="FFFFFF"/>
        </w:rPr>
        <w:t xml:space="preserve">, </w:t>
      </w:r>
      <w:r w:rsidR="00196AAD" w:rsidRPr="00900D6C">
        <w:rPr>
          <w:rStyle w:val="apple-converted-space"/>
          <w:rFonts w:cs="Tahoma"/>
          <w:color w:val="333333"/>
          <w:shd w:val="clear" w:color="auto" w:fill="FFFFFF"/>
        </w:rPr>
        <w:t>33</w:t>
      </w:r>
      <w:r w:rsidR="001F6F9D" w:rsidRPr="00900D6C">
        <w:rPr>
          <w:rStyle w:val="apple-converted-space"/>
          <w:rFonts w:cs="Tahoma"/>
          <w:color w:val="333333"/>
          <w:shd w:val="clear" w:color="auto" w:fill="FFFFFF"/>
        </w:rPr>
        <w:t>)</w:t>
      </w:r>
      <w:r w:rsidRPr="00900D6C">
        <w:rPr>
          <w:rFonts w:cs="Tahoma"/>
        </w:rPr>
        <w:t>.</w:t>
      </w:r>
    </w:p>
    <w:p w14:paraId="00C95BE1" w14:textId="3618784D" w:rsidR="00897D08" w:rsidRPr="00900D6C" w:rsidRDefault="003E63AC" w:rsidP="00EA19BA">
      <w:pPr>
        <w:ind w:right="-46"/>
      </w:pPr>
      <w:r w:rsidRPr="00900D6C">
        <w:t>Locally</w:t>
      </w:r>
      <w:r w:rsidR="00475BC1" w:rsidRPr="00900D6C">
        <w:t>-</w:t>
      </w:r>
      <w:r w:rsidRPr="00900D6C">
        <w:t>acquired cases of typhoid and paratyphoid in Australia are uncommon, with the vast majority of cases sporadic</w:t>
      </w:r>
      <w:r w:rsidR="00475BC1" w:rsidRPr="00900D6C">
        <w:t>,</w:t>
      </w:r>
      <w:r w:rsidRPr="00900D6C">
        <w:t xml:space="preserve"> and associated with international travel to endemic countries</w:t>
      </w:r>
      <w:r w:rsidR="00924E39" w:rsidRPr="00900D6C">
        <w:t xml:space="preserve"> </w:t>
      </w:r>
      <w:r w:rsidR="001F6F9D" w:rsidRPr="00900D6C">
        <w:t>(</w:t>
      </w:r>
      <w:r w:rsidR="00196AAD" w:rsidRPr="00900D6C">
        <w:t>34</w:t>
      </w:r>
      <w:r w:rsidR="001F6F9D" w:rsidRPr="00900D6C">
        <w:t xml:space="preserve">, </w:t>
      </w:r>
      <w:r w:rsidR="00196AAD" w:rsidRPr="00900D6C">
        <w:t>35</w:t>
      </w:r>
      <w:r w:rsidR="001F6F9D" w:rsidRPr="00900D6C">
        <w:t>)</w:t>
      </w:r>
      <w:r w:rsidRPr="00900D6C">
        <w:t xml:space="preserve">. </w:t>
      </w:r>
      <w:r w:rsidR="000B68BA" w:rsidRPr="00900D6C">
        <w:t>Outbreaks or clusters of cases in Australia are rare. I</w:t>
      </w:r>
      <w:r w:rsidRPr="00900D6C">
        <w:t xml:space="preserve">n </w:t>
      </w:r>
      <w:r w:rsidR="00742304" w:rsidRPr="00900D6C">
        <w:t>2014</w:t>
      </w:r>
      <w:r w:rsidRPr="00900D6C">
        <w:t xml:space="preserve">, </w:t>
      </w:r>
      <w:r w:rsidR="007D2A65" w:rsidRPr="00900D6C">
        <w:t>9</w:t>
      </w:r>
      <w:r w:rsidR="00742304" w:rsidRPr="00900D6C">
        <w:t>2</w:t>
      </w:r>
      <w:r w:rsidR="001E5D79" w:rsidRPr="00900D6C">
        <w:t>%</w:t>
      </w:r>
      <w:r w:rsidRPr="00900D6C">
        <w:t xml:space="preserve"> of notified cases </w:t>
      </w:r>
      <w:r w:rsidR="000B68BA" w:rsidRPr="00900D6C">
        <w:t xml:space="preserve">were </w:t>
      </w:r>
      <w:r w:rsidRPr="00900D6C">
        <w:t>known to have been acquired overseas</w:t>
      </w:r>
      <w:r w:rsidR="003B75C0" w:rsidRPr="00900D6C">
        <w:t xml:space="preserve"> </w:t>
      </w:r>
      <w:r w:rsidR="001F6F9D" w:rsidRPr="00900D6C">
        <w:t>(</w:t>
      </w:r>
      <w:r w:rsidR="00196AAD" w:rsidRPr="00900D6C">
        <w:t>35</w:t>
      </w:r>
      <w:r w:rsidR="001F6F9D" w:rsidRPr="00900D6C">
        <w:t>)</w:t>
      </w:r>
      <w:r w:rsidRPr="00900D6C">
        <w:t>.</w:t>
      </w:r>
    </w:p>
    <w:p w14:paraId="514D07E7" w14:textId="43617F71" w:rsidR="00897D08" w:rsidRPr="00900D6C" w:rsidRDefault="00A82796" w:rsidP="00EA19BA">
      <w:pPr>
        <w:ind w:right="-46"/>
      </w:pPr>
      <w:r w:rsidRPr="00900D6C">
        <w:t xml:space="preserve">There </w:t>
      </w:r>
      <w:r w:rsidR="003B75C0" w:rsidRPr="00900D6C">
        <w:t xml:space="preserve">were </w:t>
      </w:r>
      <w:r w:rsidR="000B68BA" w:rsidRPr="00900D6C">
        <w:t>116</w:t>
      </w:r>
      <w:r w:rsidR="003B75C0" w:rsidRPr="00900D6C">
        <w:t xml:space="preserve"> </w:t>
      </w:r>
      <w:r w:rsidRPr="00900D6C">
        <w:t>cases of typhoid fever notified in Australia in 201</w:t>
      </w:r>
      <w:r w:rsidR="000B68BA" w:rsidRPr="00900D6C">
        <w:t>5</w:t>
      </w:r>
      <w:r w:rsidR="003B75C0" w:rsidRPr="00900D6C">
        <w:t xml:space="preserve"> (0.</w:t>
      </w:r>
      <w:r w:rsidR="000B68BA" w:rsidRPr="00900D6C">
        <w:t>5</w:t>
      </w:r>
      <w:r w:rsidR="003B75C0" w:rsidRPr="00900D6C">
        <w:t xml:space="preserve"> </w:t>
      </w:r>
      <w:r w:rsidR="00A15655" w:rsidRPr="00900D6C">
        <w:t xml:space="preserve">cases </w:t>
      </w:r>
      <w:r w:rsidR="003B75C0" w:rsidRPr="00900D6C">
        <w:t>per 100</w:t>
      </w:r>
      <w:r w:rsidR="00A15655" w:rsidRPr="00900D6C">
        <w:t>,</w:t>
      </w:r>
      <w:r w:rsidR="003B75C0" w:rsidRPr="00900D6C">
        <w:t xml:space="preserve">000 </w:t>
      </w:r>
      <w:proofErr w:type="gramStart"/>
      <w:r w:rsidR="003B75C0" w:rsidRPr="00900D6C">
        <w:t>population</w:t>
      </w:r>
      <w:proofErr w:type="gramEnd"/>
      <w:r w:rsidR="003B75C0" w:rsidRPr="00900D6C">
        <w:t xml:space="preserve">). The </w:t>
      </w:r>
      <w:r w:rsidR="00475BC1" w:rsidRPr="00900D6C">
        <w:t>five-</w:t>
      </w:r>
      <w:r w:rsidR="003B75C0" w:rsidRPr="00900D6C">
        <w:t xml:space="preserve"> year mean from 201</w:t>
      </w:r>
      <w:r w:rsidR="000B68BA" w:rsidRPr="00900D6C">
        <w:t>1</w:t>
      </w:r>
      <w:r w:rsidR="003B75C0" w:rsidRPr="00900D6C">
        <w:t xml:space="preserve"> to</w:t>
      </w:r>
      <w:r w:rsidR="00E00D4D" w:rsidRPr="00900D6C">
        <w:t xml:space="preserve"> </w:t>
      </w:r>
      <w:r w:rsidR="003B75C0" w:rsidRPr="00900D6C">
        <w:t>201</w:t>
      </w:r>
      <w:r w:rsidR="000B68BA" w:rsidRPr="00900D6C">
        <w:t>5</w:t>
      </w:r>
      <w:r w:rsidR="003B75C0" w:rsidRPr="00900D6C">
        <w:t xml:space="preserve"> was </w:t>
      </w:r>
      <w:r w:rsidR="00E00D4D" w:rsidRPr="00900D6C">
        <w:t>12</w:t>
      </w:r>
      <w:r w:rsidR="000B68BA" w:rsidRPr="00900D6C">
        <w:t>9</w:t>
      </w:r>
      <w:r w:rsidR="00E00D4D" w:rsidRPr="00900D6C">
        <w:t xml:space="preserve"> cases</w:t>
      </w:r>
      <w:r w:rsidR="00A15655" w:rsidRPr="00900D6C">
        <w:t xml:space="preserve">, </w:t>
      </w:r>
      <w:r w:rsidR="003E63AC" w:rsidRPr="00900D6C">
        <w:t>compare</w:t>
      </w:r>
      <w:r w:rsidR="00A15655" w:rsidRPr="00900D6C">
        <w:t>d</w:t>
      </w:r>
      <w:r w:rsidR="003E63AC" w:rsidRPr="00900D6C">
        <w:t xml:space="preserve"> </w:t>
      </w:r>
      <w:r w:rsidR="00A15655" w:rsidRPr="00900D6C">
        <w:t>to</w:t>
      </w:r>
      <w:r w:rsidR="00496028" w:rsidRPr="00900D6C">
        <w:t xml:space="preserve"> </w:t>
      </w:r>
      <w:r w:rsidR="00A15655" w:rsidRPr="00900D6C">
        <w:t>the</w:t>
      </w:r>
      <w:r w:rsidR="003E63AC" w:rsidRPr="00900D6C">
        <w:t xml:space="preserve"> </w:t>
      </w:r>
      <w:r w:rsidR="00475BC1" w:rsidRPr="00900D6C">
        <w:t>five-</w:t>
      </w:r>
      <w:r w:rsidR="003E63AC" w:rsidRPr="00900D6C">
        <w:t xml:space="preserve"> year mean </w:t>
      </w:r>
      <w:r w:rsidR="00E00D4D" w:rsidRPr="00900D6C">
        <w:t xml:space="preserve">for the previous </w:t>
      </w:r>
      <w:r w:rsidR="00475BC1" w:rsidRPr="00900D6C">
        <w:t>five</w:t>
      </w:r>
      <w:r w:rsidR="00E00D4D" w:rsidRPr="00900D6C">
        <w:t xml:space="preserve"> years of </w:t>
      </w:r>
      <w:r w:rsidR="000B68BA" w:rsidRPr="00900D6C">
        <w:t>9</w:t>
      </w:r>
      <w:r w:rsidR="00101DAA" w:rsidRPr="00900D6C">
        <w:t>6.8</w:t>
      </w:r>
      <w:r w:rsidR="00E00D4D" w:rsidRPr="00900D6C">
        <w:t xml:space="preserve"> </w:t>
      </w:r>
      <w:r w:rsidR="003E63AC" w:rsidRPr="00900D6C">
        <w:t xml:space="preserve">cases. Typhoid </w:t>
      </w:r>
      <w:r w:rsidR="00A15655" w:rsidRPr="00900D6C">
        <w:t xml:space="preserve">fever </w:t>
      </w:r>
      <w:r w:rsidR="003E63AC" w:rsidRPr="00900D6C">
        <w:t xml:space="preserve">was most frequently notified amongst </w:t>
      </w:r>
      <w:r w:rsidR="000B68BA" w:rsidRPr="00900D6C">
        <w:t xml:space="preserve">younger adults (57 cases in those </w:t>
      </w:r>
      <w:r w:rsidR="00475BC1" w:rsidRPr="00900D6C">
        <w:t xml:space="preserve">aged </w:t>
      </w:r>
      <w:r w:rsidR="000B68BA" w:rsidRPr="00900D6C">
        <w:t>20 to 34 years)</w:t>
      </w:r>
      <w:r w:rsidR="003E63AC" w:rsidRPr="00900D6C">
        <w:t xml:space="preserve"> </w:t>
      </w:r>
      <w:r w:rsidR="00897D08" w:rsidRPr="00900D6C">
        <w:t xml:space="preserve">in 2015 </w:t>
      </w:r>
      <w:r w:rsidR="001F6F9D" w:rsidRPr="00900D6C">
        <w:t>(</w:t>
      </w:r>
      <w:r w:rsidR="00196AAD" w:rsidRPr="00900D6C">
        <w:t>35</w:t>
      </w:r>
      <w:r w:rsidR="001F6F9D" w:rsidRPr="00900D6C">
        <w:t xml:space="preserve">, </w:t>
      </w:r>
      <w:r w:rsidR="00196AAD" w:rsidRPr="00900D6C">
        <w:t>36</w:t>
      </w:r>
      <w:r w:rsidR="001F6F9D" w:rsidRPr="00900D6C">
        <w:t>)</w:t>
      </w:r>
      <w:r w:rsidR="00CE6983" w:rsidRPr="00900D6C">
        <w:t>.</w:t>
      </w:r>
    </w:p>
    <w:p w14:paraId="08441710" w14:textId="189905DA" w:rsidR="00961D88" w:rsidRPr="00900D6C" w:rsidRDefault="00101DAA" w:rsidP="00EA19BA">
      <w:pPr>
        <w:ind w:right="-46"/>
      </w:pPr>
      <w:r w:rsidRPr="00900D6C">
        <w:t xml:space="preserve">There were 55 cases of paratyphoid fever notified in Australia in 2015 (0.2 cases per 100,000 </w:t>
      </w:r>
      <w:proofErr w:type="gramStart"/>
      <w:r w:rsidRPr="00900D6C">
        <w:t>population</w:t>
      </w:r>
      <w:proofErr w:type="gramEnd"/>
      <w:r w:rsidRPr="00900D6C">
        <w:t xml:space="preserve">). Paratyphoid fever was most frequently notified amongst younger adults (29 cases in those </w:t>
      </w:r>
      <w:r w:rsidR="00D678A5" w:rsidRPr="00900D6C">
        <w:t xml:space="preserve">aged </w:t>
      </w:r>
      <w:r w:rsidRPr="00900D6C">
        <w:t>20 to 34 years)</w:t>
      </w:r>
      <w:r w:rsidR="00897D08" w:rsidRPr="00900D6C">
        <w:t>.</w:t>
      </w:r>
    </w:p>
    <w:p w14:paraId="48678A1C" w14:textId="4330D45F" w:rsidR="00962C2A" w:rsidRPr="00900D6C" w:rsidRDefault="00961D88" w:rsidP="00EA19BA">
      <w:pPr>
        <w:ind w:right="-46"/>
      </w:pPr>
      <w:r w:rsidRPr="00900D6C">
        <w:rPr>
          <w:i/>
        </w:rPr>
        <w:t>S</w:t>
      </w:r>
      <w:r w:rsidRPr="00900D6C">
        <w:t>.</w:t>
      </w:r>
      <w:r w:rsidR="0019735A" w:rsidRPr="00900D6C">
        <w:t xml:space="preserve"> </w:t>
      </w:r>
      <w:proofErr w:type="spellStart"/>
      <w:r w:rsidRPr="00900D6C">
        <w:t>Typhi</w:t>
      </w:r>
      <w:proofErr w:type="spellEnd"/>
      <w:r w:rsidRPr="00900D6C">
        <w:t xml:space="preserve"> is </w:t>
      </w:r>
      <w:r w:rsidR="007F43CB" w:rsidRPr="00900D6C">
        <w:t xml:space="preserve">believed to be </w:t>
      </w:r>
      <w:r w:rsidRPr="00900D6C">
        <w:t xml:space="preserve">the dominant </w:t>
      </w:r>
      <w:r w:rsidR="00BA0B74" w:rsidRPr="00900D6C">
        <w:t>cause of enteric fever in most</w:t>
      </w:r>
      <w:r w:rsidRPr="00900D6C">
        <w:t xml:space="preserve"> endemic countries, </w:t>
      </w:r>
      <w:r w:rsidR="007F43CB" w:rsidRPr="00900D6C">
        <w:t>but</w:t>
      </w:r>
      <w:r w:rsidR="00BA0B74" w:rsidRPr="00900D6C">
        <w:t xml:space="preserve"> the proportion of infections attributed to S. </w:t>
      </w:r>
      <w:proofErr w:type="spellStart"/>
      <w:r w:rsidR="00BA0B74" w:rsidRPr="00900D6C">
        <w:t>Paratyphi</w:t>
      </w:r>
      <w:proofErr w:type="spellEnd"/>
      <w:r w:rsidR="00BA0B74" w:rsidRPr="00900D6C">
        <w:t xml:space="preserve"> A has been increasing in</w:t>
      </w:r>
      <w:r w:rsidR="00D84F28" w:rsidRPr="00900D6C">
        <w:t xml:space="preserve"> Asia, especially</w:t>
      </w:r>
      <w:r w:rsidR="00BA0B74" w:rsidRPr="00900D6C">
        <w:t xml:space="preserve"> India and China </w:t>
      </w:r>
      <w:r w:rsidR="001F6F9D" w:rsidRPr="00900D6C">
        <w:t>(</w:t>
      </w:r>
      <w:r w:rsidR="00196AAD" w:rsidRPr="00900D6C">
        <w:t>37</w:t>
      </w:r>
      <w:r w:rsidR="001F6F9D" w:rsidRPr="00900D6C">
        <w:t xml:space="preserve">, </w:t>
      </w:r>
      <w:r w:rsidR="00196AAD" w:rsidRPr="00900D6C">
        <w:t>38</w:t>
      </w:r>
      <w:r w:rsidR="001F6F9D" w:rsidRPr="00900D6C">
        <w:t>)</w:t>
      </w:r>
      <w:r w:rsidR="00897D08" w:rsidRPr="00900D6C">
        <w:t xml:space="preserve">. </w:t>
      </w:r>
      <w:r w:rsidR="000A4720" w:rsidRPr="00900D6C">
        <w:t>A greater number of c</w:t>
      </w:r>
      <w:r w:rsidR="00D84F28" w:rsidRPr="00900D6C">
        <w:t xml:space="preserve">ases of enteric fever </w:t>
      </w:r>
      <w:r w:rsidR="000A4720" w:rsidRPr="00900D6C">
        <w:t>in travellers returning to the UK and Sweden were</w:t>
      </w:r>
      <w:r w:rsidR="00AE2B87" w:rsidRPr="00900D6C">
        <w:t xml:space="preserve"> reported </w:t>
      </w:r>
      <w:r w:rsidR="000A4720" w:rsidRPr="00900D6C">
        <w:t xml:space="preserve">to be </w:t>
      </w:r>
      <w:r w:rsidR="00D84F28" w:rsidRPr="00900D6C">
        <w:t xml:space="preserve">caused by </w:t>
      </w:r>
      <w:r w:rsidR="00D84F28" w:rsidRPr="00900D6C">
        <w:rPr>
          <w:i/>
        </w:rPr>
        <w:t>S</w:t>
      </w:r>
      <w:r w:rsidR="00D84F28" w:rsidRPr="00900D6C">
        <w:t xml:space="preserve">. </w:t>
      </w:r>
      <w:proofErr w:type="spellStart"/>
      <w:r w:rsidR="00D84F28" w:rsidRPr="00900D6C">
        <w:t>Paratyphi</w:t>
      </w:r>
      <w:proofErr w:type="spellEnd"/>
      <w:r w:rsidR="009025E1" w:rsidRPr="00900D6C">
        <w:t>,</w:t>
      </w:r>
      <w:r w:rsidR="00D84F28" w:rsidRPr="00900D6C">
        <w:t xml:space="preserve"> </w:t>
      </w:r>
      <w:r w:rsidR="000A4720" w:rsidRPr="00900D6C">
        <w:t>compared to</w:t>
      </w:r>
      <w:r w:rsidR="00D84F28" w:rsidRPr="00900D6C">
        <w:t xml:space="preserve"> </w:t>
      </w:r>
      <w:r w:rsidR="00D84F28" w:rsidRPr="00900D6C">
        <w:rPr>
          <w:i/>
        </w:rPr>
        <w:t>S</w:t>
      </w:r>
      <w:r w:rsidR="00D84F28" w:rsidRPr="00900D6C">
        <w:t>. </w:t>
      </w:r>
      <w:proofErr w:type="spellStart"/>
      <w:r w:rsidR="00D84F28" w:rsidRPr="00900D6C">
        <w:t>Typhi</w:t>
      </w:r>
      <w:proofErr w:type="spellEnd"/>
      <w:r w:rsidR="00D84F28" w:rsidRPr="00900D6C">
        <w:t xml:space="preserve"> </w:t>
      </w:r>
      <w:r w:rsidR="001F6F9D" w:rsidRPr="00900D6C">
        <w:t>(</w:t>
      </w:r>
      <w:r w:rsidR="00196AAD" w:rsidRPr="00900D6C">
        <w:t>10</w:t>
      </w:r>
      <w:r w:rsidR="001F6F9D" w:rsidRPr="00900D6C">
        <w:t xml:space="preserve">, </w:t>
      </w:r>
      <w:r w:rsidR="00196AAD" w:rsidRPr="00900D6C">
        <w:t>20</w:t>
      </w:r>
      <w:r w:rsidR="001F6F9D" w:rsidRPr="00900D6C">
        <w:t xml:space="preserve">, </w:t>
      </w:r>
      <w:proofErr w:type="gramStart"/>
      <w:r w:rsidR="00196AAD" w:rsidRPr="00900D6C">
        <w:t>27</w:t>
      </w:r>
      <w:proofErr w:type="gramEnd"/>
      <w:r w:rsidR="001F6F9D" w:rsidRPr="00900D6C">
        <w:t>)</w:t>
      </w:r>
      <w:r w:rsidR="00D84F28" w:rsidRPr="00900D6C">
        <w:t xml:space="preserve">. </w:t>
      </w:r>
      <w:r w:rsidR="006657A9" w:rsidRPr="00900D6C">
        <w:t xml:space="preserve">However, this trend has not been reported in Australia </w:t>
      </w:r>
      <w:r w:rsidR="001F6F9D" w:rsidRPr="00900D6C">
        <w:t>(</w:t>
      </w:r>
      <w:r w:rsidR="00196AAD" w:rsidRPr="00900D6C">
        <w:t>28</w:t>
      </w:r>
      <w:r w:rsidR="001F6F9D" w:rsidRPr="00900D6C">
        <w:t>)</w:t>
      </w:r>
      <w:r w:rsidR="00962C2A" w:rsidRPr="00900D6C">
        <w:t>.</w:t>
      </w:r>
    </w:p>
    <w:p w14:paraId="1C9B14D8" w14:textId="5039EECB" w:rsidR="0092728B" w:rsidRPr="00193BD1" w:rsidRDefault="002A4B69" w:rsidP="00193BD1">
      <w:pPr>
        <w:pStyle w:val="Heading1"/>
      </w:pPr>
      <w:bookmarkStart w:id="0" w:name="_Ref472427933"/>
      <w:r w:rsidRPr="00193BD1">
        <w:t>3. Routine prevention activities</w:t>
      </w:r>
      <w:bookmarkEnd w:id="0"/>
    </w:p>
    <w:p w14:paraId="6EA131BD" w14:textId="3F7F1E8F" w:rsidR="00AF2611" w:rsidRPr="00900D6C" w:rsidRDefault="00AF2611" w:rsidP="00EA19BA">
      <w:pPr>
        <w:pStyle w:val="ListParagraph"/>
        <w:numPr>
          <w:ilvl w:val="0"/>
          <w:numId w:val="12"/>
        </w:numPr>
        <w:ind w:right="-46"/>
        <w:rPr>
          <w:lang w:val="en-AU"/>
        </w:rPr>
      </w:pPr>
      <w:r w:rsidRPr="00900D6C">
        <w:rPr>
          <w:lang w:val="en-AU"/>
        </w:rPr>
        <w:t>Educate the general public about safe food preparation and personal hygiene measures to prevent the spread of infections.</w:t>
      </w:r>
      <w:r w:rsidRPr="00900D6C">
        <w:rPr>
          <w:rFonts w:ascii="Times New Roman" w:hAnsi="Times New Roman"/>
          <w:sz w:val="24"/>
          <w:lang w:val="en-AU"/>
        </w:rPr>
        <w:t xml:space="preserve"> </w:t>
      </w:r>
      <w:r w:rsidRPr="00900D6C">
        <w:rPr>
          <w:lang w:val="en-AU"/>
        </w:rPr>
        <w:t xml:space="preserve">Emphasise hand washing as a routine practice after </w:t>
      </w:r>
      <w:r w:rsidR="000A4720" w:rsidRPr="00900D6C">
        <w:rPr>
          <w:lang w:val="en-AU"/>
        </w:rPr>
        <w:t>visiting the toilet</w:t>
      </w:r>
      <w:r w:rsidRPr="00900D6C">
        <w:rPr>
          <w:lang w:val="en-AU"/>
        </w:rPr>
        <w:t xml:space="preserve"> and before preparing, serving or eating food.</w:t>
      </w:r>
    </w:p>
    <w:p w14:paraId="38FE1D51" w14:textId="3AE9540D" w:rsidR="00CC2783" w:rsidRPr="00900D6C" w:rsidRDefault="000F75FE" w:rsidP="00EA19BA">
      <w:pPr>
        <w:pStyle w:val="ListParagraph"/>
        <w:numPr>
          <w:ilvl w:val="0"/>
          <w:numId w:val="12"/>
        </w:numPr>
        <w:ind w:right="-46"/>
        <w:rPr>
          <w:lang w:val="en-AU"/>
        </w:rPr>
      </w:pPr>
      <w:r w:rsidRPr="00900D6C">
        <w:rPr>
          <w:lang w:val="en-AU"/>
        </w:rPr>
        <w:t>Ensure</w:t>
      </w:r>
      <w:r w:rsidR="00CC2783" w:rsidRPr="00900D6C">
        <w:rPr>
          <w:lang w:val="en-AU"/>
        </w:rPr>
        <w:t xml:space="preserve"> suitable hand</w:t>
      </w:r>
      <w:r w:rsidR="006D42E7" w:rsidRPr="00900D6C">
        <w:rPr>
          <w:lang w:val="en-AU"/>
        </w:rPr>
        <w:t>-</w:t>
      </w:r>
      <w:r w:rsidR="00CC2783" w:rsidRPr="00900D6C">
        <w:rPr>
          <w:lang w:val="en-AU"/>
        </w:rPr>
        <w:t xml:space="preserve">washing facilities </w:t>
      </w:r>
      <w:r w:rsidRPr="00900D6C">
        <w:rPr>
          <w:lang w:val="en-AU"/>
        </w:rPr>
        <w:t xml:space="preserve">are available </w:t>
      </w:r>
      <w:r w:rsidR="00CC2783" w:rsidRPr="00900D6C">
        <w:rPr>
          <w:lang w:val="en-AU"/>
        </w:rPr>
        <w:t>for food handlers and people caring for patients and children</w:t>
      </w:r>
      <w:r w:rsidR="00C6088A" w:rsidRPr="00900D6C">
        <w:rPr>
          <w:lang w:val="en-AU"/>
        </w:rPr>
        <w:t>.</w:t>
      </w:r>
    </w:p>
    <w:p w14:paraId="4ED83733" w14:textId="244A53A3" w:rsidR="002731E9" w:rsidRPr="00900D6C" w:rsidRDefault="003B05A9" w:rsidP="00EA19BA">
      <w:pPr>
        <w:pStyle w:val="ListParagraph"/>
        <w:numPr>
          <w:ilvl w:val="0"/>
          <w:numId w:val="12"/>
        </w:numPr>
        <w:ind w:right="-46"/>
        <w:rPr>
          <w:lang w:val="en-AU"/>
        </w:rPr>
      </w:pPr>
      <w:r w:rsidRPr="00900D6C">
        <w:rPr>
          <w:lang w:val="en-AU"/>
        </w:rPr>
        <w:t xml:space="preserve">Vaccination </w:t>
      </w:r>
      <w:r w:rsidR="000714E7" w:rsidRPr="00900D6C">
        <w:rPr>
          <w:lang w:val="en-AU"/>
        </w:rPr>
        <w:t xml:space="preserve">(see </w:t>
      </w:r>
      <w:r w:rsidR="00482AE8" w:rsidRPr="00900D6C">
        <w:rPr>
          <w:lang w:val="en-AU"/>
        </w:rPr>
        <w:t>below</w:t>
      </w:r>
      <w:r w:rsidR="000714E7" w:rsidRPr="00900D6C">
        <w:rPr>
          <w:lang w:val="en-AU"/>
        </w:rPr>
        <w:t xml:space="preserve">) does not offer full protection from </w:t>
      </w:r>
      <w:r w:rsidR="00C405FF" w:rsidRPr="00900D6C">
        <w:rPr>
          <w:lang w:val="en-AU"/>
        </w:rPr>
        <w:t>typhoid and is not available for paratyphoid</w:t>
      </w:r>
      <w:r w:rsidR="000714E7" w:rsidRPr="00900D6C">
        <w:rPr>
          <w:lang w:val="en-AU"/>
        </w:rPr>
        <w:t>.</w:t>
      </w:r>
    </w:p>
    <w:p w14:paraId="07B782F9" w14:textId="782A7136" w:rsidR="000714E7" w:rsidRPr="00900D6C" w:rsidRDefault="000714E7" w:rsidP="00EA19BA">
      <w:pPr>
        <w:pStyle w:val="ListParagraph"/>
        <w:numPr>
          <w:ilvl w:val="0"/>
          <w:numId w:val="12"/>
        </w:numPr>
        <w:ind w:right="-46"/>
        <w:rPr>
          <w:lang w:val="en-AU"/>
        </w:rPr>
      </w:pPr>
      <w:r w:rsidRPr="00900D6C">
        <w:rPr>
          <w:lang w:val="en-AU"/>
        </w:rPr>
        <w:t xml:space="preserve">Travellers to endemic regions where food hygiene may be suboptimal and drinking water may not be adequately </w:t>
      </w:r>
      <w:proofErr w:type="gramStart"/>
      <w:r w:rsidRPr="00900D6C">
        <w:rPr>
          <w:lang w:val="en-AU"/>
        </w:rPr>
        <w:t>treated</w:t>
      </w:r>
      <w:r w:rsidR="00A83716" w:rsidRPr="00900D6C">
        <w:rPr>
          <w:lang w:val="en-AU"/>
        </w:rPr>
        <w:t>,</w:t>
      </w:r>
      <w:proofErr w:type="gramEnd"/>
      <w:r w:rsidRPr="00900D6C">
        <w:rPr>
          <w:lang w:val="en-AU"/>
        </w:rPr>
        <w:t xml:space="preserve"> </w:t>
      </w:r>
      <w:r w:rsidR="003719B2" w:rsidRPr="00900D6C">
        <w:rPr>
          <w:lang w:val="en-AU"/>
        </w:rPr>
        <w:t xml:space="preserve">should </w:t>
      </w:r>
      <w:r w:rsidR="002731E9" w:rsidRPr="00900D6C">
        <w:rPr>
          <w:lang w:val="en-AU"/>
        </w:rPr>
        <w:t xml:space="preserve">further </w:t>
      </w:r>
      <w:r w:rsidR="003719B2" w:rsidRPr="00900D6C">
        <w:rPr>
          <w:lang w:val="en-AU"/>
        </w:rPr>
        <w:t xml:space="preserve">be </w:t>
      </w:r>
      <w:r w:rsidRPr="00900D6C">
        <w:rPr>
          <w:lang w:val="en-AU"/>
        </w:rPr>
        <w:t xml:space="preserve">advised to avoid the following: </w:t>
      </w:r>
      <w:r w:rsidR="00AF2611" w:rsidRPr="00900D6C">
        <w:rPr>
          <w:lang w:val="en-AU"/>
        </w:rPr>
        <w:t xml:space="preserve">raw (or undercooked) shellfish, </w:t>
      </w:r>
      <w:r w:rsidRPr="00900D6C">
        <w:rPr>
          <w:lang w:val="en-AU"/>
        </w:rPr>
        <w:t xml:space="preserve">salads, </w:t>
      </w:r>
      <w:r w:rsidR="00F00CE3" w:rsidRPr="00900D6C">
        <w:rPr>
          <w:rFonts w:ascii="Helvetica" w:hAnsi="Helvetica"/>
          <w:color w:val="222222"/>
          <w:lang w:val="en-AU"/>
        </w:rPr>
        <w:t>cold meats, untreated water and ice (in drinks)</w:t>
      </w:r>
      <w:r w:rsidRPr="00900D6C">
        <w:rPr>
          <w:lang w:val="en-AU"/>
        </w:rPr>
        <w:t xml:space="preserve"> and </w:t>
      </w:r>
      <w:r w:rsidR="00482AE8" w:rsidRPr="00900D6C">
        <w:rPr>
          <w:lang w:val="en-AU"/>
        </w:rPr>
        <w:t>food sold by street vendors</w:t>
      </w:r>
      <w:r w:rsidRPr="00900D6C">
        <w:rPr>
          <w:lang w:val="en-AU"/>
        </w:rPr>
        <w:t>.</w:t>
      </w:r>
    </w:p>
    <w:p w14:paraId="3615979E" w14:textId="77777777" w:rsidR="00482AE8" w:rsidRPr="00900D6C" w:rsidRDefault="00482AE8" w:rsidP="00900D6C">
      <w:pPr>
        <w:pStyle w:val="Heading2"/>
      </w:pPr>
      <w:r w:rsidRPr="00900D6C">
        <w:t>Vaccination</w:t>
      </w:r>
    </w:p>
    <w:p w14:paraId="7C6C6949" w14:textId="77777777" w:rsidR="00820946" w:rsidRPr="00900D6C" w:rsidRDefault="00482AE8" w:rsidP="00EA19BA">
      <w:pPr>
        <w:ind w:right="-46"/>
      </w:pPr>
      <w:r w:rsidRPr="00900D6C">
        <w:t>A vaccine is only available for typhoid fever. Typhoid vaccination is not routinely recommended in non-endemic countries</w:t>
      </w:r>
      <w:r w:rsidR="000A4720" w:rsidRPr="00900D6C">
        <w:t xml:space="preserve"> such as Australia</w:t>
      </w:r>
      <w:r w:rsidRPr="00900D6C">
        <w:t>. Vaccination is recommended for</w:t>
      </w:r>
      <w:r w:rsidR="00820946" w:rsidRPr="00900D6C">
        <w:t>:</w:t>
      </w:r>
    </w:p>
    <w:p w14:paraId="2BB3AAAA" w14:textId="3CA1D774" w:rsidR="00482AE8" w:rsidRPr="00900D6C" w:rsidRDefault="00482AE8" w:rsidP="00EA19BA">
      <w:pPr>
        <w:pStyle w:val="ListParagraph"/>
        <w:numPr>
          <w:ilvl w:val="0"/>
          <w:numId w:val="13"/>
        </w:numPr>
        <w:ind w:right="-46"/>
        <w:rPr>
          <w:lang w:val="en-AU"/>
        </w:rPr>
      </w:pPr>
      <w:r w:rsidRPr="00900D6C">
        <w:rPr>
          <w:lang w:val="en-AU"/>
        </w:rPr>
        <w:t>children aged ≥2 years* and adults</w:t>
      </w:r>
      <w:r w:rsidR="00820946" w:rsidRPr="00900D6C">
        <w:rPr>
          <w:lang w:val="en-AU"/>
        </w:rPr>
        <w:t xml:space="preserve"> </w:t>
      </w:r>
      <w:r w:rsidRPr="00900D6C">
        <w:rPr>
          <w:lang w:val="en-AU"/>
        </w:rPr>
        <w:t>travelling to endemic regions, where food hygiene may be suboptimal and drinking water may not be adequately treated</w:t>
      </w:r>
      <w:r w:rsidR="00A83716" w:rsidRPr="00900D6C">
        <w:rPr>
          <w:lang w:val="en-AU"/>
        </w:rPr>
        <w:t>;</w:t>
      </w:r>
      <w:r w:rsidR="00820946" w:rsidRPr="00900D6C">
        <w:rPr>
          <w:lang w:val="en-AU"/>
        </w:rPr>
        <w:t xml:space="preserve"> or t</w:t>
      </w:r>
      <w:r w:rsidRPr="00900D6C">
        <w:rPr>
          <w:lang w:val="en-AU"/>
        </w:rPr>
        <w:t>ravelling to endemic regions to visit friends and relatives</w:t>
      </w:r>
      <w:r w:rsidR="00D844DD" w:rsidRPr="00900D6C">
        <w:rPr>
          <w:lang w:val="en-AU"/>
        </w:rPr>
        <w:t>;</w:t>
      </w:r>
    </w:p>
    <w:p w14:paraId="26A70DCE" w14:textId="2C405F52" w:rsidR="00482AE8" w:rsidRPr="00900D6C" w:rsidRDefault="00482AE8" w:rsidP="00EA19BA">
      <w:pPr>
        <w:pStyle w:val="ListParagraph"/>
        <w:numPr>
          <w:ilvl w:val="0"/>
          <w:numId w:val="13"/>
        </w:numPr>
        <w:ind w:right="-46"/>
        <w:rPr>
          <w:lang w:val="en-AU"/>
        </w:rPr>
      </w:pPr>
      <w:r w:rsidRPr="00900D6C">
        <w:rPr>
          <w:lang w:val="en-AU"/>
        </w:rPr>
        <w:t>military personnel</w:t>
      </w:r>
      <w:r w:rsidR="00D844DD" w:rsidRPr="00900D6C">
        <w:rPr>
          <w:lang w:val="en-AU"/>
        </w:rPr>
        <w:t>;</w:t>
      </w:r>
    </w:p>
    <w:p w14:paraId="5782725F" w14:textId="2B0889E2" w:rsidR="00482AE8" w:rsidRPr="00900D6C" w:rsidRDefault="00482AE8" w:rsidP="00EA19BA">
      <w:pPr>
        <w:pStyle w:val="ListParagraph"/>
        <w:numPr>
          <w:ilvl w:val="0"/>
          <w:numId w:val="13"/>
        </w:numPr>
        <w:ind w:right="-46"/>
        <w:rPr>
          <w:lang w:val="en-AU"/>
        </w:rPr>
      </w:pPr>
      <w:proofErr w:type="gramStart"/>
      <w:r w:rsidRPr="00900D6C">
        <w:rPr>
          <w:lang w:val="en-AU"/>
        </w:rPr>
        <w:t>laboratory</w:t>
      </w:r>
      <w:proofErr w:type="gramEnd"/>
      <w:r w:rsidRPr="00900D6C">
        <w:rPr>
          <w:lang w:val="en-AU"/>
        </w:rPr>
        <w:t xml:space="preserve"> personnel routinely working with </w:t>
      </w:r>
      <w:r w:rsidRPr="00900D6C">
        <w:rPr>
          <w:i/>
          <w:lang w:val="en-AU"/>
        </w:rPr>
        <w:t>S</w:t>
      </w:r>
      <w:r w:rsidRPr="00900D6C">
        <w:rPr>
          <w:lang w:val="en-AU"/>
        </w:rPr>
        <w:t>.</w:t>
      </w:r>
      <w:r w:rsidR="00B2750F" w:rsidRPr="00900D6C">
        <w:rPr>
          <w:lang w:val="en-AU"/>
        </w:rPr>
        <w:t xml:space="preserve"> </w:t>
      </w:r>
      <w:proofErr w:type="spellStart"/>
      <w:r w:rsidRPr="00900D6C">
        <w:rPr>
          <w:lang w:val="en-AU"/>
        </w:rPr>
        <w:t>Typhi</w:t>
      </w:r>
      <w:proofErr w:type="spellEnd"/>
      <w:r w:rsidRPr="00900D6C">
        <w:rPr>
          <w:lang w:val="en-AU"/>
        </w:rPr>
        <w:t>.</w:t>
      </w:r>
    </w:p>
    <w:p w14:paraId="44EB2D40" w14:textId="501EBC5F" w:rsidR="000A4720" w:rsidRPr="00900D6C" w:rsidRDefault="00482AE8" w:rsidP="00EA19BA">
      <w:pPr>
        <w:ind w:right="-46"/>
      </w:pPr>
      <w:r w:rsidRPr="00900D6C">
        <w:t>*Oral live attenuated vaccine is not recommended for use in children aged &lt;6 years.</w:t>
      </w:r>
    </w:p>
    <w:p w14:paraId="0EB8E11B" w14:textId="7907F12D" w:rsidR="00482AE8" w:rsidRPr="00900D6C" w:rsidRDefault="00482AE8" w:rsidP="00EA19BA">
      <w:pPr>
        <w:ind w:right="-46"/>
      </w:pPr>
      <w:r w:rsidRPr="00900D6C">
        <w:lastRenderedPageBreak/>
        <w:t xml:space="preserve">Travellers visiting friends and relatives in countries where typhoid is endemic should be encouraged to be vaccinated prior to travel and doctors providing travel advice to such travellers should be reminded to promote vaccination for this group. A list of endemic countries is </w:t>
      </w:r>
      <w:r w:rsidR="00897D08" w:rsidRPr="00900D6C">
        <w:t xml:space="preserve">available </w:t>
      </w:r>
      <w:r w:rsidR="00900D6C">
        <w:t xml:space="preserve">from the </w:t>
      </w:r>
      <w:r w:rsidR="00900D6C" w:rsidRPr="0098447C">
        <w:t>International Association for Medical Assistance to Travellers web site</w:t>
      </w:r>
      <w:r w:rsidR="00900D6C">
        <w:t xml:space="preserve"> (</w:t>
      </w:r>
      <w:r w:rsidR="00897D08" w:rsidRPr="00900D6C">
        <w:t>https://www.iamat.org/risks/typhoid-fever</w:t>
      </w:r>
      <w:r w:rsidR="00900D6C">
        <w:t>).</w:t>
      </w:r>
    </w:p>
    <w:p w14:paraId="5B0BB453" w14:textId="032155D0" w:rsidR="00482AE8" w:rsidRPr="00900D6C" w:rsidRDefault="00482AE8" w:rsidP="00EA19BA">
      <w:pPr>
        <w:ind w:right="-46"/>
      </w:pPr>
      <w:r w:rsidRPr="00900D6C">
        <w:t xml:space="preserve">For further information on vaccination, see the current edition of </w:t>
      </w:r>
      <w:r w:rsidRPr="0098447C">
        <w:rPr>
          <w:i/>
        </w:rPr>
        <w:t>The Australian Immunisation Handbook</w:t>
      </w:r>
      <w:r w:rsidR="0019735A" w:rsidRPr="00900D6C">
        <w:rPr>
          <w:i/>
        </w:rPr>
        <w:t>:</w:t>
      </w:r>
      <w:r w:rsidR="00900D6C">
        <w:rPr>
          <w:i/>
        </w:rPr>
        <w:t xml:space="preserve"> (</w:t>
      </w:r>
      <w:r w:rsidRPr="00900D6C">
        <w:rPr>
          <w:rFonts w:ascii="Tahoma" w:hAnsi="Tahoma" w:cs="Tahoma"/>
        </w:rPr>
        <w:t>http://www.immunise.health.gov.au/internet/immunise/publishing.nsf/Content/Handbook10-home~handbook10part4~handbook10-4-21</w:t>
      </w:r>
      <w:r w:rsidR="00900D6C">
        <w:t>).</w:t>
      </w:r>
    </w:p>
    <w:p w14:paraId="6FAEF913" w14:textId="77777777" w:rsidR="0092728B" w:rsidRPr="00193BD1" w:rsidRDefault="002A4B69" w:rsidP="00193BD1">
      <w:pPr>
        <w:pStyle w:val="Heading1"/>
      </w:pPr>
      <w:r w:rsidRPr="00193BD1">
        <w:t>4. Surveillance objectives</w:t>
      </w:r>
    </w:p>
    <w:p w14:paraId="26963202" w14:textId="77777777" w:rsidR="00A04959" w:rsidRPr="00900D6C" w:rsidRDefault="00213D15" w:rsidP="00EA19BA">
      <w:pPr>
        <w:ind w:right="-46"/>
      </w:pPr>
      <w:r w:rsidRPr="00900D6C">
        <w:t xml:space="preserve">To reduce the transmission of </w:t>
      </w:r>
      <w:r w:rsidR="00AF2611" w:rsidRPr="00900D6C">
        <w:t>enteric fever</w:t>
      </w:r>
      <w:r w:rsidR="00D90B03" w:rsidRPr="00900D6C">
        <w:t xml:space="preserve"> within Australia </w:t>
      </w:r>
      <w:r w:rsidRPr="00900D6C">
        <w:t>by allowing</w:t>
      </w:r>
      <w:r w:rsidR="00A04959" w:rsidRPr="00900D6C">
        <w:t>:</w:t>
      </w:r>
    </w:p>
    <w:p w14:paraId="6B0943FA" w14:textId="7393017A" w:rsidR="006A695D" w:rsidRPr="00900D6C" w:rsidRDefault="00213D15" w:rsidP="00EA19BA">
      <w:pPr>
        <w:pStyle w:val="ListParagraph"/>
        <w:numPr>
          <w:ilvl w:val="0"/>
          <w:numId w:val="14"/>
        </w:numPr>
        <w:ind w:right="-46"/>
        <w:rPr>
          <w:lang w:val="en-AU"/>
        </w:rPr>
      </w:pPr>
      <w:r w:rsidRPr="00900D6C">
        <w:rPr>
          <w:lang w:val="en-AU"/>
        </w:rPr>
        <w:t>prompt identification of</w:t>
      </w:r>
      <w:r w:rsidR="002A4B69" w:rsidRPr="00900D6C">
        <w:rPr>
          <w:lang w:val="en-AU"/>
        </w:rPr>
        <w:t xml:space="preserve"> </w:t>
      </w:r>
      <w:r w:rsidR="006A695D" w:rsidRPr="00900D6C">
        <w:rPr>
          <w:lang w:val="en-AU"/>
        </w:rPr>
        <w:t xml:space="preserve">the source of infection </w:t>
      </w:r>
      <w:r w:rsidRPr="00900D6C">
        <w:rPr>
          <w:lang w:val="en-AU"/>
        </w:rPr>
        <w:t>of diagnosed cases</w:t>
      </w:r>
      <w:r w:rsidR="00330548" w:rsidRPr="00900D6C">
        <w:rPr>
          <w:lang w:val="en-AU"/>
        </w:rPr>
        <w:t>;</w:t>
      </w:r>
    </w:p>
    <w:p w14:paraId="5D81B213" w14:textId="2067EB11" w:rsidR="00213D15" w:rsidRPr="00900D6C" w:rsidRDefault="00213D15" w:rsidP="00EA19BA">
      <w:pPr>
        <w:pStyle w:val="ListParagraph"/>
        <w:numPr>
          <w:ilvl w:val="0"/>
          <w:numId w:val="14"/>
        </w:numPr>
        <w:ind w:right="-46"/>
        <w:rPr>
          <w:lang w:val="en-AU"/>
        </w:rPr>
      </w:pPr>
      <w:r w:rsidRPr="00900D6C">
        <w:rPr>
          <w:lang w:val="en-AU"/>
        </w:rPr>
        <w:t xml:space="preserve">assurance of </w:t>
      </w:r>
      <w:r w:rsidR="006A695D" w:rsidRPr="00900D6C">
        <w:rPr>
          <w:lang w:val="en-AU"/>
        </w:rPr>
        <w:t xml:space="preserve">adequate </w:t>
      </w:r>
      <w:r w:rsidR="003644E0" w:rsidRPr="00900D6C">
        <w:rPr>
          <w:lang w:val="en-AU"/>
        </w:rPr>
        <w:t xml:space="preserve">exclusion </w:t>
      </w:r>
      <w:r w:rsidR="006A695D" w:rsidRPr="00900D6C">
        <w:rPr>
          <w:lang w:val="en-AU"/>
        </w:rPr>
        <w:t>and treatment of cases</w:t>
      </w:r>
      <w:r w:rsidR="00330548" w:rsidRPr="00900D6C">
        <w:rPr>
          <w:lang w:val="en-AU"/>
        </w:rPr>
        <w:t>;</w:t>
      </w:r>
    </w:p>
    <w:p w14:paraId="53995E3D" w14:textId="36A0EA7B" w:rsidR="00213D15" w:rsidRPr="00900D6C" w:rsidRDefault="006A695D" w:rsidP="00EA19BA">
      <w:pPr>
        <w:pStyle w:val="ListParagraph"/>
        <w:numPr>
          <w:ilvl w:val="0"/>
          <w:numId w:val="14"/>
        </w:numPr>
        <w:ind w:right="-46"/>
        <w:rPr>
          <w:lang w:val="en-AU"/>
        </w:rPr>
      </w:pPr>
      <w:r w:rsidRPr="00900D6C">
        <w:rPr>
          <w:lang w:val="en-AU"/>
        </w:rPr>
        <w:t xml:space="preserve">investigation </w:t>
      </w:r>
      <w:r w:rsidR="005E3837" w:rsidRPr="00900D6C">
        <w:rPr>
          <w:lang w:val="en-AU"/>
        </w:rPr>
        <w:t xml:space="preserve">and management </w:t>
      </w:r>
      <w:r w:rsidRPr="00900D6C">
        <w:rPr>
          <w:lang w:val="en-AU"/>
        </w:rPr>
        <w:t>of contacts</w:t>
      </w:r>
      <w:r w:rsidR="00330548" w:rsidRPr="00900D6C">
        <w:rPr>
          <w:lang w:val="en-AU"/>
        </w:rPr>
        <w:t>;</w:t>
      </w:r>
      <w:r w:rsidRPr="00900D6C">
        <w:rPr>
          <w:lang w:val="en-AU"/>
        </w:rPr>
        <w:t xml:space="preserve"> and</w:t>
      </w:r>
    </w:p>
    <w:p w14:paraId="3DC1341C" w14:textId="77777777" w:rsidR="006A695D" w:rsidRPr="00900D6C" w:rsidRDefault="00213D15" w:rsidP="00EA19BA">
      <w:pPr>
        <w:pStyle w:val="ListParagraph"/>
        <w:numPr>
          <w:ilvl w:val="0"/>
          <w:numId w:val="14"/>
        </w:numPr>
        <w:ind w:right="-46"/>
        <w:rPr>
          <w:lang w:val="en-AU"/>
        </w:rPr>
      </w:pPr>
      <w:proofErr w:type="gramStart"/>
      <w:r w:rsidRPr="00900D6C">
        <w:rPr>
          <w:lang w:val="en-AU"/>
        </w:rPr>
        <w:t>identification</w:t>
      </w:r>
      <w:proofErr w:type="gramEnd"/>
      <w:r w:rsidRPr="00900D6C">
        <w:rPr>
          <w:lang w:val="en-AU"/>
        </w:rPr>
        <w:t xml:space="preserve"> and </w:t>
      </w:r>
      <w:r w:rsidR="006A695D" w:rsidRPr="00900D6C">
        <w:rPr>
          <w:lang w:val="en-AU"/>
        </w:rPr>
        <w:t>mitigation of local sources.</w:t>
      </w:r>
    </w:p>
    <w:p w14:paraId="5B4935CD" w14:textId="77777777" w:rsidR="00D15E1C" w:rsidRPr="00900D6C" w:rsidRDefault="002A4B69" w:rsidP="00EA19BA">
      <w:pPr>
        <w:ind w:right="-46"/>
      </w:pPr>
      <w:r w:rsidRPr="00900D6C">
        <w:t xml:space="preserve">To monitor the epidemiology of the disease </w:t>
      </w:r>
      <w:r w:rsidR="004E3C47" w:rsidRPr="00900D6C">
        <w:t xml:space="preserve">in order </w:t>
      </w:r>
      <w:r w:rsidRPr="00900D6C">
        <w:t>to better inform prevention strategies.</w:t>
      </w:r>
    </w:p>
    <w:p w14:paraId="6330BF5D" w14:textId="22A1DF4D" w:rsidR="00605A32" w:rsidRPr="00900D6C" w:rsidRDefault="006F6A94" w:rsidP="00EA19BA">
      <w:pPr>
        <w:ind w:right="-46"/>
      </w:pPr>
      <w:proofErr w:type="gramStart"/>
      <w:r w:rsidRPr="00900D6C">
        <w:t>T</w:t>
      </w:r>
      <w:r w:rsidR="00605A32" w:rsidRPr="00900D6C">
        <w:t>o evaluate</w:t>
      </w:r>
      <w:r w:rsidR="006A695D" w:rsidRPr="00900D6C">
        <w:t xml:space="preserve"> </w:t>
      </w:r>
      <w:r w:rsidR="00605A32" w:rsidRPr="00900D6C">
        <w:t>the effectiveness of public</w:t>
      </w:r>
      <w:r w:rsidR="004E3C47" w:rsidRPr="00900D6C">
        <w:t>-</w:t>
      </w:r>
      <w:r w:rsidR="00605A32" w:rsidRPr="00900D6C">
        <w:t>health programs and other interventions to reduce infection</w:t>
      </w:r>
      <w:r w:rsidR="004146FF" w:rsidRPr="00900D6C">
        <w:t>.</w:t>
      </w:r>
      <w:proofErr w:type="gramEnd"/>
    </w:p>
    <w:p w14:paraId="51939308" w14:textId="77777777" w:rsidR="0092728B" w:rsidRPr="00193BD1" w:rsidRDefault="002A4B69" w:rsidP="00193BD1">
      <w:pPr>
        <w:pStyle w:val="Heading1"/>
      </w:pPr>
      <w:r w:rsidRPr="00193BD1">
        <w:t>5. Data management</w:t>
      </w:r>
    </w:p>
    <w:p w14:paraId="257C79E4" w14:textId="377D6101" w:rsidR="002C4A6B" w:rsidRPr="00900D6C" w:rsidRDefault="00491E32" w:rsidP="00EA19BA">
      <w:pPr>
        <w:ind w:right="-46"/>
      </w:pPr>
      <w:r w:rsidRPr="00900D6C">
        <w:t>L</w:t>
      </w:r>
      <w:r w:rsidR="002C4A6B" w:rsidRPr="00900D6C">
        <w:t xml:space="preserve">aboratory definitive evidence </w:t>
      </w:r>
      <w:r w:rsidRPr="00900D6C">
        <w:t>of a new case of typhoid</w:t>
      </w:r>
      <w:r w:rsidR="00AF2611" w:rsidRPr="00900D6C">
        <w:t xml:space="preserve"> or paratyphoid</w:t>
      </w:r>
      <w:r w:rsidRPr="00900D6C">
        <w:t xml:space="preserve"> infection </w:t>
      </w:r>
      <w:r w:rsidR="00A04959" w:rsidRPr="00900D6C">
        <w:t>should</w:t>
      </w:r>
      <w:r w:rsidR="002C4A6B" w:rsidRPr="00900D6C">
        <w:t xml:space="preserve"> </w:t>
      </w:r>
      <w:r w:rsidRPr="00900D6C">
        <w:t xml:space="preserve">be notified to the </w:t>
      </w:r>
      <w:r w:rsidR="002C4A6B" w:rsidRPr="00900D6C">
        <w:t xml:space="preserve">local public health unit </w:t>
      </w:r>
      <w:r w:rsidR="00330548" w:rsidRPr="00900D6C">
        <w:t xml:space="preserve">(PHU) </w:t>
      </w:r>
      <w:r w:rsidR="005E3837" w:rsidRPr="00900D6C">
        <w:t xml:space="preserve">or communicable disease branch (CDB) </w:t>
      </w:r>
      <w:r w:rsidRPr="00900D6C">
        <w:t xml:space="preserve">within </w:t>
      </w:r>
      <w:r w:rsidR="00330548" w:rsidRPr="00900D6C">
        <w:t>one</w:t>
      </w:r>
      <w:r w:rsidRPr="00900D6C">
        <w:t xml:space="preserve"> working day. </w:t>
      </w:r>
      <w:r w:rsidR="002C4A6B" w:rsidRPr="00900D6C">
        <w:t xml:space="preserve">Data </w:t>
      </w:r>
      <w:r w:rsidRPr="00900D6C">
        <w:t xml:space="preserve">on new cases should be </w:t>
      </w:r>
      <w:r w:rsidR="003644E0" w:rsidRPr="00900D6C">
        <w:t xml:space="preserve">transferred to </w:t>
      </w:r>
      <w:r w:rsidRPr="00900D6C">
        <w:t xml:space="preserve">the </w:t>
      </w:r>
      <w:r w:rsidR="003201A1" w:rsidRPr="00900D6C">
        <w:t xml:space="preserve">National </w:t>
      </w:r>
      <w:proofErr w:type="spellStart"/>
      <w:r w:rsidR="003201A1" w:rsidRPr="00900D6C">
        <w:t>Notifiable</w:t>
      </w:r>
      <w:proofErr w:type="spellEnd"/>
      <w:r w:rsidR="003201A1" w:rsidRPr="00900D6C">
        <w:t xml:space="preserve"> Diseases Surveillance System (NNDSS) </w:t>
      </w:r>
      <w:r w:rsidR="002F1D5D" w:rsidRPr="00900D6C">
        <w:t>d</w:t>
      </w:r>
      <w:r w:rsidRPr="00900D6C">
        <w:t xml:space="preserve">atabase </w:t>
      </w:r>
      <w:r w:rsidR="002C4A6B" w:rsidRPr="00900D6C">
        <w:t xml:space="preserve">within </w:t>
      </w:r>
      <w:r w:rsidR="00330548" w:rsidRPr="00900D6C">
        <w:t>three</w:t>
      </w:r>
      <w:r w:rsidR="002C4A6B" w:rsidRPr="00900D6C">
        <w:t xml:space="preserve"> working days.</w:t>
      </w:r>
      <w:r w:rsidR="003201A1" w:rsidRPr="00900D6C">
        <w:t xml:space="preserve"> Notifications are made </w:t>
      </w:r>
      <w:r w:rsidR="00825C3A" w:rsidRPr="00900D6C">
        <w:t xml:space="preserve">by </w:t>
      </w:r>
      <w:r w:rsidR="003201A1" w:rsidRPr="00900D6C">
        <w:t>doctors and laboratories to state or territory health authorities under the provisions of the public health legislation in their jurisdiction.</w:t>
      </w:r>
    </w:p>
    <w:p w14:paraId="0F0E5BE0" w14:textId="5FFF4717" w:rsidR="000F7D03" w:rsidRPr="00900D6C" w:rsidRDefault="00975D8B" w:rsidP="00EA19BA">
      <w:pPr>
        <w:ind w:right="-46"/>
      </w:pPr>
      <w:r w:rsidRPr="00900D6C">
        <w:t xml:space="preserve">Enter </w:t>
      </w:r>
      <w:r w:rsidR="006A695D" w:rsidRPr="00900D6C">
        <w:t>faecal</w:t>
      </w:r>
      <w:r w:rsidRPr="00900D6C">
        <w:t xml:space="preserve"> clearance results</w:t>
      </w:r>
      <w:r w:rsidR="003644E0" w:rsidRPr="00900D6C">
        <w:t>, where applicable</w:t>
      </w:r>
      <w:r w:rsidR="00863D2B" w:rsidRPr="00900D6C">
        <w:t>,</w:t>
      </w:r>
      <w:r w:rsidR="006A695D" w:rsidRPr="00900D6C">
        <w:t xml:space="preserve"> </w:t>
      </w:r>
      <w:r w:rsidRPr="00900D6C">
        <w:t>on</w:t>
      </w:r>
      <w:r w:rsidR="00B33CBF" w:rsidRPr="00900D6C">
        <w:t>to</w:t>
      </w:r>
      <w:r w:rsidRPr="00900D6C">
        <w:t xml:space="preserve"> </w:t>
      </w:r>
      <w:r w:rsidR="00491E32" w:rsidRPr="00900D6C">
        <w:t>the jurisdictional communicable diseases database.</w:t>
      </w:r>
    </w:p>
    <w:p w14:paraId="2C65A2E4" w14:textId="40778104" w:rsidR="005A5D66" w:rsidRPr="00900D6C" w:rsidRDefault="0095229F" w:rsidP="00EA19BA">
      <w:pPr>
        <w:ind w:right="-46"/>
        <w:rPr>
          <w:i/>
        </w:rPr>
      </w:pPr>
      <w:r w:rsidRPr="00900D6C">
        <w:t>F</w:t>
      </w:r>
      <w:r w:rsidR="005A5D66" w:rsidRPr="00900D6C">
        <w:t>or data recording purposes</w:t>
      </w:r>
      <w:r w:rsidR="003719B2" w:rsidRPr="00900D6C">
        <w:t>,</w:t>
      </w:r>
      <w:r w:rsidR="00E609F1" w:rsidRPr="00900D6C">
        <w:t xml:space="preserve"> a</w:t>
      </w:r>
      <w:r w:rsidR="002A4B69" w:rsidRPr="00900D6C">
        <w:t xml:space="preserve"> case should be counted as a second episode of disease</w:t>
      </w:r>
      <w:r w:rsidR="00E609F1" w:rsidRPr="00900D6C">
        <w:t xml:space="preserve"> only when a distinct</w:t>
      </w:r>
      <w:r w:rsidR="00F15283" w:rsidRPr="00900D6C">
        <w:t>ly</w:t>
      </w:r>
      <w:r w:rsidR="00330548" w:rsidRPr="00900D6C">
        <w:t>-</w:t>
      </w:r>
      <w:r w:rsidR="00F15283" w:rsidRPr="00900D6C">
        <w:t>different</w:t>
      </w:r>
      <w:r w:rsidR="00E609F1" w:rsidRPr="00900D6C">
        <w:t xml:space="preserve"> strain of </w:t>
      </w:r>
      <w:r w:rsidR="00E609F1" w:rsidRPr="00900D6C">
        <w:rPr>
          <w:i/>
        </w:rPr>
        <w:t>S</w:t>
      </w:r>
      <w:r w:rsidR="00F15283" w:rsidRPr="00900D6C">
        <w:rPr>
          <w:i/>
        </w:rPr>
        <w:t>.</w:t>
      </w:r>
      <w:r w:rsidR="00F15283" w:rsidRPr="00900D6C">
        <w:t xml:space="preserve"> </w:t>
      </w:r>
      <w:proofErr w:type="spellStart"/>
      <w:r w:rsidR="00F15283" w:rsidRPr="00900D6C">
        <w:t>Typhi</w:t>
      </w:r>
      <w:proofErr w:type="spellEnd"/>
      <w:r w:rsidR="00F15283" w:rsidRPr="00900D6C">
        <w:t>/</w:t>
      </w:r>
      <w:proofErr w:type="spellStart"/>
      <w:r w:rsidR="00F15283" w:rsidRPr="00900D6C">
        <w:t>Paratyphi</w:t>
      </w:r>
      <w:proofErr w:type="spellEnd"/>
      <w:r w:rsidR="00E609F1" w:rsidRPr="00900D6C">
        <w:t xml:space="preserve"> has been reported in patients </w:t>
      </w:r>
      <w:r w:rsidR="004E3C47" w:rsidRPr="00900D6C">
        <w:t>who</w:t>
      </w:r>
      <w:r w:rsidR="00E609F1" w:rsidRPr="00900D6C">
        <w:t xml:space="preserve"> have previously resolved typhoid</w:t>
      </w:r>
      <w:r w:rsidR="00AF2611" w:rsidRPr="00900D6C">
        <w:t>/paratyphoid</w:t>
      </w:r>
      <w:r w:rsidR="002A4B69" w:rsidRPr="00900D6C">
        <w:rPr>
          <w:i/>
        </w:rPr>
        <w:t>.</w:t>
      </w:r>
      <w:r w:rsidRPr="00900D6C">
        <w:t xml:space="preserve"> This is to differentiate a </w:t>
      </w:r>
      <w:r w:rsidR="00573F23" w:rsidRPr="00900D6C">
        <w:t xml:space="preserve">new </w:t>
      </w:r>
      <w:r w:rsidRPr="00900D6C">
        <w:t xml:space="preserve">case with a relapse of primary infection </w:t>
      </w:r>
      <w:r w:rsidR="00573F23" w:rsidRPr="00900D6C">
        <w:t>in</w:t>
      </w:r>
      <w:r w:rsidRPr="00900D6C">
        <w:t xml:space="preserve"> a resolved case </w:t>
      </w:r>
      <w:proofErr w:type="gramStart"/>
      <w:r w:rsidRPr="00900D6C">
        <w:t>wh</w:t>
      </w:r>
      <w:r w:rsidR="00573F23" w:rsidRPr="00900D6C">
        <w:t>o</w:t>
      </w:r>
      <w:proofErr w:type="gramEnd"/>
      <w:r w:rsidRPr="00900D6C">
        <w:t xml:space="preserve"> has become reinfected. A new infection can occur following recovery from typhoid</w:t>
      </w:r>
      <w:r w:rsidR="00AF2611" w:rsidRPr="00900D6C">
        <w:t>/paratyphoid</w:t>
      </w:r>
      <w:r w:rsidRPr="00900D6C">
        <w:t xml:space="preserve"> as acquired immunity following clearance of a primary infection with antibiotic treatment is insufficient to prevent reinfection</w:t>
      </w:r>
      <w:r w:rsidR="00825C3A" w:rsidRPr="00900D6C">
        <w:t xml:space="preserve"> </w:t>
      </w:r>
      <w:r w:rsidR="001F6F9D" w:rsidRPr="00900D6C">
        <w:t>(</w:t>
      </w:r>
      <w:r w:rsidR="00196AAD" w:rsidRPr="00900D6C">
        <w:t>39</w:t>
      </w:r>
      <w:r w:rsidR="001F6F9D" w:rsidRPr="00900D6C">
        <w:t>)</w:t>
      </w:r>
      <w:r w:rsidRPr="00900D6C">
        <w:t>.</w:t>
      </w:r>
    </w:p>
    <w:p w14:paraId="35E61290" w14:textId="77777777" w:rsidR="0092728B" w:rsidRPr="00193BD1" w:rsidRDefault="002A4B69" w:rsidP="00193BD1">
      <w:pPr>
        <w:pStyle w:val="Heading1"/>
      </w:pPr>
      <w:r w:rsidRPr="00193BD1">
        <w:t>6. Communications</w:t>
      </w:r>
    </w:p>
    <w:p w14:paraId="566300C4" w14:textId="159F4FC6" w:rsidR="00251C1E" w:rsidRPr="00900D6C" w:rsidRDefault="00251C1E" w:rsidP="00EA19BA">
      <w:pPr>
        <w:ind w:right="-46"/>
      </w:pPr>
      <w:r w:rsidRPr="00900D6C">
        <w:t>Pathology laboratories notify the jurisdictional CDB</w:t>
      </w:r>
      <w:r w:rsidR="005E3837" w:rsidRPr="00900D6C">
        <w:t xml:space="preserve"> or other </w:t>
      </w:r>
      <w:r w:rsidR="00780138" w:rsidRPr="00900D6C">
        <w:t>public health</w:t>
      </w:r>
      <w:r w:rsidR="005E3837" w:rsidRPr="00900D6C">
        <w:t xml:space="preserve"> authority</w:t>
      </w:r>
      <w:r w:rsidRPr="00900D6C">
        <w:t xml:space="preserve"> on microbiological confirmation of a case of</w:t>
      </w:r>
      <w:r w:rsidR="004146FF" w:rsidRPr="00900D6C">
        <w:t xml:space="preserve"> </w:t>
      </w:r>
      <w:r w:rsidRPr="00900D6C">
        <w:rPr>
          <w:i/>
        </w:rPr>
        <w:t>S</w:t>
      </w:r>
      <w:r w:rsidRPr="00900D6C">
        <w:t>.</w:t>
      </w:r>
      <w:r w:rsidR="00F15283" w:rsidRPr="00900D6C">
        <w:t xml:space="preserve"> </w:t>
      </w:r>
      <w:proofErr w:type="spellStart"/>
      <w:r w:rsidRPr="00900D6C">
        <w:t>Typhi</w:t>
      </w:r>
      <w:proofErr w:type="spellEnd"/>
      <w:r w:rsidRPr="00900D6C">
        <w:t xml:space="preserve"> or</w:t>
      </w:r>
      <w:r w:rsidR="004146FF" w:rsidRPr="00900D6C">
        <w:t xml:space="preserve"> </w:t>
      </w:r>
      <w:r w:rsidRPr="00900D6C">
        <w:rPr>
          <w:i/>
        </w:rPr>
        <w:t>S</w:t>
      </w:r>
      <w:r w:rsidRPr="00900D6C">
        <w:t>.</w:t>
      </w:r>
      <w:r w:rsidR="00F15283" w:rsidRPr="00900D6C">
        <w:t xml:space="preserve"> </w:t>
      </w:r>
      <w:proofErr w:type="spellStart"/>
      <w:r w:rsidRPr="00900D6C">
        <w:t>Paratyphi</w:t>
      </w:r>
      <w:proofErr w:type="spellEnd"/>
      <w:r w:rsidRPr="00900D6C">
        <w:t>, by telephone</w:t>
      </w:r>
      <w:r w:rsidR="003719B2" w:rsidRPr="00900D6C">
        <w:t>,</w:t>
      </w:r>
      <w:r w:rsidR="008807D4" w:rsidRPr="00900D6C">
        <w:t xml:space="preserve"> </w:t>
      </w:r>
      <w:r w:rsidRPr="00900D6C">
        <w:t>facsimile</w:t>
      </w:r>
      <w:r w:rsidR="003719B2" w:rsidRPr="00900D6C">
        <w:t>, or electronic means</w:t>
      </w:r>
      <w:r w:rsidRPr="00900D6C">
        <w:t xml:space="preserve">. </w:t>
      </w:r>
      <w:r w:rsidR="000366E3" w:rsidRPr="00900D6C">
        <w:t xml:space="preserve">A </w:t>
      </w:r>
      <w:r w:rsidRPr="00900D6C">
        <w:t xml:space="preserve">PHU or </w:t>
      </w:r>
      <w:r w:rsidR="00780138" w:rsidRPr="00900D6C">
        <w:t xml:space="preserve">CDB </w:t>
      </w:r>
      <w:r w:rsidRPr="00900D6C">
        <w:t>staff member</w:t>
      </w:r>
      <w:r w:rsidR="00780138" w:rsidRPr="00900D6C">
        <w:t xml:space="preserve"> investigates </w:t>
      </w:r>
      <w:r w:rsidR="000366E3" w:rsidRPr="00900D6C">
        <w:t xml:space="preserve">the </w:t>
      </w:r>
      <w:r w:rsidR="00780138" w:rsidRPr="00900D6C">
        <w:t xml:space="preserve">case and records case details </w:t>
      </w:r>
      <w:r w:rsidR="00486BAA" w:rsidRPr="00900D6C">
        <w:t>i</w:t>
      </w:r>
      <w:r w:rsidR="00780138" w:rsidRPr="00900D6C">
        <w:t xml:space="preserve">n </w:t>
      </w:r>
      <w:r w:rsidR="00486BAA" w:rsidRPr="00900D6C">
        <w:t xml:space="preserve">their local surveillance </w:t>
      </w:r>
      <w:proofErr w:type="gramStart"/>
      <w:r w:rsidR="00486BAA" w:rsidRPr="00900D6C">
        <w:t>system</w:t>
      </w:r>
      <w:r w:rsidR="0019735A" w:rsidRPr="00900D6C">
        <w:t>,</w:t>
      </w:r>
      <w:r w:rsidR="00486BAA" w:rsidRPr="00900D6C">
        <w:t xml:space="preserve"> which </w:t>
      </w:r>
      <w:r w:rsidR="0019735A" w:rsidRPr="00900D6C">
        <w:t>are</w:t>
      </w:r>
      <w:proofErr w:type="gramEnd"/>
      <w:r w:rsidR="00486BAA" w:rsidRPr="00900D6C">
        <w:t xml:space="preserve"> transferred to </w:t>
      </w:r>
      <w:r w:rsidR="00573F23" w:rsidRPr="00900D6C">
        <w:t xml:space="preserve">the </w:t>
      </w:r>
      <w:r w:rsidR="00780138" w:rsidRPr="00900D6C">
        <w:t>NNDSS</w:t>
      </w:r>
      <w:r w:rsidRPr="00900D6C">
        <w:t xml:space="preserve">. </w:t>
      </w:r>
      <w:r w:rsidR="006C3F5E" w:rsidRPr="00900D6C">
        <w:t>On</w:t>
      </w:r>
      <w:r w:rsidRPr="00900D6C">
        <w:t xml:space="preserve"> completion of the investigation of a confirmed case, </w:t>
      </w:r>
      <w:r w:rsidR="004E0CEB" w:rsidRPr="00900D6C">
        <w:t xml:space="preserve">each jurisdiction decides whether </w:t>
      </w:r>
      <w:r w:rsidRPr="00900D6C">
        <w:t xml:space="preserve">the PHU </w:t>
      </w:r>
      <w:r w:rsidR="004E0CEB" w:rsidRPr="00900D6C">
        <w:t xml:space="preserve">should </w:t>
      </w:r>
      <w:r w:rsidRPr="00900D6C">
        <w:t>prepare a report for the</w:t>
      </w:r>
      <w:r w:rsidR="004146FF" w:rsidRPr="00900D6C">
        <w:t xml:space="preserve"> </w:t>
      </w:r>
      <w:r w:rsidRPr="0098447C">
        <w:t>CDB</w:t>
      </w:r>
      <w:r w:rsidR="004146FF" w:rsidRPr="00900D6C">
        <w:rPr>
          <w:rStyle w:val="Hyperlink"/>
          <w:color w:val="auto"/>
          <w:u w:val="none"/>
        </w:rPr>
        <w:t xml:space="preserve"> </w:t>
      </w:r>
      <w:r w:rsidRPr="00900D6C">
        <w:t>and</w:t>
      </w:r>
      <w:r w:rsidR="004146FF" w:rsidRPr="00900D6C">
        <w:t xml:space="preserve"> </w:t>
      </w:r>
      <w:proofErr w:type="spellStart"/>
      <w:r w:rsidRPr="0098447C">
        <w:t>OzFoodNet</w:t>
      </w:r>
      <w:proofErr w:type="spellEnd"/>
      <w:r w:rsidRPr="00900D6C">
        <w:t>.</w:t>
      </w:r>
      <w:r w:rsidR="004146FF" w:rsidRPr="00900D6C">
        <w:t xml:space="preserve"> </w:t>
      </w:r>
      <w:r w:rsidRPr="00900D6C">
        <w:t xml:space="preserve">The report should include: </w:t>
      </w:r>
      <w:r w:rsidR="00553B4A" w:rsidRPr="00900D6C">
        <w:t xml:space="preserve">the </w:t>
      </w:r>
      <w:r w:rsidRPr="00900D6C">
        <w:t xml:space="preserve">patient’s age, sex, date of onset, laboratory status, travel status, possible sources of infection, </w:t>
      </w:r>
      <w:proofErr w:type="gramStart"/>
      <w:r w:rsidRPr="00900D6C">
        <w:t>other</w:t>
      </w:r>
      <w:proofErr w:type="gramEnd"/>
      <w:r w:rsidRPr="00900D6C">
        <w:t xml:space="preserve"> people thought to be at risk</w:t>
      </w:r>
      <w:r w:rsidR="00B31B14" w:rsidRPr="00900D6C">
        <w:t>,</w:t>
      </w:r>
      <w:r w:rsidRPr="00900D6C">
        <w:t xml:space="preserve"> and follow</w:t>
      </w:r>
      <w:r w:rsidR="00553B4A" w:rsidRPr="00900D6C">
        <w:t>-</w:t>
      </w:r>
      <w:r w:rsidRPr="00900D6C">
        <w:t>up action taken.</w:t>
      </w:r>
    </w:p>
    <w:p w14:paraId="2C78BFEC" w14:textId="1ED4EEA9" w:rsidR="00251C1E" w:rsidRPr="00900D6C" w:rsidRDefault="00251C1E" w:rsidP="00EA19BA">
      <w:pPr>
        <w:ind w:right="-46"/>
      </w:pPr>
      <w:r w:rsidRPr="00900D6C">
        <w:t xml:space="preserve">If the case is a resident of another Australian </w:t>
      </w:r>
      <w:r w:rsidR="00FC105D" w:rsidRPr="00900D6C">
        <w:t xml:space="preserve">state </w:t>
      </w:r>
      <w:r w:rsidRPr="00900D6C">
        <w:t xml:space="preserve">or </w:t>
      </w:r>
      <w:r w:rsidR="00FC105D" w:rsidRPr="00900D6C">
        <w:t>territory</w:t>
      </w:r>
      <w:r w:rsidRPr="00900D6C">
        <w:t>, the CDB will refer the case for investigation to the appropriate CDB in that jurisdiction</w:t>
      </w:r>
      <w:r w:rsidR="003E5D5F" w:rsidRPr="00900D6C">
        <w:t>, if appropriate</w:t>
      </w:r>
      <w:r w:rsidRPr="00900D6C">
        <w:t>.</w:t>
      </w:r>
      <w:r w:rsidR="008807D4" w:rsidRPr="00900D6C">
        <w:t xml:space="preserve"> </w:t>
      </w:r>
      <w:proofErr w:type="gramStart"/>
      <w:r w:rsidR="008807D4" w:rsidRPr="00900D6C">
        <w:t>Similarly, if a contact of a c</w:t>
      </w:r>
      <w:r w:rsidR="0019735A" w:rsidRPr="00900D6C">
        <w:t>ase (</w:t>
      </w:r>
      <w:r w:rsidR="00BB102F" w:rsidRPr="00900D6C">
        <w:t xml:space="preserve">Section </w:t>
      </w:r>
      <w:r w:rsidR="00935BEA" w:rsidRPr="00900D6C">
        <w:t>11.</w:t>
      </w:r>
      <w:proofErr w:type="gramEnd"/>
      <w:r w:rsidR="00935BEA" w:rsidRPr="00900D6C">
        <w:t xml:space="preserve"> Contact management</w:t>
      </w:r>
      <w:r w:rsidR="008807D4" w:rsidRPr="00900D6C">
        <w:t xml:space="preserve">) is a resident of another Australian </w:t>
      </w:r>
      <w:r w:rsidR="00FC105D" w:rsidRPr="00900D6C">
        <w:t>s</w:t>
      </w:r>
      <w:r w:rsidR="008807D4" w:rsidRPr="00900D6C">
        <w:t xml:space="preserve">tate or </w:t>
      </w:r>
      <w:r w:rsidR="00FC105D" w:rsidRPr="00900D6C">
        <w:t>t</w:t>
      </w:r>
      <w:r w:rsidR="008807D4" w:rsidRPr="00900D6C">
        <w:t>erritory, the CDB will coordinate contact follow-up with the CDB in that jurisdiction.</w:t>
      </w:r>
    </w:p>
    <w:p w14:paraId="339956F9" w14:textId="00E72C36" w:rsidR="00251C1E" w:rsidRPr="00900D6C" w:rsidRDefault="00251C1E" w:rsidP="00EA19BA">
      <w:pPr>
        <w:ind w:right="-46"/>
      </w:pPr>
      <w:r w:rsidRPr="00900D6C">
        <w:t>Cases of locally</w:t>
      </w:r>
      <w:r w:rsidR="00330548" w:rsidRPr="00900D6C">
        <w:t>-</w:t>
      </w:r>
      <w:r w:rsidRPr="00900D6C">
        <w:t xml:space="preserve">acquired enteric fever infection should be </w:t>
      </w:r>
      <w:r w:rsidR="00DA4A3D" w:rsidRPr="00900D6C">
        <w:t xml:space="preserve">investigated locally and </w:t>
      </w:r>
      <w:r w:rsidRPr="00900D6C">
        <w:t xml:space="preserve">reported to </w:t>
      </w:r>
      <w:proofErr w:type="spellStart"/>
      <w:r w:rsidRPr="00900D6C">
        <w:t>OzFoodNet</w:t>
      </w:r>
      <w:proofErr w:type="spellEnd"/>
      <w:r w:rsidRPr="00900D6C">
        <w:t xml:space="preserve"> to assist with detection of </w:t>
      </w:r>
      <w:r w:rsidR="005E64CB" w:rsidRPr="00900D6C">
        <w:t xml:space="preserve">a </w:t>
      </w:r>
      <w:r w:rsidRPr="00900D6C">
        <w:t>widely</w:t>
      </w:r>
      <w:r w:rsidR="00330548" w:rsidRPr="00900D6C">
        <w:t>-</w:t>
      </w:r>
      <w:r w:rsidRPr="00900D6C">
        <w:t>distributed outbreak within Australia.</w:t>
      </w:r>
    </w:p>
    <w:p w14:paraId="4FB245D1" w14:textId="71BCB3BA" w:rsidR="00251C1E" w:rsidRPr="00900D6C" w:rsidRDefault="003E5D5F" w:rsidP="00EA19BA">
      <w:pPr>
        <w:ind w:right="-46"/>
      </w:pPr>
      <w:r w:rsidRPr="00900D6C">
        <w:t>Depending on local reporting arrangements, t</w:t>
      </w:r>
      <w:r w:rsidR="00251C1E" w:rsidRPr="00900D6C">
        <w:t xml:space="preserve">he </w:t>
      </w:r>
      <w:r w:rsidRPr="00900D6C">
        <w:t>m</w:t>
      </w:r>
      <w:r w:rsidR="00251C1E" w:rsidRPr="00900D6C">
        <w:t>anager of the jurisdictional CDB and the jurisdictional Chief Health Officer should be advised immediately if an outbreak (two or more locally</w:t>
      </w:r>
      <w:r w:rsidR="00330548" w:rsidRPr="00900D6C">
        <w:t>-</w:t>
      </w:r>
      <w:r w:rsidR="00251C1E" w:rsidRPr="00900D6C">
        <w:t>acquired cases</w:t>
      </w:r>
      <w:r w:rsidR="00A41BA0" w:rsidRPr="00900D6C">
        <w:t xml:space="preserve"> not resulting from transmission within a household</w:t>
      </w:r>
      <w:r w:rsidR="00251C1E" w:rsidRPr="00900D6C">
        <w:t>)</w:t>
      </w:r>
      <w:r w:rsidR="00330548" w:rsidRPr="00900D6C">
        <w:t>,</w:t>
      </w:r>
      <w:r w:rsidR="00251C1E" w:rsidRPr="00900D6C">
        <w:t xml:space="preserve"> is suspected, </w:t>
      </w:r>
      <w:r w:rsidR="003719B2" w:rsidRPr="00900D6C">
        <w:t xml:space="preserve">and CDNA </w:t>
      </w:r>
      <w:r w:rsidR="00251C1E" w:rsidRPr="00900D6C">
        <w:t xml:space="preserve">should </w:t>
      </w:r>
      <w:r w:rsidR="003719B2" w:rsidRPr="00900D6C">
        <w:t xml:space="preserve">be </w:t>
      </w:r>
      <w:r w:rsidR="00251C1E" w:rsidRPr="00900D6C">
        <w:t>inform</w:t>
      </w:r>
      <w:r w:rsidR="003719B2" w:rsidRPr="00900D6C">
        <w:t>ed</w:t>
      </w:r>
      <w:r w:rsidR="00251C1E" w:rsidRPr="00900D6C">
        <w:t xml:space="preserve">. CDNA and </w:t>
      </w:r>
      <w:proofErr w:type="spellStart"/>
      <w:r w:rsidR="00251C1E" w:rsidRPr="00900D6C">
        <w:t>OzFoodNet</w:t>
      </w:r>
      <w:proofErr w:type="spellEnd"/>
      <w:r w:rsidR="00251C1E" w:rsidRPr="00900D6C">
        <w:t xml:space="preserve"> will coordinate investigations if a multi-jurisdictional outbreak of typhoid or paratyphoid fever is detected. The</w:t>
      </w:r>
      <w:r w:rsidRPr="00900D6C">
        <w:t xml:space="preserve"> </w:t>
      </w:r>
      <w:r w:rsidR="00251C1E" w:rsidRPr="00900D6C">
        <w:t xml:space="preserve">CDB may need to inform </w:t>
      </w:r>
      <w:r w:rsidR="006C3F5E" w:rsidRPr="00900D6C">
        <w:t xml:space="preserve">a range of other agencies </w:t>
      </w:r>
      <w:r w:rsidR="00251C1E" w:rsidRPr="00900D6C">
        <w:t>in the event of a potential outbreak of typhoid or paratyphoid</w:t>
      </w:r>
      <w:r w:rsidRPr="00900D6C">
        <w:t>, including</w:t>
      </w:r>
      <w:r w:rsidR="00251C1E" w:rsidRPr="00900D6C">
        <w:t xml:space="preserve"> </w:t>
      </w:r>
      <w:r w:rsidR="005C03B4" w:rsidRPr="00900D6C">
        <w:t>the</w:t>
      </w:r>
      <w:r w:rsidR="006C3F5E" w:rsidRPr="00900D6C">
        <w:t>:</w:t>
      </w:r>
      <w:r w:rsidR="005C03B4" w:rsidRPr="00900D6C">
        <w:t xml:space="preserve"> state or territory food authority</w:t>
      </w:r>
      <w:r w:rsidR="006C3F5E" w:rsidRPr="00900D6C">
        <w:t xml:space="preserve">; </w:t>
      </w:r>
      <w:r w:rsidR="005C03B4" w:rsidRPr="00900D6C">
        <w:t>local government health authority</w:t>
      </w:r>
      <w:r w:rsidR="006C3F5E" w:rsidRPr="00900D6C">
        <w:t xml:space="preserve">; </w:t>
      </w:r>
      <w:r w:rsidR="00251C1E" w:rsidRPr="00900D6C">
        <w:t>Coroner (if a death occurs as part of an outbreak)</w:t>
      </w:r>
      <w:r w:rsidR="006C3F5E" w:rsidRPr="00900D6C">
        <w:t>;</w:t>
      </w:r>
      <w:r w:rsidR="00251C1E" w:rsidRPr="00900D6C">
        <w:t xml:space="preserve"> and</w:t>
      </w:r>
      <w:r w:rsidR="005C03B4" w:rsidRPr="00900D6C">
        <w:t xml:space="preserve"> Commonwealth Department of Health through </w:t>
      </w:r>
      <w:proofErr w:type="spellStart"/>
      <w:r w:rsidR="005C03B4" w:rsidRPr="00900D6C">
        <w:t>HealthOps</w:t>
      </w:r>
      <w:proofErr w:type="spellEnd"/>
      <w:r w:rsidR="00251C1E" w:rsidRPr="00900D6C">
        <w:t>.</w:t>
      </w:r>
    </w:p>
    <w:p w14:paraId="33F3F7B4" w14:textId="77777777" w:rsidR="0092728B" w:rsidRPr="00193BD1" w:rsidRDefault="002A4B69" w:rsidP="00193BD1">
      <w:pPr>
        <w:pStyle w:val="Heading1"/>
      </w:pPr>
      <w:r w:rsidRPr="00193BD1">
        <w:t>7. Case definition</w:t>
      </w:r>
    </w:p>
    <w:p w14:paraId="13A85A18" w14:textId="77777777" w:rsidR="00DE31AE" w:rsidRPr="00900D6C" w:rsidRDefault="00DE31AE" w:rsidP="00900D6C">
      <w:pPr>
        <w:pStyle w:val="Heading2"/>
      </w:pPr>
      <w:r w:rsidRPr="00900D6C">
        <w:t>Typhoid</w:t>
      </w:r>
    </w:p>
    <w:p w14:paraId="3C950FE1" w14:textId="77777777" w:rsidR="00DE31AE" w:rsidRPr="00900D6C" w:rsidRDefault="00DE31AE" w:rsidP="00900D6C">
      <w:pPr>
        <w:pStyle w:val="Heading3"/>
        <w:rPr>
          <w:lang w:val="en-AU"/>
        </w:rPr>
      </w:pPr>
      <w:r w:rsidRPr="00900D6C">
        <w:rPr>
          <w:lang w:val="en-AU"/>
        </w:rPr>
        <w:t>Reporting</w:t>
      </w:r>
    </w:p>
    <w:p w14:paraId="3D8EF751" w14:textId="77777777" w:rsidR="00DE31AE" w:rsidRPr="00900D6C" w:rsidRDefault="00DE31AE" w:rsidP="00EA19BA">
      <w:pPr>
        <w:ind w:right="-46"/>
      </w:pPr>
      <w:r w:rsidRPr="00900D6C">
        <w:rPr>
          <w:shd w:val="clear" w:color="auto" w:fill="FFFFFF"/>
        </w:rPr>
        <w:t>Only</w:t>
      </w:r>
      <w:r w:rsidRPr="00900D6C">
        <w:rPr>
          <w:rStyle w:val="apple-converted-space"/>
          <w:rFonts w:cs="Tahoma"/>
          <w:color w:val="222222"/>
          <w:shd w:val="clear" w:color="auto" w:fill="FFFFFF"/>
        </w:rPr>
        <w:t> </w:t>
      </w:r>
      <w:r w:rsidRPr="00900D6C">
        <w:rPr>
          <w:rStyle w:val="Strong"/>
          <w:rFonts w:cs="Tahoma"/>
          <w:color w:val="222222"/>
          <w:shd w:val="clear" w:color="auto" w:fill="FFFFFF"/>
        </w:rPr>
        <w:t>confirmed cases</w:t>
      </w:r>
      <w:r w:rsidRPr="00900D6C">
        <w:rPr>
          <w:rStyle w:val="apple-converted-space"/>
          <w:rFonts w:cs="Tahoma"/>
          <w:color w:val="222222"/>
          <w:shd w:val="clear" w:color="auto" w:fill="FFFFFF"/>
        </w:rPr>
        <w:t> </w:t>
      </w:r>
      <w:r w:rsidRPr="00900D6C">
        <w:rPr>
          <w:shd w:val="clear" w:color="auto" w:fill="FFFFFF"/>
        </w:rPr>
        <w:t>should be notified.</w:t>
      </w:r>
    </w:p>
    <w:p w14:paraId="513D326E" w14:textId="77777777" w:rsidR="00DE31AE" w:rsidRPr="00900D6C" w:rsidRDefault="00DE31AE" w:rsidP="00900D6C">
      <w:pPr>
        <w:pStyle w:val="Heading4"/>
      </w:pPr>
      <w:r w:rsidRPr="00900D6C">
        <w:t>Confirmed case</w:t>
      </w:r>
    </w:p>
    <w:p w14:paraId="33C47E9A" w14:textId="77777777" w:rsidR="00DE31AE" w:rsidRPr="00900D6C" w:rsidRDefault="00DE31AE" w:rsidP="00EA19BA">
      <w:pPr>
        <w:ind w:right="-46"/>
      </w:pPr>
      <w:r w:rsidRPr="00900D6C">
        <w:rPr>
          <w:shd w:val="clear" w:color="auto" w:fill="FFFFFF"/>
        </w:rPr>
        <w:t>A confirmed case requires</w:t>
      </w:r>
      <w:r w:rsidRPr="00900D6C">
        <w:rPr>
          <w:rStyle w:val="apple-converted-space"/>
          <w:rFonts w:cs="Tahoma"/>
          <w:color w:val="222222"/>
          <w:shd w:val="clear" w:color="auto" w:fill="FFFFFF"/>
        </w:rPr>
        <w:t> </w:t>
      </w:r>
      <w:r w:rsidRPr="00900D6C">
        <w:rPr>
          <w:rStyle w:val="Strong"/>
          <w:rFonts w:cs="Tahoma"/>
          <w:color w:val="222222"/>
          <w:shd w:val="clear" w:color="auto" w:fill="FFFFFF"/>
        </w:rPr>
        <w:t>Laboratory definitive evidence</w:t>
      </w:r>
      <w:r w:rsidRPr="00900D6C">
        <w:rPr>
          <w:rStyle w:val="apple-converted-space"/>
          <w:rFonts w:cs="Tahoma"/>
          <w:color w:val="222222"/>
          <w:shd w:val="clear" w:color="auto" w:fill="FFFFFF"/>
        </w:rPr>
        <w:t> </w:t>
      </w:r>
      <w:r w:rsidRPr="00900D6C">
        <w:rPr>
          <w:shd w:val="clear" w:color="auto" w:fill="FFFFFF"/>
        </w:rPr>
        <w:t>only.</w:t>
      </w:r>
    </w:p>
    <w:p w14:paraId="1439AF37" w14:textId="77777777" w:rsidR="00DE31AE" w:rsidRPr="00900D6C" w:rsidRDefault="00DE31AE" w:rsidP="00900D6C">
      <w:pPr>
        <w:pStyle w:val="Heading5"/>
        <w:rPr>
          <w:bCs/>
        </w:rPr>
      </w:pPr>
      <w:r w:rsidRPr="00900D6C">
        <w:t>Laboratory definitive evidence</w:t>
      </w:r>
    </w:p>
    <w:p w14:paraId="04039F96" w14:textId="73DEFD1D" w:rsidR="00DE31AE" w:rsidRPr="00900D6C" w:rsidRDefault="00DE31AE" w:rsidP="00EA19BA">
      <w:pPr>
        <w:ind w:right="-46"/>
        <w:rPr>
          <w:i/>
          <w:shd w:val="clear" w:color="auto" w:fill="FFFFFF"/>
        </w:rPr>
      </w:pPr>
      <w:proofErr w:type="gramStart"/>
      <w:r w:rsidRPr="00900D6C">
        <w:rPr>
          <w:shd w:val="clear" w:color="auto" w:fill="FFFFFF"/>
        </w:rPr>
        <w:t>Isolation or detection of</w:t>
      </w:r>
      <w:r w:rsidRPr="00900D6C">
        <w:rPr>
          <w:rStyle w:val="apple-converted-space"/>
          <w:rFonts w:cs="Tahoma"/>
          <w:color w:val="222222"/>
          <w:shd w:val="clear" w:color="auto" w:fill="FFFFFF"/>
        </w:rPr>
        <w:t> </w:t>
      </w:r>
      <w:r w:rsidRPr="00900D6C">
        <w:rPr>
          <w:rStyle w:val="Emphasis"/>
          <w:rFonts w:cs="Tahoma"/>
          <w:color w:val="222222"/>
          <w:shd w:val="clear" w:color="auto" w:fill="FFFFFF"/>
        </w:rPr>
        <w:t xml:space="preserve">Salmonella </w:t>
      </w:r>
      <w:proofErr w:type="spellStart"/>
      <w:r w:rsidR="007E1BA1" w:rsidRPr="00900D6C">
        <w:rPr>
          <w:rStyle w:val="Emphasis"/>
          <w:rFonts w:cs="Tahoma"/>
          <w:i w:val="0"/>
          <w:color w:val="222222"/>
          <w:shd w:val="clear" w:color="auto" w:fill="FFFFFF"/>
        </w:rPr>
        <w:t>Typhi</w:t>
      </w:r>
      <w:proofErr w:type="spellEnd"/>
      <w:r w:rsidR="006C3F5E" w:rsidRPr="00900D6C">
        <w:rPr>
          <w:rStyle w:val="Emphasis"/>
          <w:rFonts w:cs="Tahoma"/>
          <w:i w:val="0"/>
          <w:color w:val="222222"/>
          <w:shd w:val="clear" w:color="auto" w:fill="FFFFFF"/>
        </w:rPr>
        <w:t>.</w:t>
      </w:r>
      <w:proofErr w:type="gramEnd"/>
    </w:p>
    <w:p w14:paraId="31728264" w14:textId="77777777" w:rsidR="0068287E" w:rsidRPr="00900D6C" w:rsidRDefault="0068287E" w:rsidP="00900D6C">
      <w:pPr>
        <w:pStyle w:val="Heading2"/>
      </w:pPr>
      <w:r w:rsidRPr="00900D6C">
        <w:t>Paratyphoid</w:t>
      </w:r>
    </w:p>
    <w:p w14:paraId="71576D78" w14:textId="77777777" w:rsidR="001230F2" w:rsidRPr="00900D6C" w:rsidRDefault="001230F2" w:rsidP="00900D6C">
      <w:pPr>
        <w:pStyle w:val="Heading3"/>
        <w:rPr>
          <w:lang w:val="en-AU"/>
        </w:rPr>
      </w:pPr>
      <w:r w:rsidRPr="00900D6C">
        <w:rPr>
          <w:lang w:val="en-AU"/>
        </w:rPr>
        <w:t>Reporting</w:t>
      </w:r>
    </w:p>
    <w:p w14:paraId="04A19659" w14:textId="77777777" w:rsidR="00BA01D7" w:rsidRDefault="001230F2" w:rsidP="00EA19BA">
      <w:pPr>
        <w:spacing w:line="300" w:lineRule="atLeast"/>
        <w:ind w:right="-46"/>
        <w:rPr>
          <w:rFonts w:ascii="Tahoma" w:hAnsi="Tahoma" w:cs="Tahoma"/>
          <w:color w:val="222222"/>
        </w:rPr>
      </w:pPr>
      <w:r w:rsidRPr="00900D6C">
        <w:rPr>
          <w:rFonts w:ascii="Tahoma" w:hAnsi="Tahoma" w:cs="Tahoma"/>
          <w:color w:val="222222"/>
        </w:rPr>
        <w:t xml:space="preserve">Only </w:t>
      </w:r>
      <w:r w:rsidRPr="00900D6C">
        <w:rPr>
          <w:rStyle w:val="Strong"/>
          <w:rFonts w:ascii="Tahoma" w:hAnsi="Tahoma" w:cs="Tahoma"/>
          <w:color w:val="222222"/>
        </w:rPr>
        <w:t>confirmed cases</w:t>
      </w:r>
      <w:r w:rsidRPr="00900D6C">
        <w:rPr>
          <w:rFonts w:ascii="Tahoma" w:hAnsi="Tahoma" w:cs="Tahoma"/>
          <w:color w:val="222222"/>
        </w:rPr>
        <w:t xml:space="preserve"> should be notified.</w:t>
      </w:r>
    </w:p>
    <w:p w14:paraId="3CDF6A26" w14:textId="2F0597E9" w:rsidR="001230F2" w:rsidRPr="00900D6C" w:rsidRDefault="001230F2" w:rsidP="00900D6C">
      <w:pPr>
        <w:pStyle w:val="Heading4"/>
        <w:rPr>
          <w:color w:val="000000"/>
        </w:rPr>
      </w:pPr>
      <w:r w:rsidRPr="00900D6C">
        <w:t>Confirmed case</w:t>
      </w:r>
    </w:p>
    <w:p w14:paraId="61F81788" w14:textId="6F47E951" w:rsidR="001230F2" w:rsidRPr="00900D6C" w:rsidRDefault="001230F2" w:rsidP="00EA19BA">
      <w:pPr>
        <w:spacing w:line="300" w:lineRule="atLeast"/>
        <w:ind w:right="-46"/>
        <w:rPr>
          <w:rFonts w:ascii="Tahoma" w:hAnsi="Tahoma" w:cs="Tahoma"/>
          <w:color w:val="222222"/>
        </w:rPr>
      </w:pPr>
      <w:r w:rsidRPr="00900D6C">
        <w:rPr>
          <w:rFonts w:ascii="Tahoma" w:hAnsi="Tahoma" w:cs="Tahoma"/>
          <w:color w:val="222222"/>
        </w:rPr>
        <w:t xml:space="preserve">A confirmed case requires </w:t>
      </w:r>
      <w:r w:rsidRPr="00900D6C">
        <w:rPr>
          <w:rStyle w:val="Strong"/>
          <w:rFonts w:ascii="Tahoma" w:hAnsi="Tahoma" w:cs="Tahoma"/>
          <w:color w:val="222222"/>
        </w:rPr>
        <w:t>Laboratory definitive evidence</w:t>
      </w:r>
      <w:r w:rsidRPr="00900D6C">
        <w:rPr>
          <w:rFonts w:ascii="Tahoma" w:hAnsi="Tahoma" w:cs="Tahoma"/>
          <w:color w:val="222222"/>
        </w:rPr>
        <w:t xml:space="preserve"> only.</w:t>
      </w:r>
    </w:p>
    <w:p w14:paraId="05ABB38C" w14:textId="77777777" w:rsidR="001230F2" w:rsidRPr="00900D6C" w:rsidRDefault="001230F2" w:rsidP="00900D6C">
      <w:pPr>
        <w:pStyle w:val="Heading5"/>
        <w:rPr>
          <w:color w:val="000000"/>
        </w:rPr>
      </w:pPr>
      <w:r w:rsidRPr="00900D6C">
        <w:t>Laboratory definitive evidence</w:t>
      </w:r>
    </w:p>
    <w:p w14:paraId="2713ADFE" w14:textId="34CEC748" w:rsidR="0068287E" w:rsidRPr="00900D6C" w:rsidRDefault="0068287E" w:rsidP="00EA19BA">
      <w:pPr>
        <w:ind w:right="-46"/>
      </w:pPr>
      <w:proofErr w:type="gramStart"/>
      <w:r w:rsidRPr="00900D6C">
        <w:t xml:space="preserve">Isolation or detection of </w:t>
      </w:r>
      <w:r w:rsidRPr="00900D6C">
        <w:rPr>
          <w:i/>
        </w:rPr>
        <w:t xml:space="preserve">Salmonella </w:t>
      </w:r>
      <w:proofErr w:type="spellStart"/>
      <w:r w:rsidRPr="00900D6C">
        <w:t>Paratyphi</w:t>
      </w:r>
      <w:proofErr w:type="spellEnd"/>
      <w:r w:rsidRPr="00900D6C">
        <w:t xml:space="preserve"> A or </w:t>
      </w:r>
      <w:r w:rsidRPr="00900D6C">
        <w:rPr>
          <w:i/>
        </w:rPr>
        <w:t>S.</w:t>
      </w:r>
      <w:r w:rsidRPr="00900D6C">
        <w:t xml:space="preserve"> </w:t>
      </w:r>
      <w:proofErr w:type="spellStart"/>
      <w:r w:rsidRPr="00900D6C">
        <w:t>Paratyphi</w:t>
      </w:r>
      <w:proofErr w:type="spellEnd"/>
      <w:r w:rsidRPr="00900D6C">
        <w:t xml:space="preserve"> B (excluding </w:t>
      </w:r>
      <w:r w:rsidRPr="00900D6C">
        <w:rPr>
          <w:i/>
        </w:rPr>
        <w:t>S.</w:t>
      </w:r>
      <w:r w:rsidRPr="00900D6C">
        <w:t xml:space="preserve"> </w:t>
      </w:r>
      <w:proofErr w:type="spellStart"/>
      <w:r w:rsidRPr="00900D6C">
        <w:t>Paratyphi</w:t>
      </w:r>
      <w:proofErr w:type="spellEnd"/>
      <w:r w:rsidRPr="00900D6C">
        <w:t xml:space="preserve"> B </w:t>
      </w:r>
      <w:proofErr w:type="spellStart"/>
      <w:r w:rsidRPr="00900D6C">
        <w:t>biovar</w:t>
      </w:r>
      <w:proofErr w:type="spellEnd"/>
      <w:r w:rsidRPr="00900D6C">
        <w:t xml:space="preserve"> Java) or </w:t>
      </w:r>
      <w:r w:rsidRPr="00900D6C">
        <w:rPr>
          <w:i/>
        </w:rPr>
        <w:t>S.</w:t>
      </w:r>
      <w:r w:rsidRPr="00900D6C">
        <w:t xml:space="preserve"> </w:t>
      </w:r>
      <w:proofErr w:type="spellStart"/>
      <w:r w:rsidRPr="00900D6C">
        <w:t>Paratyphi</w:t>
      </w:r>
      <w:proofErr w:type="spellEnd"/>
      <w:r w:rsidRPr="00900D6C">
        <w:t xml:space="preserve"> C.</w:t>
      </w:r>
      <w:proofErr w:type="gramEnd"/>
    </w:p>
    <w:p w14:paraId="39E64269" w14:textId="7D77506E" w:rsidR="0092728B" w:rsidRPr="00900D6C" w:rsidRDefault="002A4B69" w:rsidP="00EA19BA">
      <w:pPr>
        <w:ind w:right="-46"/>
      </w:pPr>
      <w:r w:rsidRPr="0098447C">
        <w:t>Case definitions</w:t>
      </w:r>
      <w:r w:rsidRPr="00900D6C">
        <w:t xml:space="preserve"> </w:t>
      </w:r>
      <w:r w:rsidR="00852396" w:rsidRPr="00900D6C">
        <w:t xml:space="preserve">can be </w:t>
      </w:r>
      <w:r w:rsidRPr="00900D6C">
        <w:t xml:space="preserve">found </w:t>
      </w:r>
      <w:r w:rsidR="00852396" w:rsidRPr="00900D6C">
        <w:t xml:space="preserve">on the </w:t>
      </w:r>
      <w:r w:rsidR="00852396" w:rsidRPr="0098447C">
        <w:t>Department of Health’s website</w:t>
      </w:r>
      <w:r w:rsidR="00884DF8" w:rsidRPr="00900D6C">
        <w:t xml:space="preserve"> </w:t>
      </w:r>
      <w:r w:rsidR="00900D6C">
        <w:t>(</w:t>
      </w:r>
      <w:r w:rsidR="0068287E" w:rsidRPr="00900D6C">
        <w:t>http://www.health.gov.au/casedefinitions</w:t>
      </w:r>
      <w:r w:rsidR="00900D6C">
        <w:t>).</w:t>
      </w:r>
    </w:p>
    <w:p w14:paraId="518E81BF" w14:textId="77777777" w:rsidR="00C27EEE" w:rsidRPr="00193BD1" w:rsidRDefault="002A4B69" w:rsidP="00193BD1">
      <w:pPr>
        <w:pStyle w:val="Heading1"/>
      </w:pPr>
      <w:r w:rsidRPr="00193BD1">
        <w:t>8. Laboratory testing</w:t>
      </w:r>
    </w:p>
    <w:p w14:paraId="631460CA" w14:textId="0F0B65F8" w:rsidR="00C27EEE" w:rsidRPr="00900D6C" w:rsidRDefault="00E83171" w:rsidP="00EA19BA">
      <w:pPr>
        <w:ind w:right="-46"/>
      </w:pPr>
      <w:r w:rsidRPr="00900D6C">
        <w:t xml:space="preserve">Definitive diagnosis of </w:t>
      </w:r>
      <w:r w:rsidR="00D93538" w:rsidRPr="00900D6C">
        <w:t xml:space="preserve">typhoid or paratyphoid </w:t>
      </w:r>
      <w:r w:rsidRPr="00900D6C">
        <w:t>fever is by culture of the organism from blood</w:t>
      </w:r>
      <w:r w:rsidR="005C03B4" w:rsidRPr="00900D6C">
        <w:t>,</w:t>
      </w:r>
      <w:r w:rsidRPr="00900D6C">
        <w:t xml:space="preserve"> faeces</w:t>
      </w:r>
      <w:r w:rsidR="00D93538" w:rsidRPr="00900D6C">
        <w:t>,</w:t>
      </w:r>
      <w:r w:rsidR="005C03B4" w:rsidRPr="00900D6C">
        <w:t xml:space="preserve"> bone marrow or urine</w:t>
      </w:r>
      <w:r w:rsidRPr="00900D6C">
        <w:t xml:space="preserve">. The causal organisms can be isolated from blood early in the disease and from urine </w:t>
      </w:r>
      <w:r w:rsidR="005F2C50" w:rsidRPr="00900D6C">
        <w:t xml:space="preserve">and faeces after the first week </w:t>
      </w:r>
      <w:r w:rsidR="00162C20" w:rsidRPr="00900D6C">
        <w:t>(</w:t>
      </w:r>
      <w:r w:rsidR="00196AAD" w:rsidRPr="00900D6C">
        <w:t>7</w:t>
      </w:r>
      <w:r w:rsidR="00162C20" w:rsidRPr="00900D6C">
        <w:t>)</w:t>
      </w:r>
      <w:r w:rsidRPr="00900D6C">
        <w:t>.</w:t>
      </w:r>
      <w:r w:rsidR="00A50734" w:rsidRPr="00900D6C">
        <w:t xml:space="preserve"> The s</w:t>
      </w:r>
      <w:r w:rsidR="006E21A3" w:rsidRPr="00900D6C">
        <w:t xml:space="preserve">ensitivity </w:t>
      </w:r>
      <w:r w:rsidR="00A50734" w:rsidRPr="00900D6C">
        <w:t xml:space="preserve">of blood culture </w:t>
      </w:r>
      <w:r w:rsidR="006E21A3" w:rsidRPr="00900D6C">
        <w:t xml:space="preserve">ranges from </w:t>
      </w:r>
      <w:r w:rsidR="00FD1757" w:rsidRPr="00900D6C">
        <w:t>45</w:t>
      </w:r>
      <w:r w:rsidR="006E21A3" w:rsidRPr="00900D6C">
        <w:t xml:space="preserve"> to </w:t>
      </w:r>
      <w:r w:rsidR="00FD1757" w:rsidRPr="00900D6C">
        <w:t>7</w:t>
      </w:r>
      <w:r w:rsidR="006E21A3" w:rsidRPr="00900D6C">
        <w:t xml:space="preserve">0% for </w:t>
      </w:r>
      <w:r w:rsidR="006E21A3" w:rsidRPr="00900D6C">
        <w:rPr>
          <w:rStyle w:val="Emphasis"/>
          <w:rFonts w:cs="Tahoma"/>
          <w:color w:val="222222"/>
        </w:rPr>
        <w:t>S.</w:t>
      </w:r>
      <w:r w:rsidR="00573F23" w:rsidRPr="00900D6C">
        <w:rPr>
          <w:rStyle w:val="Emphasis"/>
          <w:rFonts w:cs="Tahoma"/>
          <w:color w:val="222222"/>
        </w:rPr>
        <w:t xml:space="preserve"> </w:t>
      </w:r>
      <w:proofErr w:type="spellStart"/>
      <w:r w:rsidR="006E21A3" w:rsidRPr="00900D6C">
        <w:rPr>
          <w:rStyle w:val="Emphasis"/>
          <w:rFonts w:cs="Tahoma"/>
          <w:i w:val="0"/>
          <w:color w:val="222222"/>
        </w:rPr>
        <w:t>Typhi</w:t>
      </w:r>
      <w:proofErr w:type="spellEnd"/>
      <w:r w:rsidR="006E21A3" w:rsidRPr="00900D6C">
        <w:rPr>
          <w:rStyle w:val="Emphasis"/>
          <w:rFonts w:cs="Tahoma"/>
          <w:i w:val="0"/>
          <w:color w:val="222222"/>
        </w:rPr>
        <w:t xml:space="preserve"> </w:t>
      </w:r>
      <w:r w:rsidR="001F6F9D" w:rsidRPr="00900D6C">
        <w:rPr>
          <w:rStyle w:val="Emphasis"/>
          <w:rFonts w:cs="Tahoma"/>
          <w:i w:val="0"/>
          <w:color w:val="222222"/>
        </w:rPr>
        <w:t>(</w:t>
      </w:r>
      <w:r w:rsidR="00196AAD" w:rsidRPr="00900D6C">
        <w:rPr>
          <w:rStyle w:val="Emphasis"/>
          <w:rFonts w:cs="Tahoma"/>
          <w:i w:val="0"/>
          <w:color w:val="222222"/>
        </w:rPr>
        <w:t>40</w:t>
      </w:r>
      <w:r w:rsidR="001F6F9D" w:rsidRPr="00900D6C">
        <w:rPr>
          <w:rStyle w:val="Emphasis"/>
          <w:rFonts w:cs="Tahoma"/>
          <w:i w:val="0"/>
          <w:color w:val="222222"/>
        </w:rPr>
        <w:t>)</w:t>
      </w:r>
      <w:r w:rsidR="006E21A3" w:rsidRPr="00900D6C">
        <w:rPr>
          <w:rStyle w:val="Emphasis"/>
          <w:rFonts w:cs="Tahoma"/>
          <w:i w:val="0"/>
          <w:color w:val="222222"/>
        </w:rPr>
        <w:t xml:space="preserve">. </w:t>
      </w:r>
      <w:r w:rsidR="00C27EEE" w:rsidRPr="00900D6C">
        <w:t xml:space="preserve">A large volume of blood and </w:t>
      </w:r>
      <w:r w:rsidR="008B6B2C" w:rsidRPr="00900D6C">
        <w:t xml:space="preserve">early </w:t>
      </w:r>
      <w:r w:rsidR="00C27EEE" w:rsidRPr="00900D6C">
        <w:t xml:space="preserve">collection </w:t>
      </w:r>
      <w:r w:rsidR="008B6B2C" w:rsidRPr="00900D6C">
        <w:t xml:space="preserve">of samples from patients </w:t>
      </w:r>
      <w:r w:rsidR="001E31FF" w:rsidRPr="00900D6C">
        <w:t>improves sensitivity</w:t>
      </w:r>
      <w:r w:rsidR="00CD0879" w:rsidRPr="00900D6C">
        <w:t xml:space="preserve"> </w:t>
      </w:r>
      <w:r w:rsidR="001F6F9D" w:rsidRPr="00900D6C">
        <w:t>(</w:t>
      </w:r>
      <w:r w:rsidR="00196AAD" w:rsidRPr="00900D6C">
        <w:t>21</w:t>
      </w:r>
      <w:r w:rsidR="001F6F9D" w:rsidRPr="00900D6C">
        <w:t>)</w:t>
      </w:r>
      <w:r w:rsidR="001E31FF" w:rsidRPr="00900D6C">
        <w:t xml:space="preserve">. Culture of bone marrow </w:t>
      </w:r>
      <w:r w:rsidR="008B6B2C" w:rsidRPr="00900D6C">
        <w:t xml:space="preserve">aspirate </w:t>
      </w:r>
      <w:r w:rsidR="001E31FF" w:rsidRPr="00900D6C">
        <w:t>is more sensitive than blood culture</w:t>
      </w:r>
      <w:r w:rsidR="00C27EEE" w:rsidRPr="00900D6C">
        <w:t xml:space="preserve"> </w:t>
      </w:r>
      <w:r w:rsidR="00171CE2" w:rsidRPr="00900D6C">
        <w:t xml:space="preserve">and </w:t>
      </w:r>
      <w:r w:rsidR="003E5D5F" w:rsidRPr="00900D6C">
        <w:t xml:space="preserve">is </w:t>
      </w:r>
      <w:r w:rsidR="00171CE2" w:rsidRPr="00900D6C">
        <w:t xml:space="preserve">of value </w:t>
      </w:r>
      <w:r w:rsidR="00C27EEE" w:rsidRPr="00900D6C">
        <w:t>in patients who have commenced treatment</w:t>
      </w:r>
      <w:r w:rsidR="007B2B02" w:rsidRPr="00900D6C">
        <w:t xml:space="preserve"> </w:t>
      </w:r>
      <w:r w:rsidR="00162C20" w:rsidRPr="00900D6C">
        <w:t>(</w:t>
      </w:r>
      <w:r w:rsidR="00196AAD" w:rsidRPr="00900D6C">
        <w:t>6</w:t>
      </w:r>
      <w:r w:rsidR="00162C20" w:rsidRPr="00900D6C">
        <w:t>)</w:t>
      </w:r>
      <w:r w:rsidR="00171CE2" w:rsidRPr="00900D6C">
        <w:t>,</w:t>
      </w:r>
      <w:r w:rsidR="001E31FF" w:rsidRPr="00900D6C">
        <w:t xml:space="preserve"> </w:t>
      </w:r>
      <w:r w:rsidR="008B6B2C" w:rsidRPr="00900D6C">
        <w:t>who have a long history of illness and for whom there has been a negative blood culture with the recommended volume of blood</w:t>
      </w:r>
      <w:r w:rsidR="00CD34B5" w:rsidRPr="00900D6C">
        <w:t>, where the diagnosis is still being considered</w:t>
      </w:r>
      <w:r w:rsidR="008B6B2C" w:rsidRPr="00900D6C">
        <w:t>.</w:t>
      </w:r>
      <w:r w:rsidR="00583179" w:rsidRPr="00900D6C">
        <w:t xml:space="preserve"> </w:t>
      </w:r>
      <w:r w:rsidR="00CD34B5" w:rsidRPr="00900D6C">
        <w:t>S</w:t>
      </w:r>
      <w:r w:rsidR="00583179" w:rsidRPr="00900D6C">
        <w:t xml:space="preserve">ampling of marrow is not often performed because it requires </w:t>
      </w:r>
      <w:r w:rsidR="00CD34B5" w:rsidRPr="00900D6C">
        <w:t>skill</w:t>
      </w:r>
      <w:r w:rsidR="008F1EF8" w:rsidRPr="00900D6C">
        <w:t xml:space="preserve"> and</w:t>
      </w:r>
      <w:r w:rsidR="00CD34B5" w:rsidRPr="00900D6C">
        <w:t xml:space="preserve"> specialised </w:t>
      </w:r>
      <w:r w:rsidR="00583179" w:rsidRPr="00900D6C">
        <w:t>equipment</w:t>
      </w:r>
      <w:r w:rsidR="001654B3" w:rsidRPr="00900D6C">
        <w:t>,</w:t>
      </w:r>
      <w:r w:rsidR="00583179" w:rsidRPr="00900D6C">
        <w:t xml:space="preserve"> and </w:t>
      </w:r>
      <w:r w:rsidR="001654B3" w:rsidRPr="00900D6C">
        <w:t xml:space="preserve">it </w:t>
      </w:r>
      <w:r w:rsidR="00583179" w:rsidRPr="00900D6C">
        <w:t xml:space="preserve">is </w:t>
      </w:r>
      <w:r w:rsidR="00CD34B5" w:rsidRPr="00900D6C">
        <w:t>an invasive procedure</w:t>
      </w:r>
      <w:r w:rsidR="007B2B02" w:rsidRPr="00900D6C">
        <w:t xml:space="preserve"> </w:t>
      </w:r>
      <w:r w:rsidR="001F6F9D" w:rsidRPr="00900D6C">
        <w:t>(</w:t>
      </w:r>
      <w:r w:rsidR="00196AAD" w:rsidRPr="00900D6C">
        <w:t>41</w:t>
      </w:r>
      <w:r w:rsidR="001F6F9D" w:rsidRPr="00900D6C">
        <w:t>)</w:t>
      </w:r>
      <w:r w:rsidR="00583179" w:rsidRPr="00900D6C">
        <w:t>.</w:t>
      </w:r>
    </w:p>
    <w:p w14:paraId="588364FF" w14:textId="49B89AE7" w:rsidR="00C155F9" w:rsidRPr="00900D6C" w:rsidRDefault="00C155F9" w:rsidP="00EA19BA">
      <w:pPr>
        <w:ind w:right="-46"/>
      </w:pPr>
      <w:r w:rsidRPr="00900D6C">
        <w:t>Faeca</w:t>
      </w:r>
      <w:r w:rsidR="00A45E01" w:rsidRPr="00900D6C">
        <w:t>l</w:t>
      </w:r>
      <w:r w:rsidRPr="00900D6C">
        <w:t xml:space="preserve"> culture is not usually positive during the early phase of the disease. </w:t>
      </w:r>
      <w:r w:rsidR="007C5CCF" w:rsidRPr="00900D6C">
        <w:t xml:space="preserve">The sensitivity of </w:t>
      </w:r>
      <w:r w:rsidR="00832C7A" w:rsidRPr="00900D6C">
        <w:t xml:space="preserve">faecal </w:t>
      </w:r>
      <w:r w:rsidR="007C5CCF" w:rsidRPr="00900D6C">
        <w:t xml:space="preserve">culture increases with the duration of the illness. </w:t>
      </w:r>
      <w:r w:rsidR="00832C7A" w:rsidRPr="00900D6C">
        <w:t>However, b</w:t>
      </w:r>
      <w:r w:rsidRPr="00900D6C">
        <w:t xml:space="preserve">acterial shedding in </w:t>
      </w:r>
      <w:r w:rsidR="00C32980" w:rsidRPr="00900D6C">
        <w:t>faeces</w:t>
      </w:r>
      <w:r w:rsidRPr="00900D6C">
        <w:t xml:space="preserve"> is irregular and the sensitivity of </w:t>
      </w:r>
      <w:r w:rsidR="00C32980" w:rsidRPr="00900D6C">
        <w:t xml:space="preserve">faecal </w:t>
      </w:r>
      <w:r w:rsidRPr="00900D6C">
        <w:t>culture depends on the amount of faeces cultured and number of samples tested</w:t>
      </w:r>
      <w:r w:rsidR="00CD0879" w:rsidRPr="00900D6C">
        <w:t xml:space="preserve">. Antigen excretion in urine is intermittent and the sensitivity of urine culture is less than 1% </w:t>
      </w:r>
      <w:r w:rsidR="001F6F9D" w:rsidRPr="00900D6C">
        <w:t>(</w:t>
      </w:r>
      <w:r w:rsidR="00196AAD" w:rsidRPr="00900D6C">
        <w:t>21</w:t>
      </w:r>
      <w:r w:rsidR="001F6F9D" w:rsidRPr="00900D6C">
        <w:t>)</w:t>
      </w:r>
      <w:r w:rsidRPr="00900D6C">
        <w:t>.</w:t>
      </w:r>
    </w:p>
    <w:p w14:paraId="2D76A914" w14:textId="4A1CAC7E" w:rsidR="00583179" w:rsidRPr="00900D6C" w:rsidRDefault="005C03B4" w:rsidP="00EA19BA">
      <w:pPr>
        <w:ind w:right="-46"/>
        <w:rPr>
          <w:shd w:val="clear" w:color="auto" w:fill="FFFFFF"/>
        </w:rPr>
      </w:pPr>
      <w:r w:rsidRPr="00900D6C">
        <w:rPr>
          <w:shd w:val="clear" w:color="auto" w:fill="FFFFFF"/>
        </w:rPr>
        <w:t>A</w:t>
      </w:r>
      <w:r w:rsidR="00583179" w:rsidRPr="00900D6C">
        <w:rPr>
          <w:shd w:val="clear" w:color="auto" w:fill="FFFFFF"/>
        </w:rPr>
        <w:t xml:space="preserve">ntibiotic resistance among </w:t>
      </w:r>
      <w:r w:rsidR="00583179" w:rsidRPr="00900D6C">
        <w:rPr>
          <w:i/>
          <w:shd w:val="clear" w:color="auto" w:fill="FFFFFF"/>
        </w:rPr>
        <w:t>S</w:t>
      </w:r>
      <w:r w:rsidR="00583179" w:rsidRPr="00900D6C">
        <w:rPr>
          <w:shd w:val="clear" w:color="auto" w:fill="FFFFFF"/>
        </w:rPr>
        <w:t xml:space="preserve">. </w:t>
      </w:r>
      <w:proofErr w:type="spellStart"/>
      <w:r w:rsidR="00171CE2" w:rsidRPr="00900D6C">
        <w:rPr>
          <w:shd w:val="clear" w:color="auto" w:fill="FFFFFF"/>
        </w:rPr>
        <w:t>T</w:t>
      </w:r>
      <w:r w:rsidR="00583179" w:rsidRPr="00900D6C">
        <w:rPr>
          <w:shd w:val="clear" w:color="auto" w:fill="FFFFFF"/>
        </w:rPr>
        <w:t>yphi</w:t>
      </w:r>
      <w:proofErr w:type="spellEnd"/>
      <w:r w:rsidR="00C405FF" w:rsidRPr="00900D6C">
        <w:rPr>
          <w:shd w:val="clear" w:color="auto" w:fill="FFFFFF"/>
        </w:rPr>
        <w:t xml:space="preserve"> and </w:t>
      </w:r>
      <w:r w:rsidR="00C405FF" w:rsidRPr="00900D6C">
        <w:rPr>
          <w:i/>
        </w:rPr>
        <w:t>S</w:t>
      </w:r>
      <w:r w:rsidR="00C405FF" w:rsidRPr="00900D6C">
        <w:t xml:space="preserve">. </w:t>
      </w:r>
      <w:proofErr w:type="spellStart"/>
      <w:r w:rsidR="00C405FF" w:rsidRPr="00900D6C">
        <w:t>Paratyphi</w:t>
      </w:r>
      <w:proofErr w:type="spellEnd"/>
      <w:r w:rsidR="00583179" w:rsidRPr="00900D6C">
        <w:rPr>
          <w:shd w:val="clear" w:color="auto" w:fill="FFFFFF"/>
        </w:rPr>
        <w:t xml:space="preserve"> isolates is </w:t>
      </w:r>
      <w:r w:rsidRPr="00900D6C">
        <w:rPr>
          <w:shd w:val="clear" w:color="auto" w:fill="FFFFFF"/>
        </w:rPr>
        <w:t>increasing</w:t>
      </w:r>
      <w:r w:rsidR="00583179" w:rsidRPr="00900D6C">
        <w:rPr>
          <w:shd w:val="clear" w:color="auto" w:fill="FFFFFF"/>
        </w:rPr>
        <w:t xml:space="preserve"> in many </w:t>
      </w:r>
      <w:r w:rsidR="001F711F" w:rsidRPr="00900D6C">
        <w:rPr>
          <w:shd w:val="clear" w:color="auto" w:fill="FFFFFF"/>
        </w:rPr>
        <w:t xml:space="preserve">endemic </w:t>
      </w:r>
      <w:r w:rsidR="00583179" w:rsidRPr="00900D6C">
        <w:rPr>
          <w:shd w:val="clear" w:color="auto" w:fill="FFFFFF"/>
        </w:rPr>
        <w:t>countries</w:t>
      </w:r>
      <w:r w:rsidR="00E83171" w:rsidRPr="00900D6C">
        <w:rPr>
          <w:shd w:val="clear" w:color="auto" w:fill="FFFFFF"/>
        </w:rPr>
        <w:t xml:space="preserve"> </w:t>
      </w:r>
      <w:r w:rsidR="00162C20" w:rsidRPr="00900D6C">
        <w:rPr>
          <w:shd w:val="clear" w:color="auto" w:fill="FFFFFF"/>
        </w:rPr>
        <w:t>(</w:t>
      </w:r>
      <w:r w:rsidR="00196AAD" w:rsidRPr="00900D6C">
        <w:rPr>
          <w:shd w:val="clear" w:color="auto" w:fill="FFFFFF"/>
        </w:rPr>
        <w:t>7</w:t>
      </w:r>
      <w:r w:rsidR="00162C20" w:rsidRPr="00900D6C">
        <w:rPr>
          <w:shd w:val="clear" w:color="auto" w:fill="FFFFFF"/>
        </w:rPr>
        <w:t>)</w:t>
      </w:r>
      <w:r w:rsidR="00583179" w:rsidRPr="00900D6C">
        <w:rPr>
          <w:shd w:val="clear" w:color="auto" w:fill="FFFFFF"/>
        </w:rPr>
        <w:t xml:space="preserve">, and multidrug-resistant strains have been isolated, as well as isolates with poor susceptibility to </w:t>
      </w:r>
      <w:proofErr w:type="spellStart"/>
      <w:r w:rsidR="00583179" w:rsidRPr="00900D6C">
        <w:rPr>
          <w:shd w:val="clear" w:color="auto" w:fill="FFFFFF"/>
        </w:rPr>
        <w:t>fluoroquinolones</w:t>
      </w:r>
      <w:proofErr w:type="spellEnd"/>
      <w:r w:rsidRPr="00900D6C">
        <w:rPr>
          <w:shd w:val="clear" w:color="auto" w:fill="FFFFFF"/>
        </w:rPr>
        <w:t xml:space="preserve">. </w:t>
      </w:r>
      <w:r w:rsidRPr="00900D6C">
        <w:rPr>
          <w:i/>
          <w:shd w:val="clear" w:color="auto" w:fill="FFFFFF"/>
        </w:rPr>
        <w:t>I</w:t>
      </w:r>
      <w:r w:rsidR="00583179" w:rsidRPr="00900D6C">
        <w:rPr>
          <w:i/>
          <w:shd w:val="clear" w:color="auto" w:fill="FFFFFF"/>
        </w:rPr>
        <w:t>n vitro</w:t>
      </w:r>
      <w:r w:rsidR="00583179" w:rsidRPr="00900D6C">
        <w:rPr>
          <w:shd w:val="clear" w:color="auto" w:fill="FFFFFF"/>
        </w:rPr>
        <w:t xml:space="preserve"> susceptibility should be determined for all cultured strains, </w:t>
      </w:r>
      <w:r w:rsidR="00171CE2" w:rsidRPr="00900D6C">
        <w:rPr>
          <w:shd w:val="clear" w:color="auto" w:fill="FFFFFF"/>
        </w:rPr>
        <w:t>to guide</w:t>
      </w:r>
      <w:r w:rsidR="00583179" w:rsidRPr="00900D6C">
        <w:rPr>
          <w:shd w:val="clear" w:color="auto" w:fill="FFFFFF"/>
        </w:rPr>
        <w:t xml:space="preserve"> antimicrobial treatment.</w:t>
      </w:r>
    </w:p>
    <w:p w14:paraId="2D6E69B1" w14:textId="38F0EEAC" w:rsidR="00766C68" w:rsidRPr="00900D6C" w:rsidRDefault="00766C68" w:rsidP="00EA19BA">
      <w:pPr>
        <w:ind w:right="-46"/>
        <w:rPr>
          <w:rFonts w:eastAsia="Times New Roman" w:cs="Tahoma"/>
          <w:color w:val="000000"/>
          <w:lang w:eastAsia="en-AU"/>
        </w:rPr>
      </w:pPr>
      <w:r w:rsidRPr="00900D6C">
        <w:t xml:space="preserve">Differentiation of </w:t>
      </w:r>
      <w:r w:rsidR="00C405FF" w:rsidRPr="00900D6C">
        <w:rPr>
          <w:i/>
        </w:rPr>
        <w:t>S</w:t>
      </w:r>
      <w:r w:rsidR="00C405FF" w:rsidRPr="00900D6C">
        <w:t>.</w:t>
      </w:r>
      <w:r w:rsidR="007F580C" w:rsidRPr="00900D6C">
        <w:t xml:space="preserve"> </w:t>
      </w:r>
      <w:proofErr w:type="spellStart"/>
      <w:r w:rsidRPr="00900D6C">
        <w:t>Paratyphi</w:t>
      </w:r>
      <w:proofErr w:type="spellEnd"/>
      <w:r w:rsidRPr="00900D6C">
        <w:t xml:space="preserve"> B from</w:t>
      </w:r>
      <w:r w:rsidR="00C405FF" w:rsidRPr="00900D6C">
        <w:t xml:space="preserve"> </w:t>
      </w:r>
      <w:r w:rsidR="00C405FF" w:rsidRPr="00900D6C">
        <w:rPr>
          <w:i/>
        </w:rPr>
        <w:t>S</w:t>
      </w:r>
      <w:r w:rsidR="00C405FF" w:rsidRPr="00900D6C">
        <w:t>.</w:t>
      </w:r>
      <w:r w:rsidRPr="00900D6C">
        <w:t xml:space="preserve"> </w:t>
      </w:r>
      <w:proofErr w:type="spellStart"/>
      <w:r w:rsidRPr="00900D6C">
        <w:t>Paratyphi</w:t>
      </w:r>
      <w:proofErr w:type="spellEnd"/>
      <w:r w:rsidRPr="00900D6C">
        <w:t xml:space="preserve"> B </w:t>
      </w:r>
      <w:proofErr w:type="spellStart"/>
      <w:r w:rsidR="00A4695B" w:rsidRPr="00900D6C">
        <w:t>biovar</w:t>
      </w:r>
      <w:proofErr w:type="spellEnd"/>
      <w:r w:rsidR="00A4695B" w:rsidRPr="00900D6C">
        <w:t xml:space="preserve"> </w:t>
      </w:r>
      <w:r w:rsidRPr="00900D6C">
        <w:t xml:space="preserve">Java requires special laboratory testing. This </w:t>
      </w:r>
      <w:r w:rsidR="00262D02" w:rsidRPr="00900D6C">
        <w:t xml:space="preserve">testing </w:t>
      </w:r>
      <w:r w:rsidRPr="00900D6C">
        <w:t xml:space="preserve">is important because </w:t>
      </w:r>
      <w:r w:rsidR="007F580C" w:rsidRPr="00900D6C">
        <w:rPr>
          <w:i/>
        </w:rPr>
        <w:t>S.</w:t>
      </w:r>
      <w:r w:rsidRPr="00900D6C">
        <w:t xml:space="preserve"> </w:t>
      </w:r>
      <w:proofErr w:type="spellStart"/>
      <w:r w:rsidRPr="00900D6C">
        <w:t>Paratyphi</w:t>
      </w:r>
      <w:proofErr w:type="spellEnd"/>
      <w:r w:rsidRPr="00900D6C">
        <w:t xml:space="preserve"> B </w:t>
      </w:r>
      <w:proofErr w:type="spellStart"/>
      <w:r w:rsidR="00A4695B" w:rsidRPr="00900D6C">
        <w:t>biovar</w:t>
      </w:r>
      <w:proofErr w:type="spellEnd"/>
      <w:r w:rsidR="00A4695B" w:rsidRPr="00900D6C">
        <w:t xml:space="preserve"> </w:t>
      </w:r>
      <w:r w:rsidR="00C155F9" w:rsidRPr="00900D6C">
        <w:t xml:space="preserve">Java </w:t>
      </w:r>
      <w:r w:rsidRPr="00900D6C">
        <w:t xml:space="preserve">causes a typical </w:t>
      </w:r>
      <w:r w:rsidRPr="00900D6C">
        <w:rPr>
          <w:i/>
        </w:rPr>
        <w:t>Salmonella</w:t>
      </w:r>
      <w:r w:rsidRPr="00900D6C">
        <w:t xml:space="preserve"> gastroenteritis instead of enteric </w:t>
      </w:r>
      <w:r w:rsidR="00CE187D" w:rsidRPr="00900D6C">
        <w:t>fever</w:t>
      </w:r>
      <w:r w:rsidR="00AD0FA0" w:rsidRPr="00900D6C">
        <w:t xml:space="preserve"> </w:t>
      </w:r>
      <w:r w:rsidR="001F6F9D" w:rsidRPr="00900D6C">
        <w:t>(</w:t>
      </w:r>
      <w:r w:rsidR="00196AAD" w:rsidRPr="00900D6C">
        <w:t>42</w:t>
      </w:r>
      <w:r w:rsidR="001F6F9D" w:rsidRPr="00900D6C">
        <w:t>)</w:t>
      </w:r>
      <w:r w:rsidR="00CE187D" w:rsidRPr="00900D6C">
        <w:t xml:space="preserve"> and may not require</w:t>
      </w:r>
      <w:r w:rsidR="00DE31AE" w:rsidRPr="00900D6C">
        <w:t xml:space="preserve"> </w:t>
      </w:r>
      <w:r w:rsidR="00CE187D" w:rsidRPr="00900D6C">
        <w:t>the same public</w:t>
      </w:r>
      <w:r w:rsidR="00B01276" w:rsidRPr="00900D6C">
        <w:t>-</w:t>
      </w:r>
      <w:r w:rsidR="00CE187D" w:rsidRPr="00900D6C">
        <w:t>health follow</w:t>
      </w:r>
      <w:r w:rsidR="00B05ED8" w:rsidRPr="00900D6C">
        <w:t>-</w:t>
      </w:r>
      <w:r w:rsidR="00CE187D" w:rsidRPr="00900D6C">
        <w:t>up</w:t>
      </w:r>
      <w:r w:rsidRPr="00900D6C">
        <w:t>.</w:t>
      </w:r>
      <w:r w:rsidR="00A23462" w:rsidRPr="00900D6C">
        <w:t xml:space="preserve"> Current laboratory confirmation that an isolate is </w:t>
      </w:r>
      <w:r w:rsidR="00A23462" w:rsidRPr="00900D6C">
        <w:rPr>
          <w:i/>
        </w:rPr>
        <w:t>S.</w:t>
      </w:r>
      <w:r w:rsidR="00A23462" w:rsidRPr="00900D6C">
        <w:t xml:space="preserve"> </w:t>
      </w:r>
      <w:proofErr w:type="spellStart"/>
      <w:r w:rsidR="00A23462" w:rsidRPr="00900D6C">
        <w:t>Paratyphi</w:t>
      </w:r>
      <w:proofErr w:type="spellEnd"/>
      <w:r w:rsidR="00A23462" w:rsidRPr="00900D6C">
        <w:t xml:space="preserve"> B </w:t>
      </w:r>
      <w:proofErr w:type="spellStart"/>
      <w:r w:rsidR="00A23462" w:rsidRPr="00900D6C">
        <w:t>biovar</w:t>
      </w:r>
      <w:proofErr w:type="spellEnd"/>
      <w:r w:rsidR="00A23462" w:rsidRPr="00900D6C">
        <w:t xml:space="preserve"> Java takes </w:t>
      </w:r>
      <w:r w:rsidR="0019735A" w:rsidRPr="00900D6C">
        <w:t xml:space="preserve">approximately </w:t>
      </w:r>
      <w:r w:rsidR="008F1EF8" w:rsidRPr="00900D6C">
        <w:t>three</w:t>
      </w:r>
      <w:r w:rsidR="00A23462" w:rsidRPr="00900D6C">
        <w:t xml:space="preserve"> days</w:t>
      </w:r>
      <w:r w:rsidR="0019735A" w:rsidRPr="00900D6C">
        <w:t xml:space="preserve"> from receipt of the specimen by the lab</w:t>
      </w:r>
      <w:r w:rsidR="00A23462" w:rsidRPr="00900D6C">
        <w:rPr>
          <w:rStyle w:val="FootnoteReference"/>
        </w:rPr>
        <w:footnoteReference w:id="1"/>
      </w:r>
      <w:r w:rsidR="005B19AE" w:rsidRPr="00900D6C">
        <w:t>. The</w:t>
      </w:r>
      <w:r w:rsidR="00674CF9" w:rsidRPr="00900D6C">
        <w:t xml:space="preserve"> </w:t>
      </w:r>
      <w:r w:rsidR="006D1F6D" w:rsidRPr="00900D6C">
        <w:t>public</w:t>
      </w:r>
      <w:r w:rsidR="00B05ED8" w:rsidRPr="00900D6C">
        <w:t>-</w:t>
      </w:r>
      <w:r w:rsidR="006D1F6D" w:rsidRPr="00900D6C">
        <w:t xml:space="preserve">health response </w:t>
      </w:r>
      <w:r w:rsidR="005B19AE" w:rsidRPr="00900D6C">
        <w:t xml:space="preserve">to a possible </w:t>
      </w:r>
      <w:r w:rsidR="005B19AE" w:rsidRPr="00900D6C">
        <w:rPr>
          <w:i/>
        </w:rPr>
        <w:t>S</w:t>
      </w:r>
      <w:r w:rsidR="005B19AE" w:rsidRPr="00900D6C">
        <w:t xml:space="preserve">. </w:t>
      </w:r>
      <w:proofErr w:type="spellStart"/>
      <w:r w:rsidR="005B19AE" w:rsidRPr="00900D6C">
        <w:t>Paratyphi</w:t>
      </w:r>
      <w:proofErr w:type="spellEnd"/>
      <w:r w:rsidR="005B19AE" w:rsidRPr="00900D6C">
        <w:t xml:space="preserve"> B case need not be delayed by this further testing</w:t>
      </w:r>
      <w:r w:rsidR="006D1F6D" w:rsidRPr="00900D6C">
        <w:t>.</w:t>
      </w:r>
    </w:p>
    <w:p w14:paraId="51EA8065" w14:textId="0112B12A" w:rsidR="008B6B2C" w:rsidRPr="00900D6C" w:rsidRDefault="00710C86" w:rsidP="00EA19BA">
      <w:pPr>
        <w:ind w:right="-46"/>
      </w:pPr>
      <w:r w:rsidRPr="00900D6C">
        <w:t>Serology is of little use for public</w:t>
      </w:r>
      <w:r w:rsidR="00B05ED8" w:rsidRPr="00900D6C">
        <w:t>-</w:t>
      </w:r>
      <w:r w:rsidRPr="00900D6C">
        <w:t>health management and is not recommended routinely</w:t>
      </w:r>
      <w:r w:rsidR="006C6F12" w:rsidRPr="00900D6C">
        <w:t xml:space="preserve"> </w:t>
      </w:r>
      <w:r w:rsidR="00162C20" w:rsidRPr="00900D6C">
        <w:t>(</w:t>
      </w:r>
      <w:r w:rsidR="00196AAD" w:rsidRPr="00900D6C">
        <w:t>7</w:t>
      </w:r>
      <w:r w:rsidR="00162C20" w:rsidRPr="00900D6C">
        <w:t>)</w:t>
      </w:r>
      <w:r w:rsidRPr="00900D6C">
        <w:t xml:space="preserve">. </w:t>
      </w:r>
      <w:r w:rsidR="008B6B2C" w:rsidRPr="00900D6C">
        <w:t xml:space="preserve">Serological testing </w:t>
      </w:r>
      <w:r w:rsidR="00D82A99" w:rsidRPr="00900D6C">
        <w:t>may</w:t>
      </w:r>
      <w:r w:rsidR="008B6B2C" w:rsidRPr="00900D6C">
        <w:t xml:space="preserve"> occasionally be useful in cases in </w:t>
      </w:r>
      <w:r w:rsidR="0008769D" w:rsidRPr="00900D6C">
        <w:t>who</w:t>
      </w:r>
      <w:r w:rsidR="008F1EF8" w:rsidRPr="00900D6C">
        <w:t>se</w:t>
      </w:r>
      <w:r w:rsidR="0008769D" w:rsidRPr="00900D6C">
        <w:t xml:space="preserve"> </w:t>
      </w:r>
      <w:r w:rsidR="008B6B2C" w:rsidRPr="00900D6C">
        <w:t>cultures are negative (because of delays in diagnosis or treatment)</w:t>
      </w:r>
      <w:r w:rsidR="00CD0879" w:rsidRPr="00900D6C">
        <w:t>.</w:t>
      </w:r>
      <w:r w:rsidR="008B6B2C" w:rsidRPr="00900D6C">
        <w:t xml:space="preserve"> </w:t>
      </w:r>
      <w:r w:rsidR="008B6B2C" w:rsidRPr="00900D6C">
        <w:rPr>
          <w:i/>
        </w:rPr>
        <w:t>Salmonella</w:t>
      </w:r>
      <w:r w:rsidR="008B6B2C" w:rsidRPr="00900D6C">
        <w:t xml:space="preserve"> O-agglutination (</w:t>
      </w:r>
      <w:proofErr w:type="spellStart"/>
      <w:r w:rsidR="008B6B2C" w:rsidRPr="00900D6C">
        <w:t>Widal</w:t>
      </w:r>
      <w:proofErr w:type="spellEnd"/>
      <w:r w:rsidR="008B6B2C" w:rsidRPr="00900D6C">
        <w:t>) titres of &gt;</w:t>
      </w:r>
      <w:r w:rsidR="00CD0879" w:rsidRPr="00900D6C">
        <w:t>200 in unvaccinated individuals</w:t>
      </w:r>
      <w:r w:rsidR="008F1EF8" w:rsidRPr="00900D6C">
        <w:t>,</w:t>
      </w:r>
      <w:r w:rsidR="008B6B2C" w:rsidRPr="00900D6C">
        <w:t xml:space="preserve"> are </w:t>
      </w:r>
      <w:r w:rsidR="00856924" w:rsidRPr="00900D6C">
        <w:t>a</w:t>
      </w:r>
      <w:r w:rsidR="008B6B2C" w:rsidRPr="00900D6C">
        <w:t xml:space="preserve">ssociated with infection with </w:t>
      </w:r>
      <w:r w:rsidR="008B6B2C" w:rsidRPr="00900D6C">
        <w:rPr>
          <w:i/>
        </w:rPr>
        <w:t>S</w:t>
      </w:r>
      <w:r w:rsidR="008B6B2C" w:rsidRPr="00900D6C">
        <w:t xml:space="preserve">. </w:t>
      </w:r>
      <w:proofErr w:type="spellStart"/>
      <w:r w:rsidR="008B6B2C" w:rsidRPr="00900D6C">
        <w:t>Typhi</w:t>
      </w:r>
      <w:proofErr w:type="spellEnd"/>
      <w:r w:rsidR="000618AD" w:rsidRPr="00900D6C">
        <w:t>; however this test has low sensitivity and is no longer widely performed</w:t>
      </w:r>
      <w:r w:rsidR="008B6B2C" w:rsidRPr="00900D6C">
        <w:t xml:space="preserve">. </w:t>
      </w:r>
      <w:r w:rsidR="001F711F" w:rsidRPr="00900D6C">
        <w:t xml:space="preserve">Newer serologic assays for </w:t>
      </w:r>
      <w:r w:rsidR="001F711F" w:rsidRPr="00900D6C">
        <w:rPr>
          <w:rStyle w:val="Emphasis"/>
        </w:rPr>
        <w:t xml:space="preserve">S. </w:t>
      </w:r>
      <w:proofErr w:type="spellStart"/>
      <w:r w:rsidR="001F711F" w:rsidRPr="00900D6C">
        <w:t>Typhi</w:t>
      </w:r>
      <w:proofErr w:type="spellEnd"/>
      <w:r w:rsidR="001F711F" w:rsidRPr="00900D6C">
        <w:t xml:space="preserve"> infection are occasionally used in outbreak situations and are more sensitive and specific than the </w:t>
      </w:r>
      <w:proofErr w:type="spellStart"/>
      <w:r w:rsidR="001F711F" w:rsidRPr="00900D6C">
        <w:t>Widal</w:t>
      </w:r>
      <w:proofErr w:type="spellEnd"/>
      <w:r w:rsidR="001F711F" w:rsidRPr="00900D6C">
        <w:t xml:space="preserve"> test, but are not an adequate substitute for blood, stool, </w:t>
      </w:r>
      <w:r w:rsidR="009B12A7" w:rsidRPr="00900D6C">
        <w:t xml:space="preserve">urine </w:t>
      </w:r>
      <w:r w:rsidR="001F711F" w:rsidRPr="00900D6C">
        <w:t>or bone marrow culture</w:t>
      </w:r>
      <w:r w:rsidR="00A240B3" w:rsidRPr="00900D6C">
        <w:t xml:space="preserve"> </w:t>
      </w:r>
      <w:r w:rsidR="001F6F9D" w:rsidRPr="00900D6C">
        <w:t>(</w:t>
      </w:r>
      <w:r w:rsidR="00196AAD" w:rsidRPr="00900D6C">
        <w:t>21</w:t>
      </w:r>
      <w:r w:rsidR="001F6F9D" w:rsidRPr="00900D6C">
        <w:t>)</w:t>
      </w:r>
      <w:r w:rsidR="001F711F" w:rsidRPr="00900D6C">
        <w:t>.</w:t>
      </w:r>
      <w:r w:rsidR="00CD0879" w:rsidRPr="00900D6C">
        <w:t xml:space="preserve"> Note that serology results in the absence of positive culture do not meet the case definition of a laboratory</w:t>
      </w:r>
      <w:r w:rsidR="00B05ED8" w:rsidRPr="00900D6C">
        <w:t>-</w:t>
      </w:r>
      <w:r w:rsidR="00CD0879" w:rsidRPr="00900D6C">
        <w:t>confirmed case.</w:t>
      </w:r>
    </w:p>
    <w:p w14:paraId="0D8BBC7F" w14:textId="77777777" w:rsidR="00583179" w:rsidRPr="00900D6C" w:rsidRDefault="00583179" w:rsidP="00EA19BA">
      <w:pPr>
        <w:ind w:right="-46"/>
        <w:rPr>
          <w:shd w:val="clear" w:color="auto" w:fill="FFFFFF"/>
        </w:rPr>
      </w:pPr>
      <w:r w:rsidRPr="00900D6C">
        <w:rPr>
          <w:shd w:val="clear" w:color="auto" w:fill="FFFFFF"/>
        </w:rPr>
        <w:t>Food and water samples may also be sent for culture in the event of a suspected outbreak</w:t>
      </w:r>
      <w:r w:rsidR="00060344" w:rsidRPr="00900D6C">
        <w:rPr>
          <w:shd w:val="clear" w:color="auto" w:fill="FFFFFF"/>
        </w:rPr>
        <w:t>.</w:t>
      </w:r>
    </w:p>
    <w:p w14:paraId="44CB0178" w14:textId="1568226A" w:rsidR="001230F2" w:rsidRPr="00900D6C" w:rsidRDefault="001F711F" w:rsidP="00EA19BA">
      <w:pPr>
        <w:ind w:right="-46"/>
      </w:pPr>
      <w:r w:rsidRPr="00900D6C">
        <w:t>R</w:t>
      </w:r>
      <w:r w:rsidR="001230F2" w:rsidRPr="00900D6C">
        <w:t xml:space="preserve">efer to </w:t>
      </w:r>
      <w:r w:rsidR="001230F2" w:rsidRPr="0098447C">
        <w:t>Public Health Laboratory Network (PHLN) laboratory case definitions website</w:t>
      </w:r>
      <w:r w:rsidR="001230F2" w:rsidRPr="00900D6C">
        <w:t xml:space="preserve"> </w:t>
      </w:r>
      <w:r w:rsidRPr="00900D6C">
        <w:t xml:space="preserve">for </w:t>
      </w:r>
      <w:r w:rsidR="001230F2" w:rsidRPr="00900D6C">
        <w:t>more detailed information on tests.</w:t>
      </w:r>
    </w:p>
    <w:p w14:paraId="2A71851C" w14:textId="77777777" w:rsidR="0092728B" w:rsidRPr="00193BD1" w:rsidRDefault="002A4B69" w:rsidP="00193BD1">
      <w:pPr>
        <w:pStyle w:val="Heading1"/>
      </w:pPr>
      <w:bookmarkStart w:id="1" w:name="_Ref472431533"/>
      <w:r w:rsidRPr="00193BD1">
        <w:t>9. Case management</w:t>
      </w:r>
      <w:bookmarkEnd w:id="1"/>
    </w:p>
    <w:p w14:paraId="600C590A" w14:textId="77777777" w:rsidR="002A4B69" w:rsidRPr="00900D6C" w:rsidRDefault="002A4B69" w:rsidP="00900D6C">
      <w:pPr>
        <w:pStyle w:val="Heading2"/>
        <w:rPr>
          <w:lang w:val="en-AU"/>
        </w:rPr>
      </w:pPr>
      <w:r w:rsidRPr="00900D6C">
        <w:rPr>
          <w:lang w:val="en-AU"/>
        </w:rPr>
        <w:t>Response times</w:t>
      </w:r>
    </w:p>
    <w:p w14:paraId="276EDA93" w14:textId="77777777" w:rsidR="00BA01D7" w:rsidRDefault="00E444FC" w:rsidP="00EA19BA">
      <w:pPr>
        <w:ind w:right="-46"/>
      </w:pPr>
      <w:r w:rsidRPr="00900D6C">
        <w:t>Begin the follow-up i</w:t>
      </w:r>
      <w:r w:rsidR="00F132BF" w:rsidRPr="00900D6C">
        <w:t xml:space="preserve">nvestigation within </w:t>
      </w:r>
      <w:r w:rsidR="002669A7" w:rsidRPr="00900D6C">
        <w:t>one</w:t>
      </w:r>
      <w:r w:rsidRPr="00900D6C">
        <w:t xml:space="preserve"> working day of </w:t>
      </w:r>
      <w:r w:rsidR="00F132BF" w:rsidRPr="00900D6C">
        <w:t xml:space="preserve">notification of a </w:t>
      </w:r>
      <w:r w:rsidR="00346BE0" w:rsidRPr="00900D6C">
        <w:t>c</w:t>
      </w:r>
      <w:r w:rsidR="00F132BF" w:rsidRPr="00900D6C">
        <w:t>onfirmed case.</w:t>
      </w:r>
    </w:p>
    <w:p w14:paraId="7DC1C9E9" w14:textId="4611797F" w:rsidR="002A4B69" w:rsidRPr="00900D6C" w:rsidRDefault="002A4B69" w:rsidP="00900D6C">
      <w:pPr>
        <w:pStyle w:val="Heading2"/>
        <w:rPr>
          <w:lang w:val="en-AU"/>
        </w:rPr>
      </w:pPr>
      <w:r w:rsidRPr="00900D6C">
        <w:rPr>
          <w:lang w:val="en-AU"/>
        </w:rPr>
        <w:t>Response procedure</w:t>
      </w:r>
    </w:p>
    <w:p w14:paraId="42270F1D" w14:textId="3D79D9CD" w:rsidR="00346BE0" w:rsidRPr="00900D6C" w:rsidRDefault="00E45E9C" w:rsidP="00EA19BA">
      <w:pPr>
        <w:ind w:right="-46"/>
      </w:pPr>
      <w:r w:rsidRPr="00900D6C">
        <w:t>Public health follow up includes</w:t>
      </w:r>
      <w:r w:rsidR="00346BE0" w:rsidRPr="00900D6C">
        <w:t>:</w:t>
      </w:r>
    </w:p>
    <w:p w14:paraId="6F7BA8D1" w14:textId="53ACD3A1" w:rsidR="00114B1B" w:rsidRPr="00900D6C" w:rsidRDefault="00742304" w:rsidP="00EA19BA">
      <w:pPr>
        <w:pStyle w:val="ListParagraph"/>
        <w:numPr>
          <w:ilvl w:val="0"/>
          <w:numId w:val="15"/>
        </w:numPr>
        <w:ind w:right="-46"/>
        <w:rPr>
          <w:lang w:val="en-AU"/>
        </w:rPr>
      </w:pPr>
      <w:r w:rsidRPr="00900D6C">
        <w:rPr>
          <w:lang w:val="en-AU"/>
        </w:rPr>
        <w:t xml:space="preserve">identifying </w:t>
      </w:r>
      <w:r w:rsidR="00114B1B" w:rsidRPr="00900D6C">
        <w:rPr>
          <w:lang w:val="en-AU"/>
        </w:rPr>
        <w:t xml:space="preserve">the likely </w:t>
      </w:r>
      <w:r w:rsidR="00A240B3" w:rsidRPr="00900D6C">
        <w:rPr>
          <w:lang w:val="en-AU"/>
        </w:rPr>
        <w:t xml:space="preserve">country of acquisition and potential </w:t>
      </w:r>
      <w:r w:rsidR="00114B1B" w:rsidRPr="00900D6C">
        <w:rPr>
          <w:lang w:val="en-AU"/>
        </w:rPr>
        <w:t>source</w:t>
      </w:r>
      <w:r w:rsidR="00A240B3" w:rsidRPr="00900D6C">
        <w:rPr>
          <w:lang w:val="en-AU"/>
        </w:rPr>
        <w:t>s of exposure</w:t>
      </w:r>
      <w:r w:rsidR="002669A7" w:rsidRPr="00900D6C">
        <w:rPr>
          <w:lang w:val="en-AU"/>
        </w:rPr>
        <w:t>;</w:t>
      </w:r>
    </w:p>
    <w:p w14:paraId="76085F98" w14:textId="0E442F97" w:rsidR="00114B1B" w:rsidRPr="00900D6C" w:rsidRDefault="00742304" w:rsidP="00EA19BA">
      <w:pPr>
        <w:pStyle w:val="ListParagraph"/>
        <w:numPr>
          <w:ilvl w:val="0"/>
          <w:numId w:val="15"/>
        </w:numPr>
        <w:ind w:right="-46"/>
        <w:rPr>
          <w:lang w:val="en-AU"/>
        </w:rPr>
      </w:pPr>
      <w:r w:rsidRPr="00900D6C">
        <w:rPr>
          <w:lang w:val="en-AU"/>
        </w:rPr>
        <w:t xml:space="preserve">liaising with the laboratory to ensure </w:t>
      </w:r>
      <w:r w:rsidR="00114B1B" w:rsidRPr="00900D6C">
        <w:rPr>
          <w:lang w:val="en-AU"/>
        </w:rPr>
        <w:t xml:space="preserve">all isolates </w:t>
      </w:r>
      <w:r w:rsidR="00070424" w:rsidRPr="00900D6C">
        <w:rPr>
          <w:lang w:val="en-AU"/>
        </w:rPr>
        <w:t xml:space="preserve">are </w:t>
      </w:r>
      <w:r w:rsidR="00114B1B" w:rsidRPr="00900D6C">
        <w:rPr>
          <w:lang w:val="en-AU"/>
        </w:rPr>
        <w:t>retrieved, stored and fully characterised to determine potential relatedness and antibiotic sensitivity</w:t>
      </w:r>
      <w:r w:rsidR="002669A7" w:rsidRPr="00900D6C">
        <w:rPr>
          <w:lang w:val="en-AU"/>
        </w:rPr>
        <w:t>;</w:t>
      </w:r>
    </w:p>
    <w:p w14:paraId="3A484C38" w14:textId="524CFB3D" w:rsidR="00114B1B" w:rsidRPr="00900D6C" w:rsidRDefault="00742304" w:rsidP="00EA19BA">
      <w:pPr>
        <w:pStyle w:val="ListParagraph"/>
        <w:numPr>
          <w:ilvl w:val="0"/>
          <w:numId w:val="15"/>
        </w:numPr>
        <w:ind w:right="-46"/>
        <w:rPr>
          <w:lang w:val="en-AU"/>
        </w:rPr>
      </w:pPr>
      <w:r w:rsidRPr="00900D6C">
        <w:rPr>
          <w:lang w:val="en-AU"/>
        </w:rPr>
        <w:t xml:space="preserve">preventing </w:t>
      </w:r>
      <w:r w:rsidR="00114B1B" w:rsidRPr="00900D6C">
        <w:rPr>
          <w:lang w:val="en-AU"/>
        </w:rPr>
        <w:t>further spread of infection by:</w:t>
      </w:r>
    </w:p>
    <w:p w14:paraId="02A0DFE2" w14:textId="42A23110" w:rsidR="00346BE0" w:rsidRPr="00900D6C" w:rsidRDefault="00742304" w:rsidP="00EA19BA">
      <w:pPr>
        <w:pStyle w:val="ListParagraph"/>
        <w:numPr>
          <w:ilvl w:val="1"/>
          <w:numId w:val="3"/>
        </w:numPr>
        <w:ind w:right="-46"/>
        <w:rPr>
          <w:lang w:val="en-AU"/>
        </w:rPr>
      </w:pPr>
      <w:r w:rsidRPr="00900D6C">
        <w:rPr>
          <w:lang w:val="en-AU"/>
        </w:rPr>
        <w:t xml:space="preserve">ensuring </w:t>
      </w:r>
      <w:r w:rsidR="00346BE0" w:rsidRPr="00900D6C">
        <w:rPr>
          <w:lang w:val="en-AU"/>
        </w:rPr>
        <w:t>appropriate public</w:t>
      </w:r>
      <w:r w:rsidR="00B05BC8" w:rsidRPr="00900D6C">
        <w:rPr>
          <w:lang w:val="en-AU"/>
        </w:rPr>
        <w:t>-</w:t>
      </w:r>
      <w:r w:rsidR="00346BE0" w:rsidRPr="00900D6C">
        <w:rPr>
          <w:lang w:val="en-AU"/>
        </w:rPr>
        <w:t xml:space="preserve">health action is carried out in the event of </w:t>
      </w:r>
      <w:r w:rsidR="00070424" w:rsidRPr="00900D6C">
        <w:rPr>
          <w:lang w:val="en-AU"/>
        </w:rPr>
        <w:t>high risk</w:t>
      </w:r>
      <w:r w:rsidR="00346BE0" w:rsidRPr="00900D6C">
        <w:rPr>
          <w:lang w:val="en-AU"/>
        </w:rPr>
        <w:t xml:space="preserve"> case</w:t>
      </w:r>
      <w:r w:rsidR="00070424" w:rsidRPr="00900D6C">
        <w:rPr>
          <w:lang w:val="en-AU"/>
        </w:rPr>
        <w:t>/s</w:t>
      </w:r>
      <w:r w:rsidR="00346BE0" w:rsidRPr="00900D6C">
        <w:rPr>
          <w:lang w:val="en-AU"/>
        </w:rPr>
        <w:t xml:space="preserve"> </w:t>
      </w:r>
      <w:r w:rsidR="00114B1B" w:rsidRPr="00900D6C">
        <w:rPr>
          <w:lang w:val="en-AU"/>
        </w:rPr>
        <w:t>or contact</w:t>
      </w:r>
      <w:r w:rsidR="00070424" w:rsidRPr="00900D6C">
        <w:rPr>
          <w:lang w:val="en-AU"/>
        </w:rPr>
        <w:t>/</w:t>
      </w:r>
      <w:r w:rsidR="00114B1B" w:rsidRPr="00900D6C">
        <w:rPr>
          <w:lang w:val="en-AU"/>
        </w:rPr>
        <w:t>s</w:t>
      </w:r>
      <w:r w:rsidR="00070424" w:rsidRPr="00900D6C">
        <w:rPr>
          <w:lang w:val="en-AU"/>
        </w:rPr>
        <w:t xml:space="preserve"> (see below for definition of ‘high risk’)</w:t>
      </w:r>
      <w:r w:rsidR="002669A7" w:rsidRPr="00900D6C">
        <w:rPr>
          <w:lang w:val="en-AU"/>
        </w:rPr>
        <w:t>;</w:t>
      </w:r>
    </w:p>
    <w:p w14:paraId="70B984EA" w14:textId="04D04155" w:rsidR="00346BE0" w:rsidRPr="00900D6C" w:rsidRDefault="00742304" w:rsidP="00EA19BA">
      <w:pPr>
        <w:pStyle w:val="ListParagraph"/>
        <w:numPr>
          <w:ilvl w:val="1"/>
          <w:numId w:val="3"/>
        </w:numPr>
        <w:ind w:right="-46"/>
        <w:rPr>
          <w:lang w:val="en-AU"/>
        </w:rPr>
      </w:pPr>
      <w:proofErr w:type="gramStart"/>
      <w:r w:rsidRPr="00900D6C">
        <w:rPr>
          <w:lang w:val="en-AU"/>
        </w:rPr>
        <w:t>ensuring</w:t>
      </w:r>
      <w:proofErr w:type="gramEnd"/>
      <w:r w:rsidRPr="00900D6C">
        <w:rPr>
          <w:lang w:val="en-AU"/>
        </w:rPr>
        <w:t xml:space="preserve"> </w:t>
      </w:r>
      <w:r w:rsidR="0004509E" w:rsidRPr="00900D6C">
        <w:rPr>
          <w:lang w:val="en-AU"/>
        </w:rPr>
        <w:t xml:space="preserve">that </w:t>
      </w:r>
      <w:r w:rsidR="00F33430" w:rsidRPr="00900D6C">
        <w:rPr>
          <w:lang w:val="en-AU"/>
        </w:rPr>
        <w:t xml:space="preserve">each </w:t>
      </w:r>
      <w:r w:rsidR="0004509E" w:rsidRPr="00900D6C">
        <w:rPr>
          <w:lang w:val="en-AU"/>
        </w:rPr>
        <w:t>case</w:t>
      </w:r>
      <w:r w:rsidR="00114B1B" w:rsidRPr="00900D6C">
        <w:rPr>
          <w:lang w:val="en-AU"/>
        </w:rPr>
        <w:t xml:space="preserve"> is aware of appropriate</w:t>
      </w:r>
      <w:r w:rsidR="00856924" w:rsidRPr="00900D6C">
        <w:rPr>
          <w:lang w:val="en-AU"/>
        </w:rPr>
        <w:t xml:space="preserve"> </w:t>
      </w:r>
      <w:r w:rsidR="00114B1B" w:rsidRPr="00900D6C">
        <w:rPr>
          <w:lang w:val="en-AU"/>
        </w:rPr>
        <w:t xml:space="preserve">hygiene </w:t>
      </w:r>
      <w:r w:rsidR="00F96A6B" w:rsidRPr="00900D6C">
        <w:rPr>
          <w:lang w:val="en-AU"/>
        </w:rPr>
        <w:t>precautions to prevent spread</w:t>
      </w:r>
      <w:r w:rsidR="0004509E" w:rsidRPr="00900D6C">
        <w:rPr>
          <w:lang w:val="en-AU"/>
        </w:rPr>
        <w:t xml:space="preserve"> </w:t>
      </w:r>
      <w:r w:rsidR="00F96A6B" w:rsidRPr="00900D6C">
        <w:rPr>
          <w:lang w:val="en-AU"/>
        </w:rPr>
        <w:t>of infection</w:t>
      </w:r>
      <w:r w:rsidR="00A240B3" w:rsidRPr="00900D6C">
        <w:rPr>
          <w:lang w:val="en-AU"/>
        </w:rPr>
        <w:t>.</w:t>
      </w:r>
    </w:p>
    <w:p w14:paraId="112B1CEF" w14:textId="406860F5" w:rsidR="00AB32B4" w:rsidRPr="00900D6C" w:rsidRDefault="00AB32B4" w:rsidP="00EA19BA">
      <w:pPr>
        <w:ind w:right="-46"/>
      </w:pPr>
      <w:r w:rsidRPr="00900D6C">
        <w:t xml:space="preserve">Refer to </w:t>
      </w:r>
      <w:r w:rsidR="00935BEA" w:rsidRPr="00900D6C">
        <w:t xml:space="preserve">Appendix 1: </w:t>
      </w:r>
      <w:r w:rsidR="00935BEA" w:rsidRPr="00900D6C">
        <w:rPr>
          <w:szCs w:val="28"/>
        </w:rPr>
        <w:t>Case Investigation Check List</w:t>
      </w:r>
      <w:r w:rsidR="00F93F7F" w:rsidRPr="00900D6C">
        <w:t xml:space="preserve"> </w:t>
      </w:r>
      <w:r w:rsidRPr="00900D6C">
        <w:t xml:space="preserve">for a </w:t>
      </w:r>
      <w:r w:rsidR="009B12A7" w:rsidRPr="00900D6C">
        <w:t xml:space="preserve">Case Investigation </w:t>
      </w:r>
      <w:r w:rsidRPr="00900D6C">
        <w:t xml:space="preserve">Check </w:t>
      </w:r>
      <w:r w:rsidR="00C32980" w:rsidRPr="00900D6C">
        <w:t>L</w:t>
      </w:r>
      <w:r w:rsidRPr="00900D6C">
        <w:t>ist</w:t>
      </w:r>
      <w:r w:rsidR="0038304A" w:rsidRPr="00900D6C">
        <w:t>.</w:t>
      </w:r>
    </w:p>
    <w:p w14:paraId="643F4FD6" w14:textId="77777777" w:rsidR="002A4B69" w:rsidRPr="00900D6C" w:rsidRDefault="002A4B69" w:rsidP="00900D6C">
      <w:pPr>
        <w:pStyle w:val="Heading3"/>
      </w:pPr>
      <w:r w:rsidRPr="00900D6C">
        <w:t>Case investigation</w:t>
      </w:r>
    </w:p>
    <w:p w14:paraId="6BE6C0D2" w14:textId="09BDD120" w:rsidR="002A4B69" w:rsidRPr="00900D6C" w:rsidRDefault="00346BE0" w:rsidP="00EA19BA">
      <w:pPr>
        <w:ind w:right="-46"/>
      </w:pPr>
      <w:r w:rsidRPr="00900D6C">
        <w:t xml:space="preserve">A sample disease investigation form is at </w:t>
      </w:r>
      <w:r w:rsidR="00935BEA" w:rsidRPr="00900D6C">
        <w:t>Appendix 2: Typhoid and Paratyphoid Investigation form</w:t>
      </w:r>
      <w:r w:rsidRPr="00900D6C">
        <w:t xml:space="preserve">. </w:t>
      </w:r>
      <w:r w:rsidR="002A4B69" w:rsidRPr="00900D6C">
        <w:t xml:space="preserve">The response to a notification will normally be carried out in collaboration with the case’s </w:t>
      </w:r>
      <w:r w:rsidR="00E2492C" w:rsidRPr="00900D6C">
        <w:t>doctor</w:t>
      </w:r>
      <w:r w:rsidR="002A4B69" w:rsidRPr="00900D6C">
        <w:t>. Regardless of who does the follow-up, for confirmed cases, PHU staff should ensure that action has been taken to:</w:t>
      </w:r>
    </w:p>
    <w:p w14:paraId="0E8030B4" w14:textId="4C9D7963" w:rsidR="00114B1B" w:rsidRPr="00900D6C" w:rsidRDefault="00742304" w:rsidP="00EA19BA">
      <w:pPr>
        <w:pStyle w:val="ListParagraph"/>
        <w:numPr>
          <w:ilvl w:val="0"/>
          <w:numId w:val="16"/>
        </w:numPr>
        <w:ind w:right="-46"/>
        <w:rPr>
          <w:lang w:val="en-AU"/>
        </w:rPr>
      </w:pPr>
      <w:r w:rsidRPr="00900D6C">
        <w:rPr>
          <w:lang w:val="en-AU"/>
        </w:rPr>
        <w:t xml:space="preserve">find </w:t>
      </w:r>
      <w:r w:rsidR="00114B1B" w:rsidRPr="00900D6C">
        <w:rPr>
          <w:lang w:val="en-AU"/>
        </w:rPr>
        <w:t>out if the case or relevant care-giver has been told the</w:t>
      </w:r>
      <w:r w:rsidR="00070424" w:rsidRPr="00900D6C">
        <w:rPr>
          <w:lang w:val="en-AU"/>
        </w:rPr>
        <w:t xml:space="preserve"> </w:t>
      </w:r>
      <w:r w:rsidR="00114B1B" w:rsidRPr="00900D6C">
        <w:rPr>
          <w:lang w:val="en-AU"/>
        </w:rPr>
        <w:t>diagnosis and seek the doctor’s permission to contact the case or relevant care-giver (where possible) before beginning the interview</w:t>
      </w:r>
      <w:r w:rsidR="002669A7" w:rsidRPr="00900D6C">
        <w:rPr>
          <w:lang w:val="en-AU"/>
        </w:rPr>
        <w:t>;</w:t>
      </w:r>
    </w:p>
    <w:p w14:paraId="66D918F8" w14:textId="4246F7D6" w:rsidR="00114B1B" w:rsidRPr="00900D6C" w:rsidRDefault="00742304" w:rsidP="00EA19BA">
      <w:pPr>
        <w:pStyle w:val="ListParagraph"/>
        <w:numPr>
          <w:ilvl w:val="0"/>
          <w:numId w:val="16"/>
        </w:numPr>
        <w:ind w:right="-46"/>
        <w:rPr>
          <w:lang w:val="en-AU"/>
        </w:rPr>
      </w:pPr>
      <w:r w:rsidRPr="00900D6C">
        <w:rPr>
          <w:lang w:val="en-AU"/>
        </w:rPr>
        <w:t xml:space="preserve">confirm </w:t>
      </w:r>
      <w:r w:rsidR="00114B1B" w:rsidRPr="00900D6C">
        <w:rPr>
          <w:lang w:val="en-AU"/>
        </w:rPr>
        <w:t>results of relevant pathology tests</w:t>
      </w:r>
      <w:r w:rsidR="002669A7" w:rsidRPr="00900D6C">
        <w:rPr>
          <w:lang w:val="en-AU"/>
        </w:rPr>
        <w:t>;</w:t>
      </w:r>
    </w:p>
    <w:p w14:paraId="319FC90C" w14:textId="5950177E" w:rsidR="002A4B69" w:rsidRPr="00900D6C" w:rsidRDefault="00742304" w:rsidP="00EA19BA">
      <w:pPr>
        <w:pStyle w:val="ListParagraph"/>
        <w:numPr>
          <w:ilvl w:val="0"/>
          <w:numId w:val="16"/>
        </w:numPr>
        <w:ind w:right="-46"/>
        <w:rPr>
          <w:lang w:val="en-AU"/>
        </w:rPr>
      </w:pPr>
      <w:r w:rsidRPr="00900D6C">
        <w:rPr>
          <w:lang w:val="en-AU"/>
        </w:rPr>
        <w:t xml:space="preserve">confirm </w:t>
      </w:r>
      <w:r w:rsidR="002A4B69" w:rsidRPr="00900D6C">
        <w:rPr>
          <w:lang w:val="en-AU"/>
        </w:rPr>
        <w:t>the onset date and symptoms of the illness</w:t>
      </w:r>
      <w:r w:rsidR="002669A7" w:rsidRPr="00900D6C">
        <w:rPr>
          <w:lang w:val="en-AU"/>
        </w:rPr>
        <w:t>;</w:t>
      </w:r>
    </w:p>
    <w:p w14:paraId="59F09ADD" w14:textId="18F36C8D" w:rsidR="00114B1B" w:rsidRPr="00900D6C" w:rsidRDefault="00742304" w:rsidP="00EA19BA">
      <w:pPr>
        <w:pStyle w:val="ListParagraph"/>
        <w:numPr>
          <w:ilvl w:val="0"/>
          <w:numId w:val="16"/>
        </w:numPr>
        <w:ind w:right="-46"/>
        <w:rPr>
          <w:lang w:val="en-AU"/>
        </w:rPr>
      </w:pPr>
      <w:r w:rsidRPr="00900D6C">
        <w:rPr>
          <w:lang w:val="en-AU"/>
        </w:rPr>
        <w:t xml:space="preserve">determine </w:t>
      </w:r>
      <w:r w:rsidR="00114B1B" w:rsidRPr="00900D6C">
        <w:rPr>
          <w:lang w:val="en-AU"/>
        </w:rPr>
        <w:t xml:space="preserve">the </w:t>
      </w:r>
      <w:r w:rsidR="00A240B3" w:rsidRPr="00900D6C">
        <w:rPr>
          <w:lang w:val="en-AU"/>
        </w:rPr>
        <w:t xml:space="preserve">travel history and identify potential </w:t>
      </w:r>
      <w:r w:rsidR="00114B1B" w:rsidRPr="00900D6C">
        <w:rPr>
          <w:lang w:val="en-AU"/>
        </w:rPr>
        <w:t>source</w:t>
      </w:r>
      <w:r w:rsidR="00A240B3" w:rsidRPr="00900D6C">
        <w:rPr>
          <w:lang w:val="en-AU"/>
        </w:rPr>
        <w:t>s</w:t>
      </w:r>
      <w:r w:rsidR="00114B1B" w:rsidRPr="00900D6C">
        <w:rPr>
          <w:lang w:val="en-AU"/>
        </w:rPr>
        <w:t xml:space="preserve"> of infection</w:t>
      </w:r>
      <w:r w:rsidR="002669A7" w:rsidRPr="00900D6C">
        <w:rPr>
          <w:lang w:val="en-AU"/>
        </w:rPr>
        <w:t>;</w:t>
      </w:r>
    </w:p>
    <w:p w14:paraId="7E71F164" w14:textId="5D9776C4" w:rsidR="004C5C81" w:rsidRPr="00900D6C" w:rsidRDefault="00742304" w:rsidP="00EA19BA">
      <w:pPr>
        <w:pStyle w:val="ListParagraph"/>
        <w:numPr>
          <w:ilvl w:val="0"/>
          <w:numId w:val="16"/>
        </w:numPr>
        <w:ind w:right="-46"/>
        <w:rPr>
          <w:lang w:val="en-AU"/>
        </w:rPr>
      </w:pPr>
      <w:r w:rsidRPr="00900D6C">
        <w:rPr>
          <w:lang w:val="en-AU"/>
        </w:rPr>
        <w:t xml:space="preserve">ensure </w:t>
      </w:r>
      <w:r w:rsidR="004C5C81" w:rsidRPr="00900D6C">
        <w:rPr>
          <w:lang w:val="en-AU"/>
        </w:rPr>
        <w:t>appropriate investigations are undertaken to determine the source for cases who have</w:t>
      </w:r>
      <w:r w:rsidR="00C32980" w:rsidRPr="00900D6C">
        <w:rPr>
          <w:lang w:val="en-AU"/>
        </w:rPr>
        <w:t xml:space="preserve"> </w:t>
      </w:r>
      <w:r w:rsidR="004C5C81" w:rsidRPr="00900D6C">
        <w:rPr>
          <w:lang w:val="en-AU"/>
        </w:rPr>
        <w:t>n</w:t>
      </w:r>
      <w:r w:rsidR="00C32980" w:rsidRPr="00900D6C">
        <w:rPr>
          <w:lang w:val="en-AU"/>
        </w:rPr>
        <w:t>o</w:t>
      </w:r>
      <w:r w:rsidR="004C5C81" w:rsidRPr="00900D6C">
        <w:rPr>
          <w:lang w:val="en-AU"/>
        </w:rPr>
        <w:t>t travelled overseas</w:t>
      </w:r>
      <w:r w:rsidR="002669A7" w:rsidRPr="00900D6C">
        <w:rPr>
          <w:lang w:val="en-AU"/>
        </w:rPr>
        <w:t>;</w:t>
      </w:r>
    </w:p>
    <w:p w14:paraId="744672C0" w14:textId="19F563DB" w:rsidR="004C5C81" w:rsidRPr="00900D6C" w:rsidRDefault="00742304" w:rsidP="00EA19BA">
      <w:pPr>
        <w:pStyle w:val="ListParagraph"/>
        <w:numPr>
          <w:ilvl w:val="0"/>
          <w:numId w:val="16"/>
        </w:numPr>
        <w:ind w:right="-46"/>
        <w:rPr>
          <w:lang w:val="en-AU"/>
        </w:rPr>
      </w:pPr>
      <w:r w:rsidRPr="00900D6C">
        <w:rPr>
          <w:lang w:val="en-AU"/>
        </w:rPr>
        <w:t xml:space="preserve">ensure </w:t>
      </w:r>
      <w:r w:rsidR="004C5C81" w:rsidRPr="00900D6C">
        <w:rPr>
          <w:lang w:val="en-AU"/>
        </w:rPr>
        <w:t>all relevant contacts who may have been exposed to the same source as the case</w:t>
      </w:r>
      <w:r w:rsidR="00A240B3" w:rsidRPr="00900D6C">
        <w:rPr>
          <w:lang w:val="en-AU"/>
        </w:rPr>
        <w:t>, or to the infectious case,</w:t>
      </w:r>
      <w:r w:rsidR="004C5C81" w:rsidRPr="00900D6C">
        <w:rPr>
          <w:lang w:val="en-AU"/>
        </w:rPr>
        <w:t xml:space="preserve"> are alerted that they may develop symptoms</w:t>
      </w:r>
      <w:r w:rsidR="00257703" w:rsidRPr="00900D6C">
        <w:rPr>
          <w:lang w:val="en-AU"/>
        </w:rPr>
        <w:t>;</w:t>
      </w:r>
    </w:p>
    <w:p w14:paraId="4DAD1F78" w14:textId="25ACB038" w:rsidR="002A4B69" w:rsidRPr="00900D6C" w:rsidRDefault="00742304" w:rsidP="00EA19BA">
      <w:pPr>
        <w:pStyle w:val="ListParagraph"/>
        <w:numPr>
          <w:ilvl w:val="0"/>
          <w:numId w:val="16"/>
        </w:numPr>
        <w:ind w:right="-46"/>
        <w:rPr>
          <w:lang w:val="en-AU"/>
        </w:rPr>
      </w:pPr>
      <w:r w:rsidRPr="00900D6C">
        <w:rPr>
          <w:lang w:val="en-AU"/>
        </w:rPr>
        <w:t xml:space="preserve">review </w:t>
      </w:r>
      <w:r w:rsidR="002A4B69" w:rsidRPr="00900D6C">
        <w:rPr>
          <w:lang w:val="en-AU"/>
        </w:rPr>
        <w:t>case and contact management</w:t>
      </w:r>
      <w:r w:rsidR="00A240B3" w:rsidRPr="00900D6C">
        <w:rPr>
          <w:lang w:val="en-AU"/>
        </w:rPr>
        <w:t>,</w:t>
      </w:r>
      <w:r w:rsidR="002A4B69" w:rsidRPr="00900D6C">
        <w:rPr>
          <w:lang w:val="en-AU"/>
        </w:rPr>
        <w:t xml:space="preserve"> ensuring relevant exclusions have been made</w:t>
      </w:r>
      <w:r w:rsidR="00257703" w:rsidRPr="00900D6C">
        <w:rPr>
          <w:lang w:val="en-AU"/>
        </w:rPr>
        <w:t>;</w:t>
      </w:r>
    </w:p>
    <w:p w14:paraId="059D11D8" w14:textId="7815FA51" w:rsidR="0092728B" w:rsidRPr="00900D6C" w:rsidRDefault="00742304" w:rsidP="00EA19BA">
      <w:pPr>
        <w:pStyle w:val="ListParagraph"/>
        <w:numPr>
          <w:ilvl w:val="0"/>
          <w:numId w:val="16"/>
        </w:numPr>
        <w:ind w:right="-46"/>
        <w:rPr>
          <w:lang w:val="en-AU"/>
        </w:rPr>
      </w:pPr>
      <w:proofErr w:type="gramStart"/>
      <w:r w:rsidRPr="00900D6C">
        <w:rPr>
          <w:lang w:val="en-AU"/>
        </w:rPr>
        <w:t>ensure</w:t>
      </w:r>
      <w:proofErr w:type="gramEnd"/>
      <w:r w:rsidRPr="00900D6C">
        <w:rPr>
          <w:lang w:val="en-AU"/>
        </w:rPr>
        <w:t xml:space="preserve"> </w:t>
      </w:r>
      <w:r w:rsidR="002A4B69" w:rsidRPr="00900D6C">
        <w:rPr>
          <w:lang w:val="en-AU"/>
        </w:rPr>
        <w:t xml:space="preserve">infection control </w:t>
      </w:r>
      <w:r w:rsidR="00850D08" w:rsidRPr="00900D6C">
        <w:rPr>
          <w:lang w:val="en-AU"/>
        </w:rPr>
        <w:t xml:space="preserve">and other </w:t>
      </w:r>
      <w:r w:rsidR="002A4B69" w:rsidRPr="00900D6C">
        <w:rPr>
          <w:lang w:val="en-AU"/>
        </w:rPr>
        <w:t>professionals are notified where appropriate.</w:t>
      </w:r>
    </w:p>
    <w:p w14:paraId="75C23760" w14:textId="77777777" w:rsidR="002A4B69" w:rsidRPr="00900D6C" w:rsidRDefault="002A4B69" w:rsidP="00900D6C">
      <w:pPr>
        <w:pStyle w:val="Heading3"/>
      </w:pPr>
      <w:r w:rsidRPr="00900D6C">
        <w:t>Exposure Investigation</w:t>
      </w:r>
    </w:p>
    <w:p w14:paraId="36D348A6" w14:textId="6B11EB03" w:rsidR="00587880" w:rsidRPr="00900D6C" w:rsidRDefault="00587880" w:rsidP="00EA19BA">
      <w:pPr>
        <w:ind w:right="-46"/>
      </w:pPr>
      <w:r w:rsidRPr="00900D6C">
        <w:t xml:space="preserve">Each case should be assessed to decide </w:t>
      </w:r>
      <w:r w:rsidR="00B05BC8" w:rsidRPr="00900D6C">
        <w:t>if</w:t>
      </w:r>
      <w:r w:rsidR="003268F2" w:rsidRPr="00900D6C">
        <w:t xml:space="preserve"> </w:t>
      </w:r>
      <w:r w:rsidRPr="00900D6C">
        <w:t xml:space="preserve">their illness is travel-related. As a general rule, cases </w:t>
      </w:r>
      <w:proofErr w:type="gramStart"/>
      <w:r w:rsidRPr="00900D6C">
        <w:t>who</w:t>
      </w:r>
      <w:proofErr w:type="gramEnd"/>
      <w:r w:rsidRPr="00900D6C">
        <w:t xml:space="preserve"> develop symptoms within 28 days after their return to Australia from an endemic country can be considered ‘travel-related’ (</w:t>
      </w:r>
      <w:r w:rsidR="00196AAD" w:rsidRPr="00900D6C">
        <w:t>7</w:t>
      </w:r>
      <w:r w:rsidRPr="00900D6C">
        <w:t xml:space="preserve">). </w:t>
      </w:r>
      <w:r w:rsidR="00E56A9C" w:rsidRPr="00900D6C">
        <w:t>This 28-day timeframe should be used as a guide but should not be seen as prescriptive.</w:t>
      </w:r>
      <w:r w:rsidR="00060E08" w:rsidRPr="00900D6C">
        <w:t xml:space="preserve"> </w:t>
      </w:r>
      <w:r w:rsidR="007241C4" w:rsidRPr="00900D6C">
        <w:t xml:space="preserve">A shorter timeframe may be appropriate for paratyphoid cases. </w:t>
      </w:r>
      <w:r w:rsidR="00E56A9C" w:rsidRPr="00900D6C">
        <w:t>Cases outside or at the upper limit of the 28-day period require an assessment of other</w:t>
      </w:r>
      <w:r w:rsidR="00060E08" w:rsidRPr="00900D6C">
        <w:t xml:space="preserve"> </w:t>
      </w:r>
      <w:r w:rsidR="00E56A9C" w:rsidRPr="00900D6C">
        <w:t>possible sources and local professional judgement of likely source, based on the</w:t>
      </w:r>
      <w:r w:rsidR="00060E08" w:rsidRPr="00900D6C">
        <w:t xml:space="preserve"> </w:t>
      </w:r>
      <w:r w:rsidR="00E56A9C" w:rsidRPr="00900D6C">
        <w:t>individual details of each case</w:t>
      </w:r>
      <w:r w:rsidR="00060E08" w:rsidRPr="00900D6C">
        <w:t xml:space="preserve">. </w:t>
      </w:r>
      <w:r w:rsidRPr="00900D6C">
        <w:t>If the case is non-travel–related</w:t>
      </w:r>
      <w:r w:rsidR="000618AD" w:rsidRPr="00900D6C">
        <w:t xml:space="preserve"> and not explainable by household transmission,</w:t>
      </w:r>
      <w:r w:rsidRPr="00900D6C">
        <w:t xml:space="preserve"> and food or water within Australia is suspected as the source of infection</w:t>
      </w:r>
      <w:r w:rsidR="007D3A15" w:rsidRPr="00900D6C">
        <w:t>,</w:t>
      </w:r>
      <w:r w:rsidRPr="00900D6C">
        <w:t xml:space="preserve"> the initial risk assessment should be conducted according to formalised local arrangements, but would usually involve formation of an outbreak control team.</w:t>
      </w:r>
    </w:p>
    <w:p w14:paraId="5082C1B8" w14:textId="6535A67C" w:rsidR="00E444FC" w:rsidRPr="00900D6C" w:rsidRDefault="008352F3" w:rsidP="00EA19BA">
      <w:pPr>
        <w:ind w:right="-46"/>
      </w:pPr>
      <w:r w:rsidRPr="00900D6C">
        <w:t>I</w:t>
      </w:r>
      <w:r w:rsidR="007A0DDD" w:rsidRPr="00900D6C">
        <w:t>n</w:t>
      </w:r>
      <w:r w:rsidR="00E444FC" w:rsidRPr="00900D6C">
        <w:t>formation regarding history of exposures during the period 60 days</w:t>
      </w:r>
      <w:r w:rsidR="004F35DD" w:rsidRPr="00900D6C">
        <w:t xml:space="preserve"> </w:t>
      </w:r>
      <w:r w:rsidR="00E444FC" w:rsidRPr="00900D6C">
        <w:t>before onset of illness</w:t>
      </w:r>
      <w:r w:rsidR="00E275FE" w:rsidRPr="00900D6C">
        <w:t xml:space="preserve"> (10 days for Paratyphoid)</w:t>
      </w:r>
      <w:r w:rsidR="00E444FC" w:rsidRPr="00900D6C">
        <w:t xml:space="preserve"> should be sought</w:t>
      </w:r>
      <w:r w:rsidR="00087E27" w:rsidRPr="00900D6C">
        <w:t>, including</w:t>
      </w:r>
      <w:r w:rsidR="00E444FC" w:rsidRPr="00900D6C">
        <w:t>:</w:t>
      </w:r>
    </w:p>
    <w:p w14:paraId="434E81E4" w14:textId="26A9ED5E" w:rsidR="00E444FC" w:rsidRPr="00900D6C" w:rsidRDefault="00257703" w:rsidP="00EA19BA">
      <w:pPr>
        <w:pStyle w:val="ListParagraph"/>
        <w:numPr>
          <w:ilvl w:val="0"/>
          <w:numId w:val="17"/>
        </w:numPr>
        <w:ind w:right="-46"/>
        <w:rPr>
          <w:lang w:val="en-AU"/>
        </w:rPr>
      </w:pPr>
      <w:r w:rsidRPr="00900D6C">
        <w:rPr>
          <w:lang w:val="en-AU"/>
        </w:rPr>
        <w:t>h</w:t>
      </w:r>
      <w:r w:rsidR="00E444FC" w:rsidRPr="00900D6C">
        <w:rPr>
          <w:lang w:val="en-AU"/>
        </w:rPr>
        <w:t>ousehold</w:t>
      </w:r>
      <w:r w:rsidR="00D0381E" w:rsidRPr="00900D6C">
        <w:rPr>
          <w:lang w:val="en-AU"/>
        </w:rPr>
        <w:t>-</w:t>
      </w:r>
      <w:r w:rsidR="00D064EA" w:rsidRPr="00900D6C">
        <w:rPr>
          <w:lang w:val="en-AU"/>
        </w:rPr>
        <w:t>type</w:t>
      </w:r>
      <w:r w:rsidR="00E444FC" w:rsidRPr="00900D6C">
        <w:rPr>
          <w:lang w:val="en-AU"/>
        </w:rPr>
        <w:t xml:space="preserve"> contacts who have had an illness consistent with </w:t>
      </w:r>
      <w:r w:rsidR="00087E27" w:rsidRPr="00900D6C">
        <w:rPr>
          <w:lang w:val="en-AU"/>
        </w:rPr>
        <w:t>enteric fever</w:t>
      </w:r>
      <w:r w:rsidRPr="00900D6C">
        <w:rPr>
          <w:lang w:val="en-AU"/>
        </w:rPr>
        <w:t>;</w:t>
      </w:r>
    </w:p>
    <w:p w14:paraId="35D9DDB2" w14:textId="6003E41F" w:rsidR="00E444FC" w:rsidRPr="00900D6C" w:rsidRDefault="00257703" w:rsidP="00EA19BA">
      <w:pPr>
        <w:pStyle w:val="ListParagraph"/>
        <w:numPr>
          <w:ilvl w:val="0"/>
          <w:numId w:val="17"/>
        </w:numPr>
        <w:ind w:right="-46"/>
        <w:rPr>
          <w:lang w:val="en-AU"/>
        </w:rPr>
      </w:pPr>
      <w:r w:rsidRPr="00900D6C">
        <w:rPr>
          <w:lang w:val="en-AU"/>
        </w:rPr>
        <w:t>r</w:t>
      </w:r>
      <w:r w:rsidR="00E444FC" w:rsidRPr="00900D6C">
        <w:rPr>
          <w:lang w:val="en-AU"/>
        </w:rPr>
        <w:t xml:space="preserve">estaurants </w:t>
      </w:r>
      <w:r w:rsidR="008352F3" w:rsidRPr="00900D6C">
        <w:rPr>
          <w:lang w:val="en-AU"/>
        </w:rPr>
        <w:t>and takeaway venues</w:t>
      </w:r>
      <w:r w:rsidR="00D93538" w:rsidRPr="00900D6C">
        <w:rPr>
          <w:lang w:val="en-AU"/>
        </w:rPr>
        <w:t xml:space="preserve"> </w:t>
      </w:r>
      <w:r w:rsidR="00E444FC" w:rsidRPr="00900D6C">
        <w:rPr>
          <w:lang w:val="en-AU"/>
        </w:rPr>
        <w:t>where the case has eaten or worked</w:t>
      </w:r>
      <w:r w:rsidRPr="00900D6C">
        <w:rPr>
          <w:lang w:val="en-AU"/>
        </w:rPr>
        <w:t>;</w:t>
      </w:r>
    </w:p>
    <w:p w14:paraId="021AD5A7" w14:textId="10536337" w:rsidR="00E444FC" w:rsidRPr="00900D6C" w:rsidRDefault="00257703" w:rsidP="00EA19BA">
      <w:pPr>
        <w:pStyle w:val="ListParagraph"/>
        <w:numPr>
          <w:ilvl w:val="0"/>
          <w:numId w:val="17"/>
        </w:numPr>
        <w:ind w:right="-46"/>
        <w:rPr>
          <w:lang w:val="en-AU"/>
        </w:rPr>
      </w:pPr>
      <w:r w:rsidRPr="00900D6C">
        <w:rPr>
          <w:lang w:val="en-AU"/>
        </w:rPr>
        <w:t>t</w:t>
      </w:r>
      <w:r w:rsidR="00E444FC" w:rsidRPr="00900D6C">
        <w:rPr>
          <w:lang w:val="en-AU"/>
        </w:rPr>
        <w:t xml:space="preserve">ravel by </w:t>
      </w:r>
      <w:r w:rsidR="007A0DDD" w:rsidRPr="00900D6C">
        <w:rPr>
          <w:lang w:val="en-AU"/>
        </w:rPr>
        <w:t>a</w:t>
      </w:r>
      <w:r w:rsidR="00E444FC" w:rsidRPr="00900D6C">
        <w:rPr>
          <w:lang w:val="en-AU"/>
        </w:rPr>
        <w:t xml:space="preserve"> household</w:t>
      </w:r>
      <w:r w:rsidR="00D0381E" w:rsidRPr="00900D6C">
        <w:rPr>
          <w:lang w:val="en-AU"/>
        </w:rPr>
        <w:t>-</w:t>
      </w:r>
      <w:r w:rsidR="00D064EA" w:rsidRPr="00900D6C">
        <w:rPr>
          <w:lang w:val="en-AU"/>
        </w:rPr>
        <w:t>type</w:t>
      </w:r>
      <w:r w:rsidR="00E444FC" w:rsidRPr="00900D6C">
        <w:rPr>
          <w:lang w:val="en-AU"/>
        </w:rPr>
        <w:t xml:space="preserve"> </w:t>
      </w:r>
      <w:r w:rsidR="00F76860" w:rsidRPr="00900D6C">
        <w:rPr>
          <w:lang w:val="en-AU"/>
        </w:rPr>
        <w:t xml:space="preserve">or other close </w:t>
      </w:r>
      <w:r w:rsidR="00E444FC" w:rsidRPr="00900D6C">
        <w:rPr>
          <w:lang w:val="en-AU"/>
        </w:rPr>
        <w:t xml:space="preserve">contact to countries with endemic </w:t>
      </w:r>
      <w:r w:rsidR="00087E27" w:rsidRPr="00900D6C">
        <w:rPr>
          <w:lang w:val="en-AU"/>
        </w:rPr>
        <w:t>enteric fever</w:t>
      </w:r>
      <w:r w:rsidRPr="00900D6C">
        <w:rPr>
          <w:lang w:val="en-AU"/>
        </w:rPr>
        <w:t>;</w:t>
      </w:r>
    </w:p>
    <w:p w14:paraId="5A830EEE" w14:textId="6A11E24F" w:rsidR="00E444FC" w:rsidRPr="00900D6C" w:rsidRDefault="00257703" w:rsidP="00EA19BA">
      <w:pPr>
        <w:pStyle w:val="ListParagraph"/>
        <w:numPr>
          <w:ilvl w:val="0"/>
          <w:numId w:val="17"/>
        </w:numPr>
        <w:ind w:right="-46"/>
        <w:rPr>
          <w:lang w:val="en-AU"/>
        </w:rPr>
      </w:pPr>
      <w:r w:rsidRPr="00900D6C">
        <w:rPr>
          <w:lang w:val="en-AU"/>
        </w:rPr>
        <w:t>s</w:t>
      </w:r>
      <w:r w:rsidR="00E444FC" w:rsidRPr="00900D6C">
        <w:rPr>
          <w:lang w:val="en-AU"/>
        </w:rPr>
        <w:t>ocial gatherings where the case has eaten</w:t>
      </w:r>
      <w:r w:rsidRPr="00900D6C">
        <w:rPr>
          <w:lang w:val="en-AU"/>
        </w:rPr>
        <w:t>;</w:t>
      </w:r>
    </w:p>
    <w:p w14:paraId="70E0A131" w14:textId="0F152CF7" w:rsidR="00E444FC" w:rsidRPr="00900D6C" w:rsidRDefault="00257703" w:rsidP="00EA19BA">
      <w:pPr>
        <w:pStyle w:val="ListParagraph"/>
        <w:numPr>
          <w:ilvl w:val="0"/>
          <w:numId w:val="17"/>
        </w:numPr>
        <w:ind w:right="-46"/>
        <w:rPr>
          <w:lang w:val="en-AU"/>
        </w:rPr>
      </w:pPr>
      <w:r w:rsidRPr="00900D6C">
        <w:rPr>
          <w:lang w:val="en-AU"/>
        </w:rPr>
        <w:t>a</w:t>
      </w:r>
      <w:r w:rsidR="00E444FC" w:rsidRPr="00900D6C">
        <w:rPr>
          <w:lang w:val="en-AU"/>
        </w:rPr>
        <w:t>ttendance or employment at child</w:t>
      </w:r>
      <w:r w:rsidRPr="00900D6C">
        <w:rPr>
          <w:lang w:val="en-AU"/>
        </w:rPr>
        <w:t>-</w:t>
      </w:r>
      <w:r w:rsidR="00E444FC" w:rsidRPr="00900D6C">
        <w:rPr>
          <w:lang w:val="en-AU"/>
        </w:rPr>
        <w:t xml:space="preserve">care services </w:t>
      </w:r>
      <w:r w:rsidR="008352F3" w:rsidRPr="00900D6C">
        <w:rPr>
          <w:lang w:val="en-AU"/>
        </w:rPr>
        <w:t>or</w:t>
      </w:r>
      <w:r w:rsidR="00B05BC8" w:rsidRPr="00900D6C">
        <w:rPr>
          <w:lang w:val="en-AU"/>
        </w:rPr>
        <w:t xml:space="preserve"> </w:t>
      </w:r>
      <w:r w:rsidR="008352F3" w:rsidRPr="00900D6C">
        <w:rPr>
          <w:lang w:val="en-AU"/>
        </w:rPr>
        <w:t>in other care</w:t>
      </w:r>
      <w:r w:rsidRPr="00900D6C">
        <w:rPr>
          <w:lang w:val="en-AU"/>
        </w:rPr>
        <w:t>-</w:t>
      </w:r>
      <w:r w:rsidR="008352F3" w:rsidRPr="00900D6C">
        <w:rPr>
          <w:lang w:val="en-AU"/>
        </w:rPr>
        <w:t>giving industries (e</w:t>
      </w:r>
      <w:r w:rsidR="00C32980" w:rsidRPr="00900D6C">
        <w:rPr>
          <w:lang w:val="en-AU"/>
        </w:rPr>
        <w:t>.</w:t>
      </w:r>
      <w:r w:rsidR="008352F3" w:rsidRPr="00900D6C">
        <w:rPr>
          <w:lang w:val="en-AU"/>
        </w:rPr>
        <w:t>g. health</w:t>
      </w:r>
      <w:r w:rsidRPr="00900D6C">
        <w:rPr>
          <w:lang w:val="en-AU"/>
        </w:rPr>
        <w:t>-</w:t>
      </w:r>
      <w:r w:rsidR="008352F3" w:rsidRPr="00900D6C">
        <w:rPr>
          <w:lang w:val="en-AU"/>
        </w:rPr>
        <w:t xml:space="preserve">care workers, carers to elderly) </w:t>
      </w:r>
      <w:r w:rsidR="00E444FC" w:rsidRPr="00900D6C">
        <w:rPr>
          <w:lang w:val="en-AU"/>
        </w:rPr>
        <w:t xml:space="preserve">by </w:t>
      </w:r>
      <w:r w:rsidR="00070424" w:rsidRPr="00900D6C">
        <w:rPr>
          <w:lang w:val="en-AU"/>
        </w:rPr>
        <w:t xml:space="preserve">the </w:t>
      </w:r>
      <w:r w:rsidR="00E444FC" w:rsidRPr="00900D6C">
        <w:rPr>
          <w:lang w:val="en-AU"/>
        </w:rPr>
        <w:t>case or household contacts</w:t>
      </w:r>
      <w:r w:rsidRPr="00900D6C">
        <w:rPr>
          <w:lang w:val="en-AU"/>
        </w:rPr>
        <w:t>;</w:t>
      </w:r>
    </w:p>
    <w:p w14:paraId="7494D8BF" w14:textId="3A6AA712" w:rsidR="00E444FC" w:rsidRPr="00900D6C" w:rsidRDefault="00257703" w:rsidP="00EA19BA">
      <w:pPr>
        <w:pStyle w:val="ListParagraph"/>
        <w:numPr>
          <w:ilvl w:val="0"/>
          <w:numId w:val="17"/>
        </w:numPr>
        <w:ind w:right="-46"/>
        <w:rPr>
          <w:lang w:val="en-AU"/>
        </w:rPr>
      </w:pPr>
      <w:proofErr w:type="gramStart"/>
      <w:r w:rsidRPr="00900D6C">
        <w:rPr>
          <w:lang w:val="en-AU"/>
        </w:rPr>
        <w:t>h</w:t>
      </w:r>
      <w:r w:rsidR="00E444FC" w:rsidRPr="00900D6C">
        <w:rPr>
          <w:lang w:val="en-AU"/>
        </w:rPr>
        <w:t>ospitalisation</w:t>
      </w:r>
      <w:proofErr w:type="gramEnd"/>
      <w:r w:rsidRPr="00900D6C">
        <w:rPr>
          <w:lang w:val="en-AU"/>
        </w:rPr>
        <w:t>.</w:t>
      </w:r>
    </w:p>
    <w:p w14:paraId="2526660F" w14:textId="77777777" w:rsidR="002A4B69" w:rsidRPr="00900D6C" w:rsidRDefault="002A4B69" w:rsidP="00900D6C">
      <w:pPr>
        <w:pStyle w:val="Heading3"/>
      </w:pPr>
      <w:r w:rsidRPr="00900D6C">
        <w:t>Case treatment</w:t>
      </w:r>
    </w:p>
    <w:p w14:paraId="4D261BD3" w14:textId="69B56F84" w:rsidR="00D603C1" w:rsidRPr="00900D6C" w:rsidRDefault="004F35DD" w:rsidP="00EA19BA">
      <w:pPr>
        <w:ind w:right="-46"/>
      </w:pPr>
      <w:r w:rsidRPr="00900D6C">
        <w:t>Treatment is the responsibility of the treating doctor. R</w:t>
      </w:r>
      <w:r w:rsidR="002A4B69" w:rsidRPr="00900D6C">
        <w:t xml:space="preserve">efer to current </w:t>
      </w:r>
      <w:r w:rsidR="002A4B69" w:rsidRPr="0098447C">
        <w:rPr>
          <w:i/>
        </w:rPr>
        <w:t>Therapeutic Guidelines: Antibiotic</w:t>
      </w:r>
      <w:r w:rsidR="007F580C" w:rsidRPr="0098447C">
        <w:rPr>
          <w:i/>
        </w:rPr>
        <w:t>s</w:t>
      </w:r>
      <w:r w:rsidR="00632EAF" w:rsidRPr="00900D6C">
        <w:rPr>
          <w:i/>
        </w:rPr>
        <w:t xml:space="preserve"> </w:t>
      </w:r>
      <w:r w:rsidR="00632EAF" w:rsidRPr="00900D6C">
        <w:t>(</w:t>
      </w:r>
      <w:r w:rsidR="00632EAF" w:rsidRPr="00900D6C">
        <w:rPr>
          <w:rFonts w:cs="Arial"/>
          <w:shd w:val="clear" w:color="auto" w:fill="FFFFFF"/>
        </w:rPr>
        <w:t>http://www.tg.org.au/</w:t>
      </w:r>
      <w:r w:rsidR="00632EAF" w:rsidRPr="00900D6C">
        <w:t>)</w:t>
      </w:r>
      <w:r w:rsidR="007F580C" w:rsidRPr="00900D6C">
        <w:t>.</w:t>
      </w:r>
      <w:r w:rsidR="00C2458C" w:rsidRPr="00900D6C">
        <w:t xml:space="preserve"> An infectious diseases physician should be consulted about treatment for chronic carriers.</w:t>
      </w:r>
    </w:p>
    <w:p w14:paraId="4A064757" w14:textId="77777777" w:rsidR="002A4B69" w:rsidRPr="00900D6C" w:rsidRDefault="002A4B69" w:rsidP="00900D6C">
      <w:pPr>
        <w:pStyle w:val="Heading3"/>
        <w:rPr>
          <w:lang w:val="en-AU"/>
        </w:rPr>
      </w:pPr>
      <w:r w:rsidRPr="00900D6C">
        <w:rPr>
          <w:lang w:val="en-AU"/>
        </w:rPr>
        <w:t>Education</w:t>
      </w:r>
    </w:p>
    <w:p w14:paraId="6DEBBEB4" w14:textId="4E50037B" w:rsidR="002A4B69" w:rsidRPr="00900D6C" w:rsidRDefault="00587880" w:rsidP="00EA19BA">
      <w:pPr>
        <w:ind w:right="-46"/>
      </w:pPr>
      <w:r w:rsidRPr="00900D6C">
        <w:t>All c</w:t>
      </w:r>
      <w:r w:rsidR="00070424" w:rsidRPr="00900D6C">
        <w:t xml:space="preserve">ases </w:t>
      </w:r>
      <w:r w:rsidR="00B85443" w:rsidRPr="00900D6C">
        <w:t xml:space="preserve">should be </w:t>
      </w:r>
      <w:r w:rsidR="002A4B69" w:rsidRPr="00900D6C">
        <w:t xml:space="preserve">informed about </w:t>
      </w:r>
      <w:r w:rsidR="00B85443" w:rsidRPr="00900D6C">
        <w:t xml:space="preserve">the </w:t>
      </w:r>
      <w:r w:rsidR="002A4B69" w:rsidRPr="00900D6C">
        <w:t xml:space="preserve">nature of </w:t>
      </w:r>
      <w:r w:rsidR="00850D08" w:rsidRPr="00900D6C">
        <w:t xml:space="preserve">the </w:t>
      </w:r>
      <w:r w:rsidR="002A4B69" w:rsidRPr="00900D6C">
        <w:t>infection and mode of transmission (</w:t>
      </w:r>
      <w:r w:rsidR="00B85443" w:rsidRPr="00900D6C">
        <w:t xml:space="preserve">refer to fact sheet for typhoid </w:t>
      </w:r>
      <w:r w:rsidR="008352F3" w:rsidRPr="00900D6C">
        <w:t xml:space="preserve">and paratyphoid </w:t>
      </w:r>
      <w:r w:rsidR="00B85443" w:rsidRPr="00900D6C">
        <w:t xml:space="preserve">at </w:t>
      </w:r>
      <w:r w:rsidR="00935BEA" w:rsidRPr="00900D6C">
        <w:t>Appendix 3: Sample fact sheet for typhoid and paratyphoid fevers (enteric fever)</w:t>
      </w:r>
      <w:r w:rsidR="00B85443" w:rsidRPr="00900D6C">
        <w:t>).</w:t>
      </w:r>
      <w:r w:rsidR="00EE72EE" w:rsidRPr="00900D6C">
        <w:t xml:space="preserve"> If the case is in a</w:t>
      </w:r>
      <w:r w:rsidR="00C35BD6" w:rsidRPr="00900D6C">
        <w:t>n occupation with a</w:t>
      </w:r>
      <w:r w:rsidR="00EE72EE" w:rsidRPr="00900D6C">
        <w:t xml:space="preserve"> high</w:t>
      </w:r>
      <w:r w:rsidR="00C35BD6" w:rsidRPr="00900D6C">
        <w:t>er</w:t>
      </w:r>
      <w:r w:rsidR="00EE72EE" w:rsidRPr="00900D6C">
        <w:t xml:space="preserve"> risk </w:t>
      </w:r>
      <w:r w:rsidR="00C35BD6" w:rsidRPr="00900D6C">
        <w:t>of transmitting disease (see</w:t>
      </w:r>
      <w:r w:rsidR="00486CA3" w:rsidRPr="00900D6C">
        <w:t xml:space="preserve"> “Isolation and restriction”</w:t>
      </w:r>
      <w:r w:rsidR="00C35BD6" w:rsidRPr="00900D6C">
        <w:t xml:space="preserve"> below)</w:t>
      </w:r>
      <w:r w:rsidR="00EE72EE" w:rsidRPr="00900D6C">
        <w:t>, a letter can be provided for their workplace confirming exclusion from work or requesting reassignment</w:t>
      </w:r>
      <w:r w:rsidR="00486CA3" w:rsidRPr="00900D6C">
        <w:t xml:space="preserve"> </w:t>
      </w:r>
      <w:r w:rsidR="00F72DD5" w:rsidRPr="00900D6C">
        <w:t xml:space="preserve">of duties </w:t>
      </w:r>
      <w:r w:rsidR="00486CA3" w:rsidRPr="00900D6C">
        <w:t xml:space="preserve">(see example letter at </w:t>
      </w:r>
      <w:r w:rsidR="00935BEA" w:rsidRPr="00900D6C">
        <w:t>Appendix 4: Sample letters</w:t>
      </w:r>
      <w:r w:rsidR="00486CA3" w:rsidRPr="00900D6C">
        <w:t>)</w:t>
      </w:r>
      <w:r w:rsidR="00EE72EE" w:rsidRPr="00900D6C">
        <w:t xml:space="preserve">. A letter of clearance to return to work </w:t>
      </w:r>
      <w:r w:rsidR="00FF16B6" w:rsidRPr="00900D6C">
        <w:t>can</w:t>
      </w:r>
      <w:r w:rsidR="00EE72EE" w:rsidRPr="00900D6C">
        <w:t xml:space="preserve"> also be provided</w:t>
      </w:r>
      <w:r w:rsidR="00F76860" w:rsidRPr="00900D6C">
        <w:t xml:space="preserve"> where appropriate</w:t>
      </w:r>
      <w:r w:rsidR="00E275FE" w:rsidRPr="00900D6C">
        <w:t xml:space="preserve"> (see example letter at </w:t>
      </w:r>
      <w:r w:rsidR="00935BEA" w:rsidRPr="00900D6C">
        <w:t>Appendix 4: Sample letters</w:t>
      </w:r>
      <w:r w:rsidR="00E275FE" w:rsidRPr="00900D6C">
        <w:t>)</w:t>
      </w:r>
      <w:r w:rsidR="00EE72EE" w:rsidRPr="00900D6C">
        <w:t>.</w:t>
      </w:r>
    </w:p>
    <w:p w14:paraId="144BC3EB" w14:textId="77777777" w:rsidR="00BA01D7" w:rsidRDefault="002A4B69" w:rsidP="00900D6C">
      <w:pPr>
        <w:pStyle w:val="Heading3"/>
        <w:rPr>
          <w:lang w:val="en-AU"/>
        </w:rPr>
      </w:pPr>
      <w:r w:rsidRPr="00900D6C">
        <w:rPr>
          <w:lang w:val="en-AU"/>
        </w:rPr>
        <w:t>Isolation and restriction</w:t>
      </w:r>
    </w:p>
    <w:p w14:paraId="61124A95" w14:textId="0C96F04D" w:rsidR="00FE3763" w:rsidRPr="00900D6C" w:rsidRDefault="00935BEA" w:rsidP="00EA19BA">
      <w:pPr>
        <w:ind w:right="-46"/>
      </w:pPr>
      <w:r w:rsidRPr="00900D6C">
        <w:t>Appendix 5: Public Health Management of cases of enteric fever flow diagram</w:t>
      </w:r>
    </w:p>
    <w:p w14:paraId="7E6870BA" w14:textId="421C9318" w:rsidR="00CE3602" w:rsidRPr="00900D6C" w:rsidRDefault="00076446" w:rsidP="00EA19BA">
      <w:pPr>
        <w:ind w:right="-46"/>
      </w:pPr>
      <w:r w:rsidRPr="00900D6C">
        <w:t xml:space="preserve">Hospital care is </w:t>
      </w:r>
      <w:r w:rsidR="00C35BD6" w:rsidRPr="00900D6C">
        <w:t xml:space="preserve">often </w:t>
      </w:r>
      <w:r w:rsidR="00DF28D4" w:rsidRPr="00900D6C">
        <w:t xml:space="preserve">considered </w:t>
      </w:r>
      <w:r w:rsidR="00327AEC" w:rsidRPr="00900D6C">
        <w:t xml:space="preserve">to be </w:t>
      </w:r>
      <w:r w:rsidRPr="00900D6C">
        <w:t xml:space="preserve">desirable during acute illness </w:t>
      </w:r>
      <w:r w:rsidR="00C35BD6" w:rsidRPr="00900D6C">
        <w:t>and</w:t>
      </w:r>
      <w:r w:rsidRPr="00900D6C">
        <w:t xml:space="preserve"> e</w:t>
      </w:r>
      <w:r w:rsidR="001E31FF" w:rsidRPr="00900D6C">
        <w:t xml:space="preserve">nteric precautions </w:t>
      </w:r>
      <w:r w:rsidR="00C35BD6" w:rsidRPr="00900D6C">
        <w:t xml:space="preserve">should be </w:t>
      </w:r>
      <w:r w:rsidRPr="00900D6C">
        <w:t xml:space="preserve">taken </w:t>
      </w:r>
      <w:r w:rsidR="001E31FF" w:rsidRPr="00900D6C">
        <w:t xml:space="preserve">while </w:t>
      </w:r>
      <w:r w:rsidRPr="00900D6C">
        <w:t xml:space="preserve">the case is </w:t>
      </w:r>
      <w:r w:rsidR="001E31FF" w:rsidRPr="00900D6C">
        <w:t>ill</w:t>
      </w:r>
      <w:r w:rsidR="00004642" w:rsidRPr="00900D6C">
        <w:t xml:space="preserve"> </w:t>
      </w:r>
      <w:r w:rsidR="00162C20" w:rsidRPr="00900D6C">
        <w:t>(</w:t>
      </w:r>
      <w:r w:rsidR="00196AAD" w:rsidRPr="00900D6C">
        <w:t>6</w:t>
      </w:r>
      <w:r w:rsidR="00162C20" w:rsidRPr="00900D6C">
        <w:t>)</w:t>
      </w:r>
      <w:r w:rsidRPr="00900D6C">
        <w:t>.</w:t>
      </w:r>
      <w:r w:rsidR="001E31FF" w:rsidRPr="00900D6C">
        <w:t xml:space="preserve"> </w:t>
      </w:r>
      <w:r w:rsidR="00DF28D4" w:rsidRPr="00900D6C">
        <w:t xml:space="preserve">Mild cases with a good understanding of hygiene and who are compliant with </w:t>
      </w:r>
      <w:r w:rsidR="00327AEC" w:rsidRPr="00900D6C">
        <w:t xml:space="preserve">taking </w:t>
      </w:r>
      <w:r w:rsidR="00DF28D4" w:rsidRPr="00900D6C">
        <w:t>medication</w:t>
      </w:r>
      <w:r w:rsidR="00327AEC" w:rsidRPr="00900D6C">
        <w:t xml:space="preserve">, </w:t>
      </w:r>
      <w:r w:rsidR="00280C63" w:rsidRPr="00900D6C">
        <w:t xml:space="preserve">may be able to </w:t>
      </w:r>
      <w:r w:rsidR="00DF28D4" w:rsidRPr="00900D6C">
        <w:t xml:space="preserve">be treated at home </w:t>
      </w:r>
      <w:r w:rsidR="001F6F9D" w:rsidRPr="00900D6C">
        <w:t>(</w:t>
      </w:r>
      <w:r w:rsidR="00196AAD" w:rsidRPr="00900D6C">
        <w:t>43</w:t>
      </w:r>
      <w:r w:rsidR="001F6F9D" w:rsidRPr="00900D6C">
        <w:t>)</w:t>
      </w:r>
      <w:r w:rsidR="00DF28D4" w:rsidRPr="00900D6C">
        <w:t>.</w:t>
      </w:r>
    </w:p>
    <w:p w14:paraId="07B98FB4" w14:textId="34D39CD2" w:rsidR="005114F0" w:rsidRPr="00900D6C" w:rsidRDefault="00C35BD6" w:rsidP="00EA19BA">
      <w:pPr>
        <w:ind w:right="-46"/>
      </w:pPr>
      <w:r w:rsidRPr="00900D6C">
        <w:t>Though t</w:t>
      </w:r>
      <w:r w:rsidR="00850D08" w:rsidRPr="00900D6C">
        <w:t>he</w:t>
      </w:r>
      <w:r w:rsidR="009E68C4" w:rsidRPr="00900D6C">
        <w:t xml:space="preserve">re is </w:t>
      </w:r>
      <w:r w:rsidR="00486CA3" w:rsidRPr="00900D6C">
        <w:t>limited</w:t>
      </w:r>
      <w:r w:rsidR="009E68C4" w:rsidRPr="00900D6C">
        <w:t xml:space="preserve"> evidence</w:t>
      </w:r>
      <w:r w:rsidRPr="00900D6C">
        <w:t>, the</w:t>
      </w:r>
      <w:r w:rsidR="00850D08" w:rsidRPr="00900D6C">
        <w:t xml:space="preserve"> risk of transmission </w:t>
      </w:r>
      <w:r w:rsidRPr="00900D6C">
        <w:t>appears</w:t>
      </w:r>
      <w:r w:rsidR="00850D08" w:rsidRPr="00900D6C">
        <w:t xml:space="preserve"> low where hygiene practices are good.</w:t>
      </w:r>
      <w:r w:rsidR="009E68C4" w:rsidRPr="00900D6C">
        <w:t xml:space="preserve"> </w:t>
      </w:r>
      <w:r w:rsidR="00850D08" w:rsidRPr="00900D6C">
        <w:t xml:space="preserve">However, </w:t>
      </w:r>
      <w:r w:rsidR="005114F0" w:rsidRPr="00900D6C">
        <w:t xml:space="preserve">the following groups are considered </w:t>
      </w:r>
      <w:r w:rsidR="00850D08" w:rsidRPr="00900D6C">
        <w:t>at higher risk of transmitting the disease</w:t>
      </w:r>
      <w:r w:rsidR="00F76860" w:rsidRPr="00900D6C">
        <w:t xml:space="preserve"> because of occupational or personal characteristics</w:t>
      </w:r>
      <w:r w:rsidR="005114F0" w:rsidRPr="00900D6C">
        <w:t>:</w:t>
      </w:r>
    </w:p>
    <w:p w14:paraId="74CA90E1" w14:textId="78190BD0" w:rsidR="005114F0" w:rsidRPr="00900D6C" w:rsidRDefault="00850D08" w:rsidP="00EA19BA">
      <w:pPr>
        <w:pStyle w:val="ListParagraph"/>
        <w:numPr>
          <w:ilvl w:val="0"/>
          <w:numId w:val="4"/>
        </w:numPr>
        <w:ind w:right="-46"/>
        <w:rPr>
          <w:lang w:val="en-AU"/>
        </w:rPr>
      </w:pPr>
      <w:r w:rsidRPr="00900D6C">
        <w:rPr>
          <w:lang w:val="en-AU"/>
        </w:rPr>
        <w:t>food handlers</w:t>
      </w:r>
      <w:r w:rsidR="00257703" w:rsidRPr="00900D6C">
        <w:rPr>
          <w:lang w:val="en-AU"/>
        </w:rPr>
        <w:t>;</w:t>
      </w:r>
    </w:p>
    <w:p w14:paraId="1A24F330" w14:textId="06E2A632" w:rsidR="00280C63" w:rsidRPr="00900D6C" w:rsidRDefault="00280C63" w:rsidP="00EA19BA">
      <w:pPr>
        <w:pStyle w:val="ListParagraph"/>
        <w:numPr>
          <w:ilvl w:val="0"/>
          <w:numId w:val="4"/>
        </w:numPr>
        <w:ind w:right="-46"/>
        <w:rPr>
          <w:lang w:val="en-AU"/>
        </w:rPr>
      </w:pPr>
      <w:r w:rsidRPr="00900D6C">
        <w:rPr>
          <w:lang w:val="en-AU"/>
        </w:rPr>
        <w:t>health</w:t>
      </w:r>
      <w:r w:rsidR="00257703" w:rsidRPr="00900D6C">
        <w:rPr>
          <w:lang w:val="en-AU"/>
        </w:rPr>
        <w:t>-</w:t>
      </w:r>
      <w:r w:rsidRPr="00900D6C">
        <w:rPr>
          <w:lang w:val="en-AU"/>
        </w:rPr>
        <w:t>care workers involved in direct patient care</w:t>
      </w:r>
      <w:r w:rsidR="00257703" w:rsidRPr="00900D6C">
        <w:rPr>
          <w:lang w:val="en-AU"/>
        </w:rPr>
        <w:t>;</w:t>
      </w:r>
    </w:p>
    <w:p w14:paraId="0368E221" w14:textId="5C55B09B" w:rsidR="005114F0" w:rsidRPr="00900D6C" w:rsidRDefault="009A19DF" w:rsidP="00EA19BA">
      <w:pPr>
        <w:pStyle w:val="ListParagraph"/>
        <w:numPr>
          <w:ilvl w:val="0"/>
          <w:numId w:val="4"/>
        </w:numPr>
        <w:ind w:right="-46"/>
        <w:rPr>
          <w:lang w:val="en-AU"/>
        </w:rPr>
      </w:pPr>
      <w:r w:rsidRPr="00900D6C">
        <w:rPr>
          <w:lang w:val="en-AU"/>
        </w:rPr>
        <w:t>carers of children below primary school age</w:t>
      </w:r>
      <w:r w:rsidR="00257703" w:rsidRPr="00900D6C">
        <w:rPr>
          <w:lang w:val="en-AU"/>
        </w:rPr>
        <w:t>;</w:t>
      </w:r>
    </w:p>
    <w:p w14:paraId="69B7B6EC" w14:textId="400E724E" w:rsidR="005114F0" w:rsidRPr="00900D6C" w:rsidRDefault="00850D08" w:rsidP="00EA19BA">
      <w:pPr>
        <w:pStyle w:val="ListParagraph"/>
        <w:numPr>
          <w:ilvl w:val="0"/>
          <w:numId w:val="4"/>
        </w:numPr>
        <w:ind w:right="-46"/>
        <w:rPr>
          <w:lang w:val="en-AU"/>
        </w:rPr>
      </w:pPr>
      <w:r w:rsidRPr="00900D6C">
        <w:rPr>
          <w:lang w:val="en-AU"/>
        </w:rPr>
        <w:t>carers of the elderly</w:t>
      </w:r>
      <w:r w:rsidR="00257703" w:rsidRPr="00900D6C">
        <w:rPr>
          <w:lang w:val="en-AU"/>
        </w:rPr>
        <w:t>;</w:t>
      </w:r>
    </w:p>
    <w:p w14:paraId="47F158A5" w14:textId="0FFAEF3B" w:rsidR="005114F0" w:rsidRPr="00900D6C" w:rsidRDefault="005114F0" w:rsidP="00EA19BA">
      <w:pPr>
        <w:pStyle w:val="ListParagraph"/>
        <w:numPr>
          <w:ilvl w:val="0"/>
          <w:numId w:val="4"/>
        </w:numPr>
        <w:ind w:right="-46"/>
        <w:rPr>
          <w:lang w:val="en-AU"/>
        </w:rPr>
      </w:pPr>
      <w:r w:rsidRPr="00900D6C">
        <w:rPr>
          <w:lang w:val="en-AU"/>
        </w:rPr>
        <w:t>children in pre-school, kindergarten or child care (i</w:t>
      </w:r>
      <w:r w:rsidR="00280C63" w:rsidRPr="00900D6C">
        <w:rPr>
          <w:lang w:val="en-AU"/>
        </w:rPr>
        <w:t>.</w:t>
      </w:r>
      <w:r w:rsidRPr="00900D6C">
        <w:rPr>
          <w:lang w:val="en-AU"/>
        </w:rPr>
        <w:t>e</w:t>
      </w:r>
      <w:r w:rsidR="00280C63" w:rsidRPr="00900D6C">
        <w:rPr>
          <w:lang w:val="en-AU"/>
        </w:rPr>
        <w:t>.</w:t>
      </w:r>
      <w:r w:rsidRPr="00900D6C">
        <w:rPr>
          <w:lang w:val="en-AU"/>
        </w:rPr>
        <w:t xml:space="preserve"> below primary school age)</w:t>
      </w:r>
      <w:r w:rsidR="00257703" w:rsidRPr="00900D6C">
        <w:rPr>
          <w:lang w:val="en-AU"/>
        </w:rPr>
        <w:t>;</w:t>
      </w:r>
    </w:p>
    <w:p w14:paraId="10E294C6" w14:textId="263EAE72" w:rsidR="00850D08" w:rsidRPr="00900D6C" w:rsidRDefault="00850D08" w:rsidP="00EA19BA">
      <w:pPr>
        <w:pStyle w:val="ListParagraph"/>
        <w:numPr>
          <w:ilvl w:val="0"/>
          <w:numId w:val="4"/>
        </w:numPr>
        <w:ind w:right="-46"/>
        <w:rPr>
          <w:lang w:val="en-AU"/>
        </w:rPr>
      </w:pPr>
      <w:proofErr w:type="gramStart"/>
      <w:r w:rsidRPr="00900D6C">
        <w:rPr>
          <w:lang w:val="en-AU"/>
        </w:rPr>
        <w:t>those</w:t>
      </w:r>
      <w:proofErr w:type="gramEnd"/>
      <w:r w:rsidRPr="00900D6C">
        <w:rPr>
          <w:lang w:val="en-AU"/>
        </w:rPr>
        <w:t xml:space="preserve"> unable to maintain personal hygiene and their</w:t>
      </w:r>
      <w:r w:rsidR="00486CA3" w:rsidRPr="00900D6C">
        <w:rPr>
          <w:lang w:val="en-AU"/>
        </w:rPr>
        <w:t xml:space="preserve"> </w:t>
      </w:r>
      <w:proofErr w:type="spellStart"/>
      <w:r w:rsidRPr="00900D6C">
        <w:rPr>
          <w:lang w:val="en-AU"/>
        </w:rPr>
        <w:t>carers</w:t>
      </w:r>
      <w:proofErr w:type="spellEnd"/>
      <w:r w:rsidRPr="00900D6C">
        <w:rPr>
          <w:lang w:val="en-AU"/>
        </w:rPr>
        <w:t>.</w:t>
      </w:r>
    </w:p>
    <w:p w14:paraId="3C2097C9" w14:textId="57EA9C91" w:rsidR="00850D08" w:rsidRPr="00900D6C" w:rsidRDefault="00850D08" w:rsidP="00EA19BA">
      <w:pPr>
        <w:ind w:right="-46"/>
      </w:pPr>
      <w:r w:rsidRPr="00900D6C">
        <w:t>All cases should be excluded from work, school, child</w:t>
      </w:r>
      <w:r w:rsidR="00327AEC" w:rsidRPr="00900D6C">
        <w:t xml:space="preserve"> </w:t>
      </w:r>
      <w:r w:rsidRPr="00900D6C">
        <w:t xml:space="preserve">care and swimming pools until 48 hours after resolution of symptoms. All cases should be advised </w:t>
      </w:r>
      <w:r w:rsidR="006E1C01" w:rsidRPr="00900D6C">
        <w:t>not to aid in feeding or preparing food</w:t>
      </w:r>
      <w:r w:rsidRPr="00900D6C">
        <w:t xml:space="preserve"> for others until </w:t>
      </w:r>
      <w:r w:rsidR="00280C63" w:rsidRPr="00900D6C">
        <w:t xml:space="preserve">at least </w:t>
      </w:r>
      <w:r w:rsidRPr="00900D6C">
        <w:t>48 hours after resolution of their symptoms.</w:t>
      </w:r>
    </w:p>
    <w:p w14:paraId="47EAD942" w14:textId="1C4CB45E" w:rsidR="004C5C81" w:rsidRPr="00900D6C" w:rsidRDefault="005114F0" w:rsidP="00EA19BA">
      <w:pPr>
        <w:ind w:right="-46"/>
      </w:pPr>
      <w:r w:rsidRPr="00900D6C">
        <w:t xml:space="preserve">Food handlers, carers of patients, carers of children, carers of the elderly, and carers of others </w:t>
      </w:r>
      <w:r w:rsidR="000E4379" w:rsidRPr="00900D6C">
        <w:t xml:space="preserve">who are </w:t>
      </w:r>
      <w:r w:rsidRPr="00900D6C">
        <w:t>not able to maintain their own personal hygiene</w:t>
      </w:r>
      <w:r w:rsidR="00327AEC" w:rsidRPr="00900D6C">
        <w:t>,</w:t>
      </w:r>
      <w:r w:rsidRPr="00900D6C">
        <w:t xml:space="preserve"> </w:t>
      </w:r>
      <w:r w:rsidR="00850D08" w:rsidRPr="00900D6C">
        <w:t xml:space="preserve">should further be excluded from </w:t>
      </w:r>
      <w:r w:rsidRPr="00900D6C">
        <w:t>work</w:t>
      </w:r>
      <w:r w:rsidR="0073172B" w:rsidRPr="00900D6C">
        <w:t>ing</w:t>
      </w:r>
      <w:r w:rsidRPr="00900D6C">
        <w:t xml:space="preserve"> with food or caring for people</w:t>
      </w:r>
      <w:r w:rsidR="00850D08" w:rsidRPr="00900D6C">
        <w:t xml:space="preserve"> until </w:t>
      </w:r>
      <w:r w:rsidR="00327AEC" w:rsidRPr="00900D6C">
        <w:t>two</w:t>
      </w:r>
      <w:r w:rsidR="00850D08" w:rsidRPr="00900D6C">
        <w:t xml:space="preserve"> consecutive stool specimens</w:t>
      </w:r>
      <w:r w:rsidR="00D82192" w:rsidRPr="00900D6C">
        <w:t xml:space="preserve"> -</w:t>
      </w:r>
      <w:r w:rsidR="00850D08" w:rsidRPr="00900D6C">
        <w:t xml:space="preserve"> collected </w:t>
      </w:r>
      <w:r w:rsidR="007A0DDD" w:rsidRPr="00900D6C">
        <w:t>at least 48 hours</w:t>
      </w:r>
      <w:r w:rsidR="00850D08" w:rsidRPr="00900D6C">
        <w:t xml:space="preserve"> apart and </w:t>
      </w:r>
      <w:r w:rsidR="00573F23" w:rsidRPr="00900D6C">
        <w:t xml:space="preserve">the first specimen collected </w:t>
      </w:r>
      <w:r w:rsidR="00850D08" w:rsidRPr="00900D6C">
        <w:t>not sooner than 48 hours post cessation of antibiotics</w:t>
      </w:r>
      <w:r w:rsidR="00D82192" w:rsidRPr="00900D6C">
        <w:t xml:space="preserve"> -</w:t>
      </w:r>
      <w:r w:rsidR="00850D08" w:rsidRPr="00900D6C">
        <w:t xml:space="preserve"> are </w:t>
      </w:r>
      <w:r w:rsidR="0019735A" w:rsidRPr="00900D6C">
        <w:t xml:space="preserve">culture </w:t>
      </w:r>
      <w:r w:rsidR="00850D08" w:rsidRPr="00900D6C">
        <w:t xml:space="preserve">negative. </w:t>
      </w:r>
      <w:r w:rsidR="006A4190" w:rsidRPr="00900D6C">
        <w:t>This includes cases who are chronic carriers.</w:t>
      </w:r>
      <w:r w:rsidR="00850D08" w:rsidRPr="00900D6C">
        <w:t xml:space="preserve"> They may return to work to undertake duties </w:t>
      </w:r>
      <w:r w:rsidR="001654B3" w:rsidRPr="00900D6C">
        <w:t>other than</w:t>
      </w:r>
      <w:r w:rsidR="00165BE6" w:rsidRPr="00900D6C">
        <w:t xml:space="preserve"> </w:t>
      </w:r>
      <w:r w:rsidRPr="00900D6C">
        <w:t>handling food or caring for people</w:t>
      </w:r>
      <w:r w:rsidR="00850D08" w:rsidRPr="00900D6C">
        <w:t xml:space="preserve"> once they have been free of symptoms for 48 hours and are continent and </w:t>
      </w:r>
      <w:r w:rsidR="001654B3" w:rsidRPr="00900D6C">
        <w:t xml:space="preserve">are able to </w:t>
      </w:r>
      <w:r w:rsidR="003F1325" w:rsidRPr="00900D6C">
        <w:t>take</w:t>
      </w:r>
      <w:r w:rsidR="00850D08" w:rsidRPr="00900D6C">
        <w:t xml:space="preserve"> adequate hygiene </w:t>
      </w:r>
      <w:r w:rsidR="001654B3" w:rsidRPr="00900D6C">
        <w:t>measures</w:t>
      </w:r>
      <w:r w:rsidR="00850D08" w:rsidRPr="00900D6C">
        <w:t>.</w:t>
      </w:r>
    </w:p>
    <w:p w14:paraId="14274151" w14:textId="538ECB87" w:rsidR="009F4ACC" w:rsidRPr="00900D6C" w:rsidRDefault="009F4ACC" w:rsidP="00EA19BA">
      <w:pPr>
        <w:ind w:right="-46"/>
      </w:pPr>
      <w:r w:rsidRPr="00900D6C">
        <w:rPr>
          <w:shd w:val="clear" w:color="auto" w:fill="FFFFFF" w:themeFill="background1"/>
        </w:rPr>
        <w:t>Children in pre-school, kindergarten or child</w:t>
      </w:r>
      <w:r w:rsidR="00327AEC" w:rsidRPr="00900D6C">
        <w:rPr>
          <w:shd w:val="clear" w:color="auto" w:fill="FFFFFF" w:themeFill="background1"/>
        </w:rPr>
        <w:t xml:space="preserve"> </w:t>
      </w:r>
      <w:r w:rsidRPr="00900D6C">
        <w:rPr>
          <w:shd w:val="clear" w:color="auto" w:fill="FFFFFF" w:themeFill="background1"/>
        </w:rPr>
        <w:t>care (i</w:t>
      </w:r>
      <w:r w:rsidR="00280C63" w:rsidRPr="00900D6C">
        <w:rPr>
          <w:shd w:val="clear" w:color="auto" w:fill="FFFFFF" w:themeFill="background1"/>
        </w:rPr>
        <w:t>.</w:t>
      </w:r>
      <w:r w:rsidRPr="00900D6C">
        <w:rPr>
          <w:shd w:val="clear" w:color="auto" w:fill="FFFFFF" w:themeFill="background1"/>
        </w:rPr>
        <w:t>e. below primary school age) and any case who is unable to maintain their own hygiene</w:t>
      </w:r>
      <w:r w:rsidR="00327AEC" w:rsidRPr="00900D6C">
        <w:rPr>
          <w:shd w:val="clear" w:color="auto" w:fill="FFFFFF" w:themeFill="background1"/>
        </w:rPr>
        <w:t>,</w:t>
      </w:r>
      <w:r w:rsidRPr="00900D6C">
        <w:rPr>
          <w:shd w:val="clear" w:color="auto" w:fill="FFFFFF" w:themeFill="background1"/>
        </w:rPr>
        <w:t xml:space="preserve"> should be isolated (i</w:t>
      </w:r>
      <w:r w:rsidR="00280C63" w:rsidRPr="00900D6C">
        <w:rPr>
          <w:shd w:val="clear" w:color="auto" w:fill="FFFFFF" w:themeFill="background1"/>
        </w:rPr>
        <w:t>.</w:t>
      </w:r>
      <w:r w:rsidRPr="00900D6C">
        <w:rPr>
          <w:shd w:val="clear" w:color="auto" w:fill="FFFFFF" w:themeFill="background1"/>
        </w:rPr>
        <w:t>e</w:t>
      </w:r>
      <w:r w:rsidR="00280C63" w:rsidRPr="00900D6C">
        <w:rPr>
          <w:shd w:val="clear" w:color="auto" w:fill="FFFFFF" w:themeFill="background1"/>
        </w:rPr>
        <w:t>.</w:t>
      </w:r>
      <w:r w:rsidRPr="00900D6C">
        <w:rPr>
          <w:shd w:val="clear" w:color="auto" w:fill="FFFFFF" w:themeFill="background1"/>
        </w:rPr>
        <w:t xml:space="preserve"> stay at home) until</w:t>
      </w:r>
      <w:r w:rsidRPr="00900D6C">
        <w:t xml:space="preserve"> two consecutive </w:t>
      </w:r>
      <w:r w:rsidR="0019735A" w:rsidRPr="00900D6C">
        <w:t xml:space="preserve">culture </w:t>
      </w:r>
      <w:r w:rsidRPr="00900D6C">
        <w:t xml:space="preserve">negative stool specimens collected </w:t>
      </w:r>
      <w:r w:rsidR="007A0DDD" w:rsidRPr="00900D6C">
        <w:t xml:space="preserve">at least 48 hours </w:t>
      </w:r>
      <w:r w:rsidRPr="00900D6C">
        <w:t xml:space="preserve">apart and </w:t>
      </w:r>
      <w:r w:rsidR="0019735A" w:rsidRPr="00900D6C">
        <w:t xml:space="preserve">the first </w:t>
      </w:r>
      <w:r w:rsidRPr="00900D6C">
        <w:t xml:space="preserve">not sooner than 48 hours post cessation of antibiotics are obtained. </w:t>
      </w:r>
      <w:r w:rsidR="006E1C01" w:rsidRPr="00900D6C">
        <w:t>Children of primary</w:t>
      </w:r>
      <w:r w:rsidR="00327AEC" w:rsidRPr="00900D6C">
        <w:t>-</w:t>
      </w:r>
      <w:r w:rsidR="006E1C01" w:rsidRPr="00900D6C">
        <w:t>school age or above</w:t>
      </w:r>
      <w:r w:rsidR="00327AEC" w:rsidRPr="00900D6C">
        <w:t>,</w:t>
      </w:r>
      <w:r w:rsidR="006E1C01" w:rsidRPr="00900D6C">
        <w:t xml:space="preserve"> can return to school once they are symptom free for 48 hours</w:t>
      </w:r>
      <w:r w:rsidR="00327AEC" w:rsidRPr="00900D6C">
        <w:t>,</w:t>
      </w:r>
      <w:r w:rsidR="006E1C01" w:rsidRPr="00900D6C">
        <w:t xml:space="preserve"> provided</w:t>
      </w:r>
      <w:r w:rsidR="00280C63" w:rsidRPr="00900D6C">
        <w:t xml:space="preserve"> </w:t>
      </w:r>
      <w:r w:rsidR="006E1C01" w:rsidRPr="00900D6C">
        <w:t xml:space="preserve">they are continent and </w:t>
      </w:r>
      <w:r w:rsidR="001654B3" w:rsidRPr="00900D6C">
        <w:t>are able to</w:t>
      </w:r>
      <w:r w:rsidR="000E4379" w:rsidRPr="00900D6C">
        <w:t xml:space="preserve"> take</w:t>
      </w:r>
      <w:r w:rsidR="006E1C01" w:rsidRPr="00900D6C">
        <w:t xml:space="preserve"> adequate hygiene </w:t>
      </w:r>
      <w:r w:rsidR="000E4379" w:rsidRPr="00900D6C">
        <w:t>measures</w:t>
      </w:r>
      <w:r w:rsidR="006E1C01" w:rsidRPr="00900D6C">
        <w:t>.</w:t>
      </w:r>
    </w:p>
    <w:p w14:paraId="74B8C882" w14:textId="77777777" w:rsidR="00BA01D7" w:rsidRDefault="00280C63" w:rsidP="00EA19BA">
      <w:pPr>
        <w:ind w:right="-46"/>
      </w:pPr>
      <w:r w:rsidRPr="00900D6C">
        <w:t>For establishing clearance, u</w:t>
      </w:r>
      <w:r w:rsidR="004C5C81" w:rsidRPr="00900D6C">
        <w:t>rine samples must be collected</w:t>
      </w:r>
      <w:r w:rsidR="00C32980" w:rsidRPr="00900D6C">
        <w:t xml:space="preserve"> (</w:t>
      </w:r>
      <w:r w:rsidR="00B53893" w:rsidRPr="00900D6C">
        <w:t xml:space="preserve">not sooner than 48 hours post cessation of antibiotics and until </w:t>
      </w:r>
      <w:r w:rsidR="00C32980" w:rsidRPr="00900D6C">
        <w:t xml:space="preserve">two </w:t>
      </w:r>
      <w:r w:rsidR="00B53893" w:rsidRPr="00900D6C">
        <w:t xml:space="preserve">consecutive negative </w:t>
      </w:r>
      <w:r w:rsidR="00C32980" w:rsidRPr="00900D6C">
        <w:t>sam</w:t>
      </w:r>
      <w:r w:rsidR="00B53893" w:rsidRPr="00900D6C">
        <w:t>ples at least 48 hours apart</w:t>
      </w:r>
      <w:r w:rsidR="00C32980" w:rsidRPr="00900D6C">
        <w:t>)</w:t>
      </w:r>
      <w:r w:rsidR="004C5C81" w:rsidRPr="00900D6C">
        <w:t xml:space="preserve"> in addition to stool samples if the case </w:t>
      </w:r>
      <w:r w:rsidR="005114F0" w:rsidRPr="00900D6C">
        <w:t xml:space="preserve">is considered at higher risk </w:t>
      </w:r>
      <w:r w:rsidR="00486CA3" w:rsidRPr="00900D6C">
        <w:t>of</w:t>
      </w:r>
      <w:r w:rsidR="005114F0" w:rsidRPr="00900D6C">
        <w:t xml:space="preserve"> transmitting the </w:t>
      </w:r>
      <w:r w:rsidR="00486CA3" w:rsidRPr="00900D6C">
        <w:t>disease</w:t>
      </w:r>
      <w:r w:rsidR="005114F0" w:rsidRPr="00900D6C">
        <w:t xml:space="preserve"> (see above) </w:t>
      </w:r>
      <w:r w:rsidR="005114F0" w:rsidRPr="00900D6C">
        <w:rPr>
          <w:b/>
        </w:rPr>
        <w:t>and</w:t>
      </w:r>
      <w:r w:rsidR="005114F0" w:rsidRPr="00900D6C">
        <w:t xml:space="preserve"> </w:t>
      </w:r>
      <w:r w:rsidR="004C5C81" w:rsidRPr="00900D6C">
        <w:t>originally had any of the following:</w:t>
      </w:r>
    </w:p>
    <w:p w14:paraId="42086E67" w14:textId="39A7C837" w:rsidR="008C6FBE" w:rsidRPr="00900D6C" w:rsidRDefault="00742304" w:rsidP="00EA19BA">
      <w:pPr>
        <w:pStyle w:val="ListParagraph"/>
        <w:numPr>
          <w:ilvl w:val="0"/>
          <w:numId w:val="18"/>
        </w:numPr>
        <w:ind w:right="-46"/>
        <w:rPr>
          <w:lang w:val="en-AU"/>
        </w:rPr>
      </w:pPr>
      <w:r w:rsidRPr="00900D6C">
        <w:rPr>
          <w:lang w:val="en-AU"/>
        </w:rPr>
        <w:t xml:space="preserve">a </w:t>
      </w:r>
      <w:r w:rsidR="004C5C81" w:rsidRPr="00900D6C">
        <w:rPr>
          <w:lang w:val="en-AU"/>
        </w:rPr>
        <w:t>positive urine culture</w:t>
      </w:r>
      <w:r w:rsidR="00327AEC" w:rsidRPr="00900D6C">
        <w:rPr>
          <w:lang w:val="en-AU"/>
        </w:rPr>
        <w:t>;</w:t>
      </w:r>
    </w:p>
    <w:p w14:paraId="29B1269F" w14:textId="38034469" w:rsidR="00CE1605" w:rsidRPr="00900D6C" w:rsidRDefault="00742304" w:rsidP="00EA19BA">
      <w:pPr>
        <w:pStyle w:val="ListParagraph"/>
        <w:numPr>
          <w:ilvl w:val="0"/>
          <w:numId w:val="18"/>
        </w:numPr>
        <w:ind w:right="-46"/>
        <w:rPr>
          <w:lang w:val="en-AU"/>
        </w:rPr>
      </w:pPr>
      <w:r w:rsidRPr="00900D6C">
        <w:rPr>
          <w:lang w:val="en-AU"/>
        </w:rPr>
        <w:t xml:space="preserve">concurrent </w:t>
      </w:r>
      <w:proofErr w:type="spellStart"/>
      <w:r w:rsidR="004C5C81" w:rsidRPr="00900D6C">
        <w:rPr>
          <w:lang w:val="en-AU"/>
        </w:rPr>
        <w:t>schistosomiasis</w:t>
      </w:r>
      <w:proofErr w:type="spellEnd"/>
      <w:r w:rsidR="00327AEC" w:rsidRPr="00900D6C">
        <w:rPr>
          <w:lang w:val="en-AU"/>
        </w:rPr>
        <w:t>;</w:t>
      </w:r>
    </w:p>
    <w:p w14:paraId="00CE3D13" w14:textId="50607246" w:rsidR="004C5C81" w:rsidRPr="00900D6C" w:rsidRDefault="00742304" w:rsidP="00EA19BA">
      <w:pPr>
        <w:pStyle w:val="ListParagraph"/>
        <w:numPr>
          <w:ilvl w:val="0"/>
          <w:numId w:val="18"/>
        </w:numPr>
        <w:ind w:right="-46"/>
        <w:rPr>
          <w:lang w:val="en-AU"/>
        </w:rPr>
      </w:pPr>
      <w:proofErr w:type="gramStart"/>
      <w:r w:rsidRPr="00900D6C">
        <w:rPr>
          <w:lang w:val="en-AU"/>
        </w:rPr>
        <w:t>a</w:t>
      </w:r>
      <w:proofErr w:type="gramEnd"/>
      <w:r w:rsidRPr="00900D6C">
        <w:rPr>
          <w:lang w:val="en-AU"/>
        </w:rPr>
        <w:t xml:space="preserve"> </w:t>
      </w:r>
      <w:r w:rsidR="00CE1605" w:rsidRPr="00900D6C">
        <w:rPr>
          <w:lang w:val="en-AU"/>
        </w:rPr>
        <w:t>history of kidney stones</w:t>
      </w:r>
      <w:r w:rsidR="004C5C81" w:rsidRPr="00900D6C">
        <w:rPr>
          <w:lang w:val="en-AU"/>
        </w:rPr>
        <w:t>.</w:t>
      </w:r>
    </w:p>
    <w:p w14:paraId="26BF5911" w14:textId="77777777" w:rsidR="002A4B69" w:rsidRPr="00900D6C" w:rsidRDefault="002A4B69" w:rsidP="00900D6C">
      <w:pPr>
        <w:pStyle w:val="Heading3"/>
      </w:pPr>
      <w:r w:rsidRPr="00900D6C">
        <w:t>Active case finding</w:t>
      </w:r>
    </w:p>
    <w:p w14:paraId="15C8B821" w14:textId="473147CF" w:rsidR="00076446" w:rsidRPr="00900D6C" w:rsidRDefault="00076446" w:rsidP="00EA19BA">
      <w:pPr>
        <w:ind w:right="-46"/>
      </w:pPr>
      <w:r w:rsidRPr="00900D6C">
        <w:t xml:space="preserve">If there is no history of any </w:t>
      </w:r>
      <w:r w:rsidR="002731E9" w:rsidRPr="00900D6C">
        <w:t xml:space="preserve">international </w:t>
      </w:r>
      <w:r w:rsidRPr="00900D6C">
        <w:t xml:space="preserve">travel, local sources of infection </w:t>
      </w:r>
      <w:r w:rsidR="007705D0" w:rsidRPr="00900D6C">
        <w:t xml:space="preserve">should be </w:t>
      </w:r>
      <w:r w:rsidRPr="00900D6C">
        <w:t>investigated</w:t>
      </w:r>
      <w:r w:rsidR="002731E9" w:rsidRPr="00900D6C">
        <w:t>.</w:t>
      </w:r>
    </w:p>
    <w:p w14:paraId="7B3D9712" w14:textId="677A046A" w:rsidR="00461051" w:rsidRPr="00900D6C" w:rsidRDefault="002731E9" w:rsidP="00EA19BA">
      <w:pPr>
        <w:ind w:right="-46"/>
      </w:pPr>
      <w:r w:rsidRPr="00900D6C">
        <w:t>In this situation, h</w:t>
      </w:r>
      <w:r w:rsidR="00461051" w:rsidRPr="00900D6C">
        <w:t>ousehold</w:t>
      </w:r>
      <w:r w:rsidR="007705D0" w:rsidRPr="00900D6C">
        <w:t>-type</w:t>
      </w:r>
      <w:r w:rsidR="00461051" w:rsidRPr="00900D6C">
        <w:t xml:space="preserve"> contacts</w:t>
      </w:r>
      <w:r w:rsidR="007705D0" w:rsidRPr="00900D6C">
        <w:t xml:space="preserve"> should be asked to provide stool samples even if asymptomatic and not in a group at higher risk of transmitting disease</w:t>
      </w:r>
      <w:r w:rsidR="00461051" w:rsidRPr="00900D6C">
        <w:t xml:space="preserve"> </w:t>
      </w:r>
      <w:r w:rsidR="003047FA" w:rsidRPr="00900D6C">
        <w:t>(</w:t>
      </w:r>
      <w:r w:rsidR="00935BEA" w:rsidRPr="00900D6C">
        <w:t>11. Contact management</w:t>
      </w:r>
      <w:r w:rsidR="003047FA" w:rsidRPr="00900D6C">
        <w:t>)</w:t>
      </w:r>
      <w:r w:rsidR="00B53893" w:rsidRPr="00900D6C">
        <w:t xml:space="preserve">. </w:t>
      </w:r>
      <w:r w:rsidR="007705D0" w:rsidRPr="00900D6C">
        <w:t>If these</w:t>
      </w:r>
      <w:r w:rsidR="003047FA" w:rsidRPr="00900D6C">
        <w:t xml:space="preserve"> </w:t>
      </w:r>
      <w:r w:rsidR="00461051" w:rsidRPr="00900D6C">
        <w:t xml:space="preserve">are negative, investigation should expand to question (and possibly request stool samples from) other contacts in </w:t>
      </w:r>
      <w:r w:rsidR="00076446" w:rsidRPr="00900D6C">
        <w:t xml:space="preserve">an </w:t>
      </w:r>
      <w:r w:rsidR="00461051" w:rsidRPr="00900D6C">
        <w:t>attempt to identify the source of infection</w:t>
      </w:r>
      <w:r w:rsidR="00486BAA" w:rsidRPr="00900D6C">
        <w:t xml:space="preserve"> for the case</w:t>
      </w:r>
      <w:r w:rsidR="00461051" w:rsidRPr="00900D6C">
        <w:t xml:space="preserve">. </w:t>
      </w:r>
      <w:r w:rsidR="000940EE" w:rsidRPr="00900D6C">
        <w:t>O</w:t>
      </w:r>
      <w:r w:rsidR="00461051" w:rsidRPr="00900D6C">
        <w:t xml:space="preserve">ther people in contact with the case in the month prior to </w:t>
      </w:r>
      <w:r w:rsidR="00076446" w:rsidRPr="00900D6C">
        <w:t xml:space="preserve">the onset of </w:t>
      </w:r>
      <w:r w:rsidR="00461051" w:rsidRPr="00900D6C">
        <w:t>illness</w:t>
      </w:r>
      <w:r w:rsidR="000940EE" w:rsidRPr="00900D6C">
        <w:t>,</w:t>
      </w:r>
      <w:r w:rsidR="00461051" w:rsidRPr="00900D6C">
        <w:t xml:space="preserve"> their travel history</w:t>
      </w:r>
      <w:r w:rsidR="00486BAA" w:rsidRPr="00900D6C">
        <w:t>, a history of previous typhoid-like illness</w:t>
      </w:r>
      <w:r w:rsidR="00461051" w:rsidRPr="00900D6C">
        <w:t xml:space="preserve"> and </w:t>
      </w:r>
      <w:r w:rsidR="00486BAA" w:rsidRPr="00900D6C">
        <w:t xml:space="preserve">the </w:t>
      </w:r>
      <w:r w:rsidR="00461051" w:rsidRPr="00900D6C">
        <w:t>likelihood of transmitting disease to the case based on the nature of contact</w:t>
      </w:r>
      <w:r w:rsidR="00463808" w:rsidRPr="00900D6C">
        <w:t>,</w:t>
      </w:r>
      <w:r w:rsidR="000940EE" w:rsidRPr="00900D6C">
        <w:t xml:space="preserve"> should be taken into account</w:t>
      </w:r>
      <w:r w:rsidR="00076446" w:rsidRPr="00900D6C">
        <w:t>.</w:t>
      </w:r>
    </w:p>
    <w:p w14:paraId="10172E14" w14:textId="77777777" w:rsidR="00BA01D7" w:rsidRDefault="00CE3602" w:rsidP="00EA19BA">
      <w:pPr>
        <w:ind w:right="-46"/>
      </w:pPr>
      <w:r w:rsidRPr="00900D6C">
        <w:t xml:space="preserve">Food histories are generally only collected if </w:t>
      </w:r>
      <w:r w:rsidR="000940EE" w:rsidRPr="00900D6C">
        <w:t xml:space="preserve">the case is suspected to have acquired their illness locally and </w:t>
      </w:r>
      <w:r w:rsidR="00FF0BC3" w:rsidRPr="00900D6C">
        <w:t xml:space="preserve">if </w:t>
      </w:r>
      <w:r w:rsidRPr="00900D6C">
        <w:t>there is no history of</w:t>
      </w:r>
      <w:r w:rsidR="002731E9" w:rsidRPr="00900D6C">
        <w:t xml:space="preserve"> international</w:t>
      </w:r>
      <w:r w:rsidRPr="00900D6C">
        <w:t xml:space="preserve"> travel for the</w:t>
      </w:r>
      <w:r w:rsidR="00FF0BC3" w:rsidRPr="00900D6C">
        <w:t>m</w:t>
      </w:r>
      <w:r w:rsidRPr="00900D6C">
        <w:t xml:space="preserve"> and all </w:t>
      </w:r>
      <w:r w:rsidR="00FF0BC3" w:rsidRPr="00900D6C">
        <w:t xml:space="preserve">of their </w:t>
      </w:r>
      <w:r w:rsidR="00486BAA" w:rsidRPr="00900D6C">
        <w:t>household type</w:t>
      </w:r>
      <w:r w:rsidRPr="00900D6C">
        <w:t xml:space="preserve"> and </w:t>
      </w:r>
      <w:r w:rsidR="00486BAA" w:rsidRPr="00900D6C">
        <w:t>other contacts</w:t>
      </w:r>
      <w:r w:rsidR="000940EE" w:rsidRPr="00900D6C">
        <w:t>.</w:t>
      </w:r>
    </w:p>
    <w:p w14:paraId="1F126BF9" w14:textId="6FF11DF5" w:rsidR="0092728B" w:rsidRPr="00193BD1" w:rsidRDefault="002A4B69" w:rsidP="00193BD1">
      <w:pPr>
        <w:pStyle w:val="Heading1"/>
      </w:pPr>
      <w:bookmarkStart w:id="2" w:name="_Ref472431124"/>
      <w:r w:rsidRPr="00193BD1">
        <w:t>10. Environmental evaluation</w:t>
      </w:r>
      <w:bookmarkEnd w:id="2"/>
    </w:p>
    <w:p w14:paraId="20C4F8E4" w14:textId="4CEC2884" w:rsidR="00B6158F" w:rsidRPr="00900D6C" w:rsidRDefault="00B6158F" w:rsidP="00EA19BA">
      <w:pPr>
        <w:ind w:right="-46"/>
      </w:pPr>
      <w:r w:rsidRPr="00900D6C">
        <w:t>Although</w:t>
      </w:r>
      <w:r w:rsidRPr="00900D6C">
        <w:rPr>
          <w:rStyle w:val="apple-converted-space"/>
        </w:rPr>
        <w:t xml:space="preserve"> </w:t>
      </w:r>
      <w:r w:rsidRPr="00900D6C">
        <w:rPr>
          <w:rStyle w:val="Emphasis"/>
          <w:iCs w:val="0"/>
        </w:rPr>
        <w:t>S</w:t>
      </w:r>
      <w:r w:rsidRPr="00900D6C">
        <w:rPr>
          <w:rStyle w:val="Emphasis"/>
          <w:i w:val="0"/>
          <w:iCs w:val="0"/>
        </w:rPr>
        <w:t xml:space="preserve">. </w:t>
      </w:r>
      <w:proofErr w:type="spellStart"/>
      <w:r w:rsidRPr="00900D6C">
        <w:rPr>
          <w:rStyle w:val="Emphasis"/>
          <w:i w:val="0"/>
          <w:iCs w:val="0"/>
        </w:rPr>
        <w:t>Typhi</w:t>
      </w:r>
      <w:proofErr w:type="spellEnd"/>
      <w:r w:rsidRPr="00900D6C">
        <w:rPr>
          <w:rStyle w:val="Emphasis"/>
          <w:i w:val="0"/>
          <w:iCs w:val="0"/>
        </w:rPr>
        <w:t xml:space="preserve"> </w:t>
      </w:r>
      <w:r w:rsidR="00127A0F" w:rsidRPr="00900D6C">
        <w:rPr>
          <w:rStyle w:val="Emphasis"/>
          <w:i w:val="0"/>
          <w:iCs w:val="0"/>
        </w:rPr>
        <w:t xml:space="preserve">and </w:t>
      </w:r>
      <w:r w:rsidR="00127A0F" w:rsidRPr="00900D6C">
        <w:rPr>
          <w:i/>
        </w:rPr>
        <w:t>S.</w:t>
      </w:r>
      <w:r w:rsidR="00127A0F" w:rsidRPr="00900D6C">
        <w:t xml:space="preserve"> </w:t>
      </w:r>
      <w:proofErr w:type="spellStart"/>
      <w:r w:rsidR="00127A0F" w:rsidRPr="00900D6C">
        <w:t>Paratyphi</w:t>
      </w:r>
      <w:proofErr w:type="spellEnd"/>
      <w:r w:rsidR="00127A0F" w:rsidRPr="00900D6C">
        <w:t xml:space="preserve"> </w:t>
      </w:r>
      <w:r w:rsidR="00087E27" w:rsidRPr="00900D6C">
        <w:t xml:space="preserve">A </w:t>
      </w:r>
      <w:r w:rsidR="00127A0F" w:rsidRPr="00900D6C">
        <w:t>are</w:t>
      </w:r>
      <w:r w:rsidRPr="00900D6C">
        <w:t xml:space="preserve"> strictly adapted to humans, </w:t>
      </w:r>
      <w:r w:rsidR="00127A0F" w:rsidRPr="00900D6C">
        <w:t xml:space="preserve">both </w:t>
      </w:r>
      <w:proofErr w:type="spellStart"/>
      <w:r w:rsidR="00127A0F" w:rsidRPr="00900D6C">
        <w:t>serovars</w:t>
      </w:r>
      <w:proofErr w:type="spellEnd"/>
      <w:r w:rsidRPr="00900D6C">
        <w:t xml:space="preserve"> can </w:t>
      </w:r>
      <w:r w:rsidR="004C5C81" w:rsidRPr="00900D6C">
        <w:t>remain viable</w:t>
      </w:r>
      <w:r w:rsidRPr="00900D6C">
        <w:t xml:space="preserve"> in the environment, surviving in water </w:t>
      </w:r>
      <w:r w:rsidR="00361970" w:rsidRPr="00900D6C">
        <w:t>and underlying sediment</w:t>
      </w:r>
      <w:r w:rsidR="00087E27" w:rsidRPr="00900D6C">
        <w:t xml:space="preserve"> </w:t>
      </w:r>
      <w:r w:rsidRPr="00900D6C">
        <w:t xml:space="preserve">for </w:t>
      </w:r>
      <w:r w:rsidR="00361970" w:rsidRPr="00900D6C">
        <w:t>days to</w:t>
      </w:r>
      <w:r w:rsidRPr="00900D6C">
        <w:t xml:space="preserve"> weeks</w:t>
      </w:r>
      <w:r w:rsidR="00361970" w:rsidRPr="00900D6C">
        <w:t xml:space="preserve"> </w:t>
      </w:r>
      <w:r w:rsidR="001F6F9D" w:rsidRPr="00900D6C">
        <w:t>(</w:t>
      </w:r>
      <w:r w:rsidR="00196AAD" w:rsidRPr="00900D6C">
        <w:t>44</w:t>
      </w:r>
      <w:r w:rsidR="001F6F9D" w:rsidRPr="00900D6C">
        <w:t xml:space="preserve">, </w:t>
      </w:r>
      <w:r w:rsidR="00196AAD" w:rsidRPr="00900D6C">
        <w:t>45</w:t>
      </w:r>
      <w:r w:rsidR="001F6F9D" w:rsidRPr="00900D6C">
        <w:t>)</w:t>
      </w:r>
      <w:r w:rsidRPr="00900D6C">
        <w:t>.</w:t>
      </w:r>
    </w:p>
    <w:p w14:paraId="214FD7CA" w14:textId="3E512C0E" w:rsidR="005B2028" w:rsidRPr="00900D6C" w:rsidRDefault="00B6158F" w:rsidP="00EA19BA">
      <w:pPr>
        <w:ind w:right="-46"/>
      </w:pPr>
      <w:r w:rsidRPr="00900D6C">
        <w:t>C</w:t>
      </w:r>
      <w:r w:rsidR="00417869" w:rsidRPr="00900D6C">
        <w:t xml:space="preserve">ases </w:t>
      </w:r>
      <w:r w:rsidRPr="00900D6C">
        <w:t xml:space="preserve">in non-endemic countries suspected to be </w:t>
      </w:r>
      <w:r w:rsidR="00417869" w:rsidRPr="00900D6C">
        <w:t xml:space="preserve">locally acquired </w:t>
      </w:r>
      <w:r w:rsidR="00171CE2" w:rsidRPr="00900D6C">
        <w:t>usually</w:t>
      </w:r>
      <w:r w:rsidRPr="00900D6C">
        <w:t xml:space="preserve"> result from a chronic carrier </w:t>
      </w:r>
      <w:r w:rsidR="005642C9" w:rsidRPr="00900D6C">
        <w:t xml:space="preserve">who has </w:t>
      </w:r>
      <w:r w:rsidRPr="00900D6C">
        <w:t>contaminat</w:t>
      </w:r>
      <w:r w:rsidR="005642C9" w:rsidRPr="00900D6C">
        <w:t>ed</w:t>
      </w:r>
      <w:r w:rsidRPr="00900D6C">
        <w:t xml:space="preserve"> food</w:t>
      </w:r>
      <w:r w:rsidR="005642C9" w:rsidRPr="00900D6C">
        <w:t>,</w:t>
      </w:r>
      <w:r w:rsidRPr="00900D6C">
        <w:t xml:space="preserve"> as </w:t>
      </w:r>
      <w:r w:rsidR="00417869" w:rsidRPr="00900D6C">
        <w:t xml:space="preserve">person-to-person transmission </w:t>
      </w:r>
      <w:r w:rsidRPr="00900D6C">
        <w:t>is unlikely.</w:t>
      </w:r>
      <w:r w:rsidR="00417869" w:rsidRPr="00900D6C">
        <w:t xml:space="preserve"> </w:t>
      </w:r>
      <w:r w:rsidR="000E2446" w:rsidRPr="00900D6C">
        <w:t xml:space="preserve">If </w:t>
      </w:r>
      <w:r w:rsidR="009D6C9A" w:rsidRPr="00900D6C">
        <w:t xml:space="preserve">the case is a food handler </w:t>
      </w:r>
      <w:r w:rsidR="00D82192" w:rsidRPr="00900D6C">
        <w:t xml:space="preserve">and </w:t>
      </w:r>
      <w:r w:rsidR="000C073A" w:rsidRPr="00900D6C">
        <w:t xml:space="preserve">has </w:t>
      </w:r>
      <w:r w:rsidR="00D82192" w:rsidRPr="00900D6C">
        <w:t>worked</w:t>
      </w:r>
      <w:r w:rsidR="000E2446" w:rsidRPr="00900D6C">
        <w:t xml:space="preserve"> whil</w:t>
      </w:r>
      <w:r w:rsidRPr="00900D6C">
        <w:t>e</w:t>
      </w:r>
      <w:r w:rsidR="000E2446" w:rsidRPr="00900D6C">
        <w:t xml:space="preserve"> infectious</w:t>
      </w:r>
      <w:r w:rsidR="000940EE" w:rsidRPr="00900D6C">
        <w:t>,</w:t>
      </w:r>
      <w:r w:rsidR="000E2446" w:rsidRPr="00900D6C">
        <w:t xml:space="preserve"> </w:t>
      </w:r>
      <w:r w:rsidR="00EA5776" w:rsidRPr="00900D6C">
        <w:t>the PHU should work with</w:t>
      </w:r>
      <w:r w:rsidR="000E2446" w:rsidRPr="00900D6C">
        <w:t xml:space="preserve"> the </w:t>
      </w:r>
      <w:r w:rsidR="005642C9" w:rsidRPr="00900D6C">
        <w:t xml:space="preserve">relevant local government authority or </w:t>
      </w:r>
      <w:r w:rsidR="00EA5776" w:rsidRPr="00900D6C">
        <w:t xml:space="preserve">jurisdictional </w:t>
      </w:r>
      <w:r w:rsidR="000940EE" w:rsidRPr="00900D6C">
        <w:t>f</w:t>
      </w:r>
      <w:r w:rsidR="000E2446" w:rsidRPr="00900D6C">
        <w:t xml:space="preserve">ood </w:t>
      </w:r>
      <w:r w:rsidR="000940EE" w:rsidRPr="00900D6C">
        <w:t>a</w:t>
      </w:r>
      <w:r w:rsidR="000E2446" w:rsidRPr="00900D6C">
        <w:t>uthority to conduct an environmental evaluation/risk assessment</w:t>
      </w:r>
      <w:r w:rsidR="005B2028" w:rsidRPr="00900D6C">
        <w:t xml:space="preserve"> (see 12. </w:t>
      </w:r>
      <w:proofErr w:type="gramStart"/>
      <w:r w:rsidR="005B2028" w:rsidRPr="00900D6C">
        <w:t>Special Situations)</w:t>
      </w:r>
      <w:r w:rsidR="000E2446" w:rsidRPr="00900D6C">
        <w:t>.</w:t>
      </w:r>
      <w:proofErr w:type="gramEnd"/>
    </w:p>
    <w:p w14:paraId="605A6A2F" w14:textId="150D4F1B" w:rsidR="000E2446" w:rsidRPr="00900D6C" w:rsidRDefault="000E2446" w:rsidP="00EA19BA">
      <w:pPr>
        <w:ind w:right="-46"/>
      </w:pPr>
      <w:proofErr w:type="gramStart"/>
      <w:r w:rsidRPr="00900D6C">
        <w:t xml:space="preserve">Where a food source is suspected on epidemiological grounds, contact </w:t>
      </w:r>
      <w:r w:rsidR="00B6158F" w:rsidRPr="00900D6C">
        <w:t xml:space="preserve">the </w:t>
      </w:r>
      <w:r w:rsidR="005642C9" w:rsidRPr="00900D6C">
        <w:t xml:space="preserve">relevant local government authority or </w:t>
      </w:r>
      <w:r w:rsidR="000940EE" w:rsidRPr="00900D6C">
        <w:t>f</w:t>
      </w:r>
      <w:r w:rsidRPr="00900D6C">
        <w:t xml:space="preserve">ood </w:t>
      </w:r>
      <w:r w:rsidR="000940EE" w:rsidRPr="00900D6C">
        <w:t>a</w:t>
      </w:r>
      <w:r w:rsidRPr="00900D6C">
        <w:t xml:space="preserve">uthority </w:t>
      </w:r>
      <w:r w:rsidR="000940EE" w:rsidRPr="00900D6C">
        <w:t>c</w:t>
      </w:r>
      <w:r w:rsidRPr="00900D6C">
        <w:t>oordinator to arrange an environmental evaluation.</w:t>
      </w:r>
      <w:proofErr w:type="gramEnd"/>
    </w:p>
    <w:p w14:paraId="62FC8B1E" w14:textId="77777777" w:rsidR="0092728B" w:rsidRPr="00193BD1" w:rsidRDefault="002A4B69" w:rsidP="00193BD1">
      <w:pPr>
        <w:pStyle w:val="Heading1"/>
      </w:pPr>
      <w:bookmarkStart w:id="3" w:name="_Ref472431274"/>
      <w:r w:rsidRPr="00193BD1">
        <w:t>11. Contact management</w:t>
      </w:r>
      <w:bookmarkEnd w:id="3"/>
    </w:p>
    <w:p w14:paraId="0D71E5E7" w14:textId="4B13E3C3" w:rsidR="00627943" w:rsidRPr="00900D6C" w:rsidRDefault="00627943" w:rsidP="00EA19BA">
      <w:pPr>
        <w:ind w:right="-46"/>
      </w:pPr>
      <w:r w:rsidRPr="00900D6C">
        <w:t>The aim of identifying contacts is to:</w:t>
      </w:r>
    </w:p>
    <w:p w14:paraId="658D86E3" w14:textId="34B77C40" w:rsidR="00627943" w:rsidRPr="00900D6C" w:rsidRDefault="00742304" w:rsidP="00EA19BA">
      <w:pPr>
        <w:pStyle w:val="ListParagraph"/>
        <w:numPr>
          <w:ilvl w:val="0"/>
          <w:numId w:val="19"/>
        </w:numPr>
        <w:ind w:right="-46"/>
        <w:rPr>
          <w:lang w:val="en-AU"/>
        </w:rPr>
      </w:pPr>
      <w:r w:rsidRPr="00900D6C">
        <w:rPr>
          <w:lang w:val="en-AU"/>
        </w:rPr>
        <w:t xml:space="preserve">alert </w:t>
      </w:r>
      <w:r w:rsidR="00627943" w:rsidRPr="00900D6C">
        <w:rPr>
          <w:lang w:val="en-AU"/>
        </w:rPr>
        <w:t>them to the possibility that they could develop disease</w:t>
      </w:r>
      <w:r w:rsidR="000C073A" w:rsidRPr="00900D6C">
        <w:rPr>
          <w:lang w:val="en-AU"/>
        </w:rPr>
        <w:t>;</w:t>
      </w:r>
    </w:p>
    <w:p w14:paraId="017CA69C" w14:textId="70D7415A" w:rsidR="00627943" w:rsidRPr="00900D6C" w:rsidRDefault="00742304" w:rsidP="00EA19BA">
      <w:pPr>
        <w:pStyle w:val="ListParagraph"/>
        <w:numPr>
          <w:ilvl w:val="0"/>
          <w:numId w:val="19"/>
        </w:numPr>
        <w:ind w:right="-46"/>
        <w:rPr>
          <w:lang w:val="en-AU"/>
        </w:rPr>
      </w:pPr>
      <w:r w:rsidRPr="00900D6C">
        <w:rPr>
          <w:lang w:val="en-AU"/>
        </w:rPr>
        <w:t xml:space="preserve">detect </w:t>
      </w:r>
      <w:r w:rsidR="00627943" w:rsidRPr="00900D6C">
        <w:rPr>
          <w:lang w:val="en-AU"/>
        </w:rPr>
        <w:t>asymptomatic carriers</w:t>
      </w:r>
      <w:r w:rsidR="00723149" w:rsidRPr="00900D6C">
        <w:rPr>
          <w:lang w:val="en-AU"/>
        </w:rPr>
        <w:t xml:space="preserve"> who are at higher risk of transmitting the infection to others</w:t>
      </w:r>
      <w:r w:rsidR="005642C9" w:rsidRPr="00900D6C">
        <w:rPr>
          <w:lang w:val="en-AU"/>
        </w:rPr>
        <w:t>, including those who work in a high risk setting</w:t>
      </w:r>
      <w:r w:rsidR="000C073A" w:rsidRPr="00900D6C">
        <w:rPr>
          <w:lang w:val="en-AU"/>
        </w:rPr>
        <w:t>;</w:t>
      </w:r>
    </w:p>
    <w:p w14:paraId="2610509E" w14:textId="64AE444E" w:rsidR="00627943" w:rsidRPr="00900D6C" w:rsidRDefault="00742304" w:rsidP="00EA19BA">
      <w:pPr>
        <w:pStyle w:val="ListParagraph"/>
        <w:numPr>
          <w:ilvl w:val="0"/>
          <w:numId w:val="19"/>
        </w:numPr>
        <w:ind w:right="-46"/>
        <w:rPr>
          <w:lang w:val="en-AU"/>
        </w:rPr>
      </w:pPr>
      <w:proofErr w:type="gramStart"/>
      <w:r w:rsidRPr="00900D6C">
        <w:rPr>
          <w:lang w:val="en-AU"/>
        </w:rPr>
        <w:t>aid</w:t>
      </w:r>
      <w:proofErr w:type="gramEnd"/>
      <w:r w:rsidRPr="00900D6C">
        <w:rPr>
          <w:lang w:val="en-AU"/>
        </w:rPr>
        <w:t xml:space="preserve"> </w:t>
      </w:r>
      <w:r w:rsidR="00627943" w:rsidRPr="00900D6C">
        <w:rPr>
          <w:lang w:val="en-AU"/>
        </w:rPr>
        <w:t>in identifying a source where the case has not acquired their infection overseas.</w:t>
      </w:r>
    </w:p>
    <w:p w14:paraId="7D24EBCB" w14:textId="77777777" w:rsidR="002A4B69" w:rsidRPr="00900D6C" w:rsidRDefault="00F5500E" w:rsidP="00900D6C">
      <w:pPr>
        <w:pStyle w:val="Heading2"/>
        <w:rPr>
          <w:i w:val="0"/>
          <w:lang w:val="en-AU"/>
        </w:rPr>
      </w:pPr>
      <w:r w:rsidRPr="00900D6C">
        <w:rPr>
          <w:lang w:val="en-AU"/>
        </w:rPr>
        <w:t xml:space="preserve">Definition </w:t>
      </w:r>
      <w:r w:rsidR="002A4B69" w:rsidRPr="00900D6C">
        <w:rPr>
          <w:lang w:val="en-AU"/>
        </w:rPr>
        <w:t>of contacts</w:t>
      </w:r>
    </w:p>
    <w:p w14:paraId="0C76C316" w14:textId="77777777" w:rsidR="00C302DD" w:rsidRPr="00900D6C" w:rsidRDefault="00C302DD" w:rsidP="00EA19BA">
      <w:pPr>
        <w:ind w:right="-46"/>
      </w:pPr>
      <w:r w:rsidRPr="00900D6C">
        <w:t xml:space="preserve">Contacts may be co-travellers or </w:t>
      </w:r>
      <w:r w:rsidR="00C66AEA" w:rsidRPr="00900D6C">
        <w:t>have had household-type contact with the case.</w:t>
      </w:r>
    </w:p>
    <w:p w14:paraId="42609DE4" w14:textId="0C7F3F9A" w:rsidR="009902E9" w:rsidRPr="00900D6C" w:rsidRDefault="009902E9" w:rsidP="00EA19BA">
      <w:pPr>
        <w:ind w:right="-46"/>
      </w:pPr>
      <w:r w:rsidRPr="00900D6C">
        <w:t xml:space="preserve">Co-traveller: someone who travelled with the case </w:t>
      </w:r>
      <w:r w:rsidR="00233A87" w:rsidRPr="00900D6C">
        <w:t xml:space="preserve">who shared accommodation and/or ate </w:t>
      </w:r>
      <w:r w:rsidR="00171CE2" w:rsidRPr="00900D6C">
        <w:t xml:space="preserve">at </w:t>
      </w:r>
      <w:r w:rsidR="00233A87" w:rsidRPr="00900D6C">
        <w:t xml:space="preserve">least one meal with the case during the case’s incubation period and </w:t>
      </w:r>
      <w:r w:rsidRPr="00900D6C">
        <w:t>is likely to have been exposed to the same source of infection as the case (rather than someone who merely travelled on the same bus/plane as the case)</w:t>
      </w:r>
      <w:r w:rsidR="00233A87" w:rsidRPr="00900D6C">
        <w:t xml:space="preserve">. </w:t>
      </w:r>
      <w:r w:rsidRPr="00900D6C">
        <w:t>They may not necessarily live with the case.</w:t>
      </w:r>
    </w:p>
    <w:p w14:paraId="07780EC0" w14:textId="412E15C8" w:rsidR="00D82192" w:rsidRPr="00900D6C" w:rsidRDefault="009902E9" w:rsidP="00EA19BA">
      <w:pPr>
        <w:ind w:right="-46"/>
      </w:pPr>
      <w:r w:rsidRPr="00900D6C">
        <w:t>Household</w:t>
      </w:r>
      <w:r w:rsidR="006B4967" w:rsidRPr="00900D6C">
        <w:t>-type</w:t>
      </w:r>
      <w:r w:rsidRPr="00900D6C">
        <w:t>: someone who</w:t>
      </w:r>
      <w:r w:rsidR="005642C9" w:rsidRPr="00900D6C">
        <w:t>,</w:t>
      </w:r>
      <w:r w:rsidRPr="00900D6C">
        <w:t xml:space="preserve"> </w:t>
      </w:r>
      <w:r w:rsidR="00E10962" w:rsidRPr="00900D6C">
        <w:t>while the case was infectious:</w:t>
      </w:r>
    </w:p>
    <w:p w14:paraId="23DA8989" w14:textId="08B7B391" w:rsidR="00D82192" w:rsidRPr="00900D6C" w:rsidRDefault="009902E9" w:rsidP="00EA19BA">
      <w:pPr>
        <w:pStyle w:val="ListParagraph"/>
        <w:numPr>
          <w:ilvl w:val="0"/>
          <w:numId w:val="20"/>
        </w:numPr>
        <w:ind w:right="-46"/>
        <w:rPr>
          <w:lang w:val="en-AU"/>
        </w:rPr>
      </w:pPr>
      <w:r w:rsidRPr="00900D6C">
        <w:rPr>
          <w:lang w:val="en-AU"/>
        </w:rPr>
        <w:t xml:space="preserve">lives/stayed in the same household as the case </w:t>
      </w:r>
      <w:r w:rsidR="00743970" w:rsidRPr="00900D6C">
        <w:rPr>
          <w:lang w:val="en-AU"/>
        </w:rPr>
        <w:t>(including a chronic carrier)</w:t>
      </w:r>
      <w:r w:rsidR="000C073A" w:rsidRPr="00900D6C">
        <w:rPr>
          <w:lang w:val="en-AU"/>
        </w:rPr>
        <w:t>;</w:t>
      </w:r>
      <w:r w:rsidR="00743970" w:rsidRPr="00900D6C">
        <w:rPr>
          <w:lang w:val="en-AU"/>
        </w:rPr>
        <w:t xml:space="preserve"> </w:t>
      </w:r>
      <w:r w:rsidRPr="00900D6C">
        <w:rPr>
          <w:lang w:val="en-AU"/>
        </w:rPr>
        <w:t>and/or</w:t>
      </w:r>
    </w:p>
    <w:p w14:paraId="11DAFF93" w14:textId="0A707322" w:rsidR="00D82192" w:rsidRPr="00900D6C" w:rsidRDefault="009902E9" w:rsidP="00EA19BA">
      <w:pPr>
        <w:pStyle w:val="ListParagraph"/>
        <w:numPr>
          <w:ilvl w:val="0"/>
          <w:numId w:val="20"/>
        </w:numPr>
        <w:ind w:right="-46"/>
        <w:rPr>
          <w:lang w:val="en-AU"/>
        </w:rPr>
      </w:pPr>
      <w:r w:rsidRPr="00900D6C">
        <w:rPr>
          <w:lang w:val="en-AU"/>
        </w:rPr>
        <w:t>has shared a bathroom</w:t>
      </w:r>
      <w:r w:rsidR="000C073A" w:rsidRPr="00900D6C">
        <w:rPr>
          <w:lang w:val="en-AU"/>
        </w:rPr>
        <w:t>;</w:t>
      </w:r>
      <w:r w:rsidRPr="00900D6C">
        <w:rPr>
          <w:lang w:val="en-AU"/>
        </w:rPr>
        <w:t xml:space="preserve"> and/or</w:t>
      </w:r>
    </w:p>
    <w:p w14:paraId="198B63BA" w14:textId="72C4F384" w:rsidR="00461051" w:rsidRPr="00900D6C" w:rsidRDefault="006B4967" w:rsidP="00EA19BA">
      <w:pPr>
        <w:pStyle w:val="ListParagraph"/>
        <w:numPr>
          <w:ilvl w:val="0"/>
          <w:numId w:val="20"/>
        </w:numPr>
        <w:ind w:right="-46"/>
        <w:rPr>
          <w:lang w:val="en-AU"/>
        </w:rPr>
      </w:pPr>
      <w:proofErr w:type="gramStart"/>
      <w:r w:rsidRPr="00900D6C">
        <w:rPr>
          <w:lang w:val="en-AU"/>
        </w:rPr>
        <w:t>ate</w:t>
      </w:r>
      <w:proofErr w:type="gramEnd"/>
      <w:r w:rsidR="006F7EE2" w:rsidRPr="00900D6C">
        <w:rPr>
          <w:lang w:val="en-AU"/>
        </w:rPr>
        <w:t xml:space="preserve"> </w:t>
      </w:r>
      <w:r w:rsidR="009902E9" w:rsidRPr="00900D6C">
        <w:rPr>
          <w:lang w:val="en-AU"/>
        </w:rPr>
        <w:t>food prepared by the case.</w:t>
      </w:r>
    </w:p>
    <w:p w14:paraId="51E3A301" w14:textId="77777777" w:rsidR="002A4B69" w:rsidRPr="00900D6C" w:rsidRDefault="002A4B69" w:rsidP="00900D6C">
      <w:pPr>
        <w:pStyle w:val="Heading2"/>
        <w:rPr>
          <w:lang w:val="en-AU"/>
        </w:rPr>
      </w:pPr>
      <w:r w:rsidRPr="00900D6C">
        <w:rPr>
          <w:lang w:val="en-AU"/>
        </w:rPr>
        <w:t>Prophylaxis</w:t>
      </w:r>
    </w:p>
    <w:p w14:paraId="24F148D0" w14:textId="6E5F007A" w:rsidR="00417869" w:rsidRPr="00900D6C" w:rsidRDefault="00083B67" w:rsidP="00900D6C">
      <w:pPr>
        <w:pStyle w:val="Heading3"/>
      </w:pPr>
      <w:r w:rsidRPr="00900D6C">
        <w:t>Vaccination</w:t>
      </w:r>
    </w:p>
    <w:p w14:paraId="5783192B" w14:textId="77777777" w:rsidR="00417869" w:rsidRPr="00900D6C" w:rsidRDefault="00087E27" w:rsidP="00EA19BA">
      <w:pPr>
        <w:ind w:right="-46"/>
      </w:pPr>
      <w:r w:rsidRPr="00900D6C">
        <w:t>Vaccination is r</w:t>
      </w:r>
      <w:r w:rsidR="00417869" w:rsidRPr="00900D6C">
        <w:t xml:space="preserve">ecommended for household contacts of chronic </w:t>
      </w:r>
      <w:r w:rsidRPr="00900D6C">
        <w:t xml:space="preserve">typhoid </w:t>
      </w:r>
      <w:r w:rsidR="00417869" w:rsidRPr="00900D6C">
        <w:t>carriers</w:t>
      </w:r>
      <w:r w:rsidRPr="00900D6C">
        <w:t xml:space="preserve"> but n</w:t>
      </w:r>
      <w:r w:rsidR="00417869" w:rsidRPr="00900D6C">
        <w:t>ot recommended for other contacts</w:t>
      </w:r>
      <w:r w:rsidR="000940EE" w:rsidRPr="00900D6C">
        <w:t>.</w:t>
      </w:r>
    </w:p>
    <w:p w14:paraId="78ED8F43" w14:textId="4DA23AA9" w:rsidR="00417869" w:rsidRPr="00900D6C" w:rsidRDefault="00417869" w:rsidP="00900D6C">
      <w:pPr>
        <w:pStyle w:val="Heading3"/>
      </w:pPr>
      <w:r w:rsidRPr="00900D6C">
        <w:t>Antibiotics</w:t>
      </w:r>
    </w:p>
    <w:p w14:paraId="4C9DFFDD" w14:textId="565F657A" w:rsidR="00417869" w:rsidRPr="00900D6C" w:rsidRDefault="00417869" w:rsidP="00EA19BA">
      <w:pPr>
        <w:ind w:right="-46"/>
      </w:pPr>
      <w:r w:rsidRPr="00900D6C">
        <w:t>Not recommended</w:t>
      </w:r>
    </w:p>
    <w:p w14:paraId="5E51D05C" w14:textId="77777777" w:rsidR="002A4B69" w:rsidRPr="00900D6C" w:rsidRDefault="002A4B69" w:rsidP="00900D6C">
      <w:pPr>
        <w:pStyle w:val="Heading3"/>
      </w:pPr>
      <w:r w:rsidRPr="00900D6C">
        <w:t>Education</w:t>
      </w:r>
    </w:p>
    <w:p w14:paraId="03B35163" w14:textId="16FD8E56" w:rsidR="00233A87" w:rsidRPr="00900D6C" w:rsidRDefault="00233A87" w:rsidP="00EA19BA">
      <w:pPr>
        <w:ind w:right="-46"/>
      </w:pPr>
      <w:r w:rsidRPr="00900D6C">
        <w:t xml:space="preserve">PHU staff should manage distribution of information in </w:t>
      </w:r>
      <w:r w:rsidR="00417869" w:rsidRPr="00900D6C">
        <w:t xml:space="preserve">the </w:t>
      </w:r>
      <w:r w:rsidRPr="00900D6C">
        <w:t xml:space="preserve">form of a letter </w:t>
      </w:r>
      <w:r w:rsidR="00F6571F" w:rsidRPr="00900D6C">
        <w:t>and/</w:t>
      </w:r>
      <w:r w:rsidRPr="00900D6C">
        <w:t>or fact sheet (see Appendi</w:t>
      </w:r>
      <w:r w:rsidR="00184C9B" w:rsidRPr="00900D6C">
        <w:t>ces</w:t>
      </w:r>
      <w:r w:rsidRPr="00900D6C">
        <w:t xml:space="preserve"> </w:t>
      </w:r>
      <w:r w:rsidR="006B4967" w:rsidRPr="00900D6C">
        <w:t>3</w:t>
      </w:r>
      <w:r w:rsidR="00184C9B" w:rsidRPr="00900D6C">
        <w:t xml:space="preserve"> and </w:t>
      </w:r>
      <w:r w:rsidR="007C0609" w:rsidRPr="00900D6C">
        <w:t>4</w:t>
      </w:r>
      <w:r w:rsidRPr="00900D6C">
        <w:t>)</w:t>
      </w:r>
      <w:r w:rsidR="00417869" w:rsidRPr="00900D6C">
        <w:t xml:space="preserve"> or direct</w:t>
      </w:r>
      <w:r w:rsidR="006F7EE2" w:rsidRPr="00900D6C">
        <w:t xml:space="preserve"> contacts</w:t>
      </w:r>
      <w:r w:rsidR="00417869" w:rsidRPr="00900D6C">
        <w:t xml:space="preserve"> to a jurisdictional website with this information</w:t>
      </w:r>
      <w:r w:rsidRPr="00900D6C">
        <w:t xml:space="preserve">. This can be done directly or through </w:t>
      </w:r>
      <w:r w:rsidR="000940EE" w:rsidRPr="00900D6C">
        <w:t xml:space="preserve">the </w:t>
      </w:r>
      <w:r w:rsidRPr="00900D6C">
        <w:t>treating doctor or other intermediary such as a child</w:t>
      </w:r>
      <w:r w:rsidR="000C073A" w:rsidRPr="00900D6C">
        <w:t>-</w:t>
      </w:r>
      <w:r w:rsidRPr="00900D6C">
        <w:t>care director.</w:t>
      </w:r>
    </w:p>
    <w:p w14:paraId="6AC9E2F4" w14:textId="77777777" w:rsidR="00792F03" w:rsidRPr="00900D6C" w:rsidRDefault="00F6571F" w:rsidP="00EA19BA">
      <w:pPr>
        <w:ind w:right="-46"/>
      </w:pPr>
      <w:r w:rsidRPr="00900D6C">
        <w:t>All identifiable contacts should</w:t>
      </w:r>
      <w:r w:rsidR="00792F03" w:rsidRPr="00900D6C">
        <w:t>:</w:t>
      </w:r>
    </w:p>
    <w:p w14:paraId="547ADDD1" w14:textId="77777777" w:rsidR="00BA01D7" w:rsidRDefault="00F6571F" w:rsidP="00EA19BA">
      <w:pPr>
        <w:pStyle w:val="ListParagraph"/>
        <w:numPr>
          <w:ilvl w:val="0"/>
          <w:numId w:val="21"/>
        </w:numPr>
        <w:ind w:right="-46"/>
        <w:rPr>
          <w:lang w:val="en-AU"/>
        </w:rPr>
      </w:pPr>
      <w:r w:rsidRPr="00900D6C">
        <w:rPr>
          <w:lang w:val="en-AU"/>
        </w:rPr>
        <w:t>receive information about the disease</w:t>
      </w:r>
      <w:r w:rsidR="00792F03" w:rsidRPr="00900D6C">
        <w:rPr>
          <w:lang w:val="en-AU"/>
        </w:rPr>
        <w:t>,</w:t>
      </w:r>
      <w:r w:rsidRPr="00900D6C">
        <w:rPr>
          <w:lang w:val="en-AU"/>
        </w:rPr>
        <w:t xml:space="preserve"> mode of transmission </w:t>
      </w:r>
      <w:r w:rsidR="00B53893" w:rsidRPr="00900D6C">
        <w:rPr>
          <w:lang w:val="en-AU"/>
        </w:rPr>
        <w:t>and the importance</w:t>
      </w:r>
      <w:r w:rsidR="00792F03" w:rsidRPr="00900D6C">
        <w:rPr>
          <w:lang w:val="en-AU"/>
        </w:rPr>
        <w:t xml:space="preserve"> of hygiene, in particular hand</w:t>
      </w:r>
      <w:r w:rsidR="00AB632D" w:rsidRPr="00900D6C">
        <w:rPr>
          <w:lang w:val="en-AU"/>
        </w:rPr>
        <w:t xml:space="preserve"> </w:t>
      </w:r>
      <w:r w:rsidR="00792F03" w:rsidRPr="00900D6C">
        <w:rPr>
          <w:lang w:val="en-AU"/>
        </w:rPr>
        <w:t>washing before eating and preparing food, and after going to the toilet</w:t>
      </w:r>
      <w:r w:rsidR="00AB632D" w:rsidRPr="00900D6C">
        <w:rPr>
          <w:lang w:val="en-AU"/>
        </w:rPr>
        <w:t>;</w:t>
      </w:r>
    </w:p>
    <w:p w14:paraId="18CB4091" w14:textId="644F624C" w:rsidR="00526FBB" w:rsidRPr="00900D6C" w:rsidRDefault="00F6571F" w:rsidP="00EA19BA">
      <w:pPr>
        <w:pStyle w:val="ListParagraph"/>
        <w:numPr>
          <w:ilvl w:val="0"/>
          <w:numId w:val="21"/>
        </w:numPr>
        <w:ind w:right="-46"/>
        <w:rPr>
          <w:lang w:val="en-AU"/>
        </w:rPr>
      </w:pPr>
      <w:r w:rsidRPr="00900D6C">
        <w:rPr>
          <w:lang w:val="en-AU"/>
        </w:rPr>
        <w:t xml:space="preserve">be advised to exclude themselves </w:t>
      </w:r>
      <w:r w:rsidR="00792F03" w:rsidRPr="00900D6C">
        <w:rPr>
          <w:lang w:val="en-AU"/>
        </w:rPr>
        <w:t xml:space="preserve">(see Isolation and restriction below) </w:t>
      </w:r>
      <w:r w:rsidRPr="00900D6C">
        <w:rPr>
          <w:lang w:val="en-AU"/>
        </w:rPr>
        <w:t>and present to their medical practitioner should symptoms develop within the month</w:t>
      </w:r>
      <w:r w:rsidR="00486BAA" w:rsidRPr="00900D6C">
        <w:rPr>
          <w:lang w:val="en-AU"/>
        </w:rPr>
        <w:t xml:space="preserve"> following contact with an infectious case or their own return from a typhoid/paratyphoid endemic area</w:t>
      </w:r>
      <w:r w:rsidR="00AB632D" w:rsidRPr="00900D6C">
        <w:rPr>
          <w:lang w:val="en-AU"/>
        </w:rPr>
        <w:t>;</w:t>
      </w:r>
    </w:p>
    <w:p w14:paraId="42EF8B87" w14:textId="0239FFA4" w:rsidR="00F6571F" w:rsidRPr="00900D6C" w:rsidRDefault="002731E9" w:rsidP="00EA19BA">
      <w:pPr>
        <w:pStyle w:val="ListParagraph"/>
        <w:numPr>
          <w:ilvl w:val="0"/>
          <w:numId w:val="21"/>
        </w:numPr>
        <w:ind w:right="-46"/>
        <w:rPr>
          <w:lang w:val="en-AU"/>
        </w:rPr>
      </w:pPr>
      <w:proofErr w:type="gramStart"/>
      <w:r w:rsidRPr="00900D6C">
        <w:rPr>
          <w:lang w:val="en-AU"/>
        </w:rPr>
        <w:t>be</w:t>
      </w:r>
      <w:proofErr w:type="gramEnd"/>
      <w:r w:rsidRPr="00900D6C">
        <w:rPr>
          <w:lang w:val="en-AU"/>
        </w:rPr>
        <w:t xml:space="preserve"> requested to make contact</w:t>
      </w:r>
      <w:r w:rsidR="00F6571F" w:rsidRPr="00900D6C">
        <w:rPr>
          <w:lang w:val="en-AU"/>
        </w:rPr>
        <w:t xml:space="preserve"> with the </w:t>
      </w:r>
      <w:r w:rsidR="00AB632D" w:rsidRPr="00900D6C">
        <w:rPr>
          <w:lang w:val="en-AU"/>
        </w:rPr>
        <w:t>PHU</w:t>
      </w:r>
      <w:r w:rsidR="00F6571F" w:rsidRPr="00900D6C">
        <w:rPr>
          <w:lang w:val="en-AU"/>
        </w:rPr>
        <w:t xml:space="preserve"> should the</w:t>
      </w:r>
      <w:r w:rsidRPr="00900D6C">
        <w:rPr>
          <w:lang w:val="en-AU"/>
        </w:rPr>
        <w:t xml:space="preserve">y </w:t>
      </w:r>
      <w:r w:rsidR="00F6571F" w:rsidRPr="00900D6C">
        <w:rPr>
          <w:lang w:val="en-AU"/>
        </w:rPr>
        <w:t>become unwell.</w:t>
      </w:r>
    </w:p>
    <w:p w14:paraId="79B34FBB" w14:textId="0610E4E3" w:rsidR="002A4B69" w:rsidRPr="00900D6C" w:rsidRDefault="002A4B69" w:rsidP="00900D6C">
      <w:pPr>
        <w:pStyle w:val="Heading3"/>
      </w:pPr>
      <w:bookmarkStart w:id="4" w:name="_Ref472433694"/>
      <w:r w:rsidRPr="00900D6C">
        <w:t>Isolation and restriction</w:t>
      </w:r>
      <w:bookmarkEnd w:id="4"/>
    </w:p>
    <w:p w14:paraId="5A406C38" w14:textId="0ED36657" w:rsidR="00BF3CB3" w:rsidRPr="00900D6C" w:rsidRDefault="00935BEA" w:rsidP="00EA19BA">
      <w:pPr>
        <w:ind w:right="-46"/>
      </w:pPr>
      <w:r w:rsidRPr="00900D6C">
        <w:t>Appendix 6: Public Health Management of contacts of enteric fever flow diagram</w:t>
      </w:r>
      <w:r w:rsidR="00BF3CB3" w:rsidRPr="00900D6C">
        <w:t>.</w:t>
      </w:r>
    </w:p>
    <w:p w14:paraId="7685C5DF" w14:textId="77777777" w:rsidR="00BA01D7" w:rsidRDefault="00F5500E" w:rsidP="00EA19BA">
      <w:pPr>
        <w:pStyle w:val="ListParagraph"/>
        <w:numPr>
          <w:ilvl w:val="0"/>
          <w:numId w:val="22"/>
        </w:numPr>
        <w:ind w:right="-46"/>
        <w:rPr>
          <w:lang w:val="en-AU"/>
        </w:rPr>
      </w:pPr>
      <w:r w:rsidRPr="00900D6C">
        <w:rPr>
          <w:lang w:val="en-AU"/>
        </w:rPr>
        <w:t>Co</w:t>
      </w:r>
      <w:r w:rsidR="00ED35A1" w:rsidRPr="00900D6C">
        <w:rPr>
          <w:lang w:val="en-AU"/>
        </w:rPr>
        <w:t xml:space="preserve">-traveller </w:t>
      </w:r>
      <w:r w:rsidR="003E4066" w:rsidRPr="00900D6C">
        <w:rPr>
          <w:lang w:val="en-AU"/>
        </w:rPr>
        <w:t xml:space="preserve">and household-type </w:t>
      </w:r>
      <w:r w:rsidR="00ED35A1" w:rsidRPr="00900D6C">
        <w:rPr>
          <w:lang w:val="en-AU"/>
        </w:rPr>
        <w:t>co</w:t>
      </w:r>
      <w:r w:rsidRPr="00900D6C">
        <w:rPr>
          <w:lang w:val="en-AU"/>
        </w:rPr>
        <w:t>ntacts who belong to one of the groups considered at higher risk of transmitting infection</w:t>
      </w:r>
      <w:r w:rsidR="0065055F" w:rsidRPr="00900D6C">
        <w:rPr>
          <w:lang w:val="en-AU"/>
        </w:rPr>
        <w:t xml:space="preserve"> </w:t>
      </w:r>
      <w:r w:rsidR="00CF1EF8" w:rsidRPr="00900D6C">
        <w:rPr>
          <w:lang w:val="en-AU"/>
        </w:rPr>
        <w:t>because of occupational or personal characteristics</w:t>
      </w:r>
      <w:r w:rsidR="00AB632D" w:rsidRPr="00900D6C">
        <w:rPr>
          <w:lang w:val="en-AU"/>
        </w:rPr>
        <w:t>,</w:t>
      </w:r>
      <w:r w:rsidR="00CF1EF8" w:rsidRPr="00900D6C">
        <w:rPr>
          <w:lang w:val="en-AU"/>
        </w:rPr>
        <w:t xml:space="preserve"> </w:t>
      </w:r>
      <w:r w:rsidR="006B4967" w:rsidRPr="00900D6C">
        <w:rPr>
          <w:lang w:val="en-AU"/>
        </w:rPr>
        <w:t xml:space="preserve">should be </w:t>
      </w:r>
      <w:r w:rsidR="0065055F" w:rsidRPr="00900D6C">
        <w:rPr>
          <w:lang w:val="en-AU"/>
        </w:rPr>
        <w:t>excluded from work</w:t>
      </w:r>
      <w:r w:rsidRPr="00900D6C">
        <w:rPr>
          <w:lang w:val="en-AU"/>
        </w:rPr>
        <w:t>,</w:t>
      </w:r>
      <w:r w:rsidR="0065055F" w:rsidRPr="00900D6C">
        <w:rPr>
          <w:lang w:val="en-AU"/>
        </w:rPr>
        <w:t xml:space="preserve"> </w:t>
      </w:r>
      <w:r w:rsidRPr="00900D6C">
        <w:rPr>
          <w:lang w:val="en-AU"/>
        </w:rPr>
        <w:t>school, and child</w:t>
      </w:r>
      <w:r w:rsidR="00AB632D" w:rsidRPr="00900D6C">
        <w:rPr>
          <w:lang w:val="en-AU"/>
        </w:rPr>
        <w:t xml:space="preserve"> </w:t>
      </w:r>
      <w:r w:rsidRPr="00900D6C">
        <w:rPr>
          <w:lang w:val="en-AU"/>
        </w:rPr>
        <w:t>care until proof of 2 negative stool samples at least 24 hours apart. If feasible, they may undertake other duties (not high risk) while awaiting specimen results.</w:t>
      </w:r>
    </w:p>
    <w:p w14:paraId="6E6117D3" w14:textId="089C7D76" w:rsidR="0065055F" w:rsidRPr="00900D6C" w:rsidRDefault="000D642C" w:rsidP="00EA19BA">
      <w:pPr>
        <w:pStyle w:val="ListParagraph"/>
        <w:numPr>
          <w:ilvl w:val="0"/>
          <w:numId w:val="22"/>
        </w:numPr>
        <w:ind w:right="-46"/>
        <w:rPr>
          <w:lang w:val="en-AU"/>
        </w:rPr>
      </w:pPr>
      <w:r w:rsidRPr="00900D6C">
        <w:rPr>
          <w:lang w:val="en-AU"/>
        </w:rPr>
        <w:t>H</w:t>
      </w:r>
      <w:r w:rsidR="00ED35A1" w:rsidRPr="00900D6C">
        <w:rPr>
          <w:lang w:val="en-AU"/>
        </w:rPr>
        <w:t>ousehold</w:t>
      </w:r>
      <w:r w:rsidR="003E4066" w:rsidRPr="00900D6C">
        <w:rPr>
          <w:lang w:val="en-AU"/>
        </w:rPr>
        <w:t>-type</w:t>
      </w:r>
      <w:r w:rsidR="00ED35A1" w:rsidRPr="00900D6C">
        <w:rPr>
          <w:lang w:val="en-AU"/>
        </w:rPr>
        <w:t xml:space="preserve"> contacts </w:t>
      </w:r>
      <w:r w:rsidRPr="00900D6C">
        <w:rPr>
          <w:lang w:val="en-AU"/>
        </w:rPr>
        <w:t xml:space="preserve">who </w:t>
      </w:r>
      <w:r w:rsidRPr="00900D6C">
        <w:rPr>
          <w:i/>
          <w:lang w:val="en-AU"/>
        </w:rPr>
        <w:t>do</w:t>
      </w:r>
      <w:r w:rsidR="003047FA" w:rsidRPr="00900D6C">
        <w:rPr>
          <w:i/>
          <w:lang w:val="en-AU"/>
        </w:rPr>
        <w:t>n</w:t>
      </w:r>
      <w:r w:rsidRPr="00900D6C">
        <w:rPr>
          <w:i/>
          <w:lang w:val="en-AU"/>
        </w:rPr>
        <w:t>’</w:t>
      </w:r>
      <w:r w:rsidR="003047FA" w:rsidRPr="00900D6C">
        <w:rPr>
          <w:i/>
          <w:lang w:val="en-AU"/>
        </w:rPr>
        <w:t>t</w:t>
      </w:r>
      <w:r w:rsidR="00BA01D7">
        <w:rPr>
          <w:i/>
          <w:lang w:val="en-AU"/>
        </w:rPr>
        <w:t xml:space="preserve"> </w:t>
      </w:r>
      <w:r w:rsidR="003047FA" w:rsidRPr="00900D6C">
        <w:rPr>
          <w:lang w:val="en-AU"/>
        </w:rPr>
        <w:t>belong to a group considered at higher risk for transmitting infection to others</w:t>
      </w:r>
      <w:r w:rsidR="00F5500E" w:rsidRPr="00900D6C">
        <w:rPr>
          <w:lang w:val="en-AU"/>
        </w:rPr>
        <w:t xml:space="preserve">, </w:t>
      </w:r>
      <w:r w:rsidR="006B4967" w:rsidRPr="00900D6C">
        <w:rPr>
          <w:lang w:val="en-AU"/>
        </w:rPr>
        <w:t xml:space="preserve">but </w:t>
      </w:r>
      <w:r w:rsidR="00F5500E" w:rsidRPr="00900D6C">
        <w:rPr>
          <w:i/>
          <w:lang w:val="en-AU"/>
        </w:rPr>
        <w:t>where the</w:t>
      </w:r>
      <w:r w:rsidR="00F5500E" w:rsidRPr="00900D6C">
        <w:rPr>
          <w:lang w:val="en-AU"/>
        </w:rPr>
        <w:t xml:space="preserve"> </w:t>
      </w:r>
      <w:r w:rsidR="00F5500E" w:rsidRPr="00900D6C">
        <w:rPr>
          <w:i/>
          <w:lang w:val="en-AU"/>
        </w:rPr>
        <w:t xml:space="preserve">case has </w:t>
      </w:r>
      <w:r w:rsidR="00F5500E" w:rsidRPr="00900D6C">
        <w:rPr>
          <w:b/>
          <w:i/>
          <w:lang w:val="en-AU"/>
        </w:rPr>
        <w:t xml:space="preserve">not </w:t>
      </w:r>
      <w:r w:rsidR="00F5500E" w:rsidRPr="00900D6C">
        <w:rPr>
          <w:i/>
          <w:lang w:val="en-AU"/>
        </w:rPr>
        <w:t>travelled to an endemic area</w:t>
      </w:r>
      <w:r w:rsidR="00F5500E" w:rsidRPr="00900D6C">
        <w:rPr>
          <w:lang w:val="en-AU"/>
        </w:rPr>
        <w:t>, should also provide 2 stool samples 24 hours apart. These contacts do not require exclusion.</w:t>
      </w:r>
    </w:p>
    <w:p w14:paraId="2894FB07" w14:textId="77777777" w:rsidR="00BA01D7" w:rsidRDefault="00F5500E" w:rsidP="00EA19BA">
      <w:pPr>
        <w:pStyle w:val="ListParagraph"/>
        <w:numPr>
          <w:ilvl w:val="0"/>
          <w:numId w:val="22"/>
        </w:numPr>
        <w:ind w:right="-46"/>
        <w:rPr>
          <w:lang w:val="en-AU"/>
        </w:rPr>
      </w:pPr>
      <w:r w:rsidRPr="00900D6C">
        <w:rPr>
          <w:lang w:val="en-AU"/>
        </w:rPr>
        <w:t xml:space="preserve">Other </w:t>
      </w:r>
      <w:r w:rsidR="0065055F" w:rsidRPr="00900D6C">
        <w:rPr>
          <w:lang w:val="en-AU"/>
        </w:rPr>
        <w:t>contact</w:t>
      </w:r>
      <w:r w:rsidR="00692551" w:rsidRPr="00900D6C">
        <w:rPr>
          <w:lang w:val="en-AU"/>
        </w:rPr>
        <w:t>s</w:t>
      </w:r>
      <w:r w:rsidR="0065055F" w:rsidRPr="00900D6C">
        <w:rPr>
          <w:lang w:val="en-AU"/>
        </w:rPr>
        <w:t xml:space="preserve"> do not need to be screened </w:t>
      </w:r>
      <w:r w:rsidRPr="00900D6C">
        <w:rPr>
          <w:lang w:val="en-AU"/>
        </w:rPr>
        <w:t xml:space="preserve">or excluded </w:t>
      </w:r>
      <w:r w:rsidR="0065055F" w:rsidRPr="00900D6C">
        <w:rPr>
          <w:lang w:val="en-AU"/>
        </w:rPr>
        <w:t>unless they become symptomatic.</w:t>
      </w:r>
    </w:p>
    <w:p w14:paraId="3B8CACD7" w14:textId="0504EA16" w:rsidR="0092728B" w:rsidRPr="00193BD1" w:rsidRDefault="002A4B69" w:rsidP="00193BD1">
      <w:pPr>
        <w:pStyle w:val="Heading1"/>
      </w:pPr>
      <w:r w:rsidRPr="00193BD1">
        <w:t>12. Special situations</w:t>
      </w:r>
    </w:p>
    <w:p w14:paraId="1ECF8328" w14:textId="77777777" w:rsidR="005B2028" w:rsidRPr="00900D6C" w:rsidRDefault="005B2028" w:rsidP="00193BD1">
      <w:pPr>
        <w:pStyle w:val="Heading2"/>
      </w:pPr>
      <w:r w:rsidRPr="00900D6C">
        <w:t>Case is a food handler and worked while infectious</w:t>
      </w:r>
    </w:p>
    <w:p w14:paraId="0560BED7" w14:textId="4FB7AF72" w:rsidR="00DB06E3" w:rsidRPr="00900D6C" w:rsidRDefault="005B2028" w:rsidP="00EA19BA">
      <w:pPr>
        <w:ind w:right="-46"/>
      </w:pPr>
      <w:r w:rsidRPr="00900D6C">
        <w:t xml:space="preserve">If the case is a food handler and </w:t>
      </w:r>
      <w:r w:rsidR="00AB632D" w:rsidRPr="00900D6C">
        <w:t xml:space="preserve">has </w:t>
      </w:r>
      <w:r w:rsidRPr="00900D6C">
        <w:t xml:space="preserve">worked while infectious, the PHU should work with the </w:t>
      </w:r>
      <w:r w:rsidR="004E1B73" w:rsidRPr="00900D6C">
        <w:t xml:space="preserve">appropriate local government or </w:t>
      </w:r>
      <w:r w:rsidRPr="00900D6C">
        <w:t xml:space="preserve">jurisdictional food authority </w:t>
      </w:r>
      <w:r w:rsidR="00DB06E3" w:rsidRPr="00900D6C">
        <w:t xml:space="preserve">and the Communicable Diseases Branch (CDB) </w:t>
      </w:r>
      <w:r w:rsidRPr="00900D6C">
        <w:t>to conduct an environmental evaluation/risk assessment</w:t>
      </w:r>
      <w:r w:rsidR="007A52B7" w:rsidRPr="00900D6C">
        <w:t xml:space="preserve"> as part of a site visit</w:t>
      </w:r>
      <w:r w:rsidR="009E31F3" w:rsidRPr="00900D6C">
        <w:t xml:space="preserve"> to the food premises</w:t>
      </w:r>
      <w:r w:rsidRPr="00900D6C">
        <w:t xml:space="preserve">. </w:t>
      </w:r>
      <w:r w:rsidR="00590E81" w:rsidRPr="00900D6C">
        <w:t>Certain</w:t>
      </w:r>
      <w:r w:rsidR="00DB06E3" w:rsidRPr="00900D6C">
        <w:t xml:space="preserve"> jurisdictions have legislative powers to </w:t>
      </w:r>
      <w:r w:rsidR="004122C1" w:rsidRPr="00900D6C">
        <w:t>issue</w:t>
      </w:r>
      <w:r w:rsidR="00AB632D" w:rsidRPr="00900D6C">
        <w:t xml:space="preserve"> public health orders</w:t>
      </w:r>
      <w:r w:rsidR="00996305" w:rsidRPr="00900D6C">
        <w:t xml:space="preserve"> </w:t>
      </w:r>
      <w:r w:rsidR="004122C1" w:rsidRPr="00900D6C">
        <w:t>to</w:t>
      </w:r>
      <w:r w:rsidR="00AB632D" w:rsidRPr="00900D6C">
        <w:t xml:space="preserve"> </w:t>
      </w:r>
      <w:r w:rsidR="00DB06E3" w:rsidRPr="00900D6C">
        <w:t xml:space="preserve">direct non-compliant individuals </w:t>
      </w:r>
      <w:r w:rsidR="0049080D" w:rsidRPr="00900D6C">
        <w:t>who have</w:t>
      </w:r>
      <w:r w:rsidR="00DB06E3" w:rsidRPr="00900D6C">
        <w:t xml:space="preserve"> typhoid fever.</w:t>
      </w:r>
    </w:p>
    <w:p w14:paraId="76AA6A21" w14:textId="0831C6A7" w:rsidR="007745EE" w:rsidRPr="00900D6C" w:rsidRDefault="007745EE" w:rsidP="00EA19BA">
      <w:pPr>
        <w:ind w:right="-46"/>
      </w:pPr>
      <w:r w:rsidRPr="00900D6C">
        <w:t xml:space="preserve">Other food handlers at the facility may be at risk of enteric fever if they ate food handled by the case or shared toilets or washing facilities with the case. If other </w:t>
      </w:r>
      <w:proofErr w:type="gramStart"/>
      <w:r w:rsidRPr="00900D6C">
        <w:t>staff are</w:t>
      </w:r>
      <w:proofErr w:type="gramEnd"/>
      <w:r w:rsidRPr="00900D6C">
        <w:t xml:space="preserve"> at risk, they should be counselled about the potential for infection and </w:t>
      </w:r>
      <w:r w:rsidR="00573F23" w:rsidRPr="00900D6C">
        <w:t xml:space="preserve">be </w:t>
      </w:r>
      <w:r w:rsidRPr="00900D6C">
        <w:t>advised</w:t>
      </w:r>
      <w:r w:rsidR="00573F23" w:rsidRPr="00900D6C">
        <w:t xml:space="preserve"> that should they develop symptoms, they should</w:t>
      </w:r>
      <w:r w:rsidRPr="00900D6C">
        <w:t xml:space="preserve"> exclude themselves from work and notify the </w:t>
      </w:r>
      <w:r w:rsidR="00AB632D" w:rsidRPr="00900D6C">
        <w:t>PHU</w:t>
      </w:r>
      <w:r w:rsidRPr="00900D6C">
        <w:t xml:space="preserve">. </w:t>
      </w:r>
      <w:r w:rsidR="004E1B73" w:rsidRPr="00900D6C">
        <w:t xml:space="preserve">If </w:t>
      </w:r>
      <w:r w:rsidRPr="00900D6C">
        <w:t>they develop symptoms, they should have stool/blood culture</w:t>
      </w:r>
      <w:r w:rsidR="00306479" w:rsidRPr="00900D6C">
        <w:t xml:space="preserve"> </w:t>
      </w:r>
      <w:r w:rsidR="00203ECF" w:rsidRPr="00900D6C">
        <w:t>s</w:t>
      </w:r>
      <w:r w:rsidR="00306479" w:rsidRPr="00900D6C">
        <w:t>pecimens collected</w:t>
      </w:r>
      <w:r w:rsidRPr="00900D6C">
        <w:t xml:space="preserve"> and remain away from work until results are returned negative and they have been well for 48</w:t>
      </w:r>
      <w:r w:rsidR="00B53893" w:rsidRPr="00900D6C">
        <w:t xml:space="preserve"> </w:t>
      </w:r>
      <w:r w:rsidRPr="00900D6C">
        <w:t>h</w:t>
      </w:r>
      <w:r w:rsidR="00B53893" w:rsidRPr="00900D6C">
        <w:t>ou</w:t>
      </w:r>
      <w:r w:rsidRPr="00900D6C">
        <w:t xml:space="preserve">rs. If they develop enteric fever, they will need to be managed as a case. </w:t>
      </w:r>
      <w:r w:rsidR="00B53893" w:rsidRPr="00900D6C">
        <w:t>Self-m</w:t>
      </w:r>
      <w:r w:rsidR="00590E81" w:rsidRPr="00900D6C">
        <w:t xml:space="preserve">onitoring </w:t>
      </w:r>
      <w:r w:rsidR="00B53893" w:rsidRPr="00900D6C">
        <w:t>for</w:t>
      </w:r>
      <w:r w:rsidR="00590E81" w:rsidRPr="00900D6C">
        <w:t xml:space="preserve"> symptoms in </w:t>
      </w:r>
      <w:r w:rsidRPr="00900D6C">
        <w:t xml:space="preserve">food handlers at risk </w:t>
      </w:r>
      <w:r w:rsidR="00590E81" w:rsidRPr="00900D6C">
        <w:t xml:space="preserve">of infection </w:t>
      </w:r>
      <w:r w:rsidRPr="00900D6C">
        <w:t xml:space="preserve">should continue for an incubation period </w:t>
      </w:r>
      <w:r w:rsidR="00573F23" w:rsidRPr="00900D6C">
        <w:t>(pragmatically</w:t>
      </w:r>
      <w:r w:rsidR="00860C7E" w:rsidRPr="00900D6C">
        <w:t xml:space="preserve"> </w:t>
      </w:r>
      <w:r w:rsidR="00573F23" w:rsidRPr="00900D6C">
        <w:t xml:space="preserve">14 days) </w:t>
      </w:r>
      <w:r w:rsidRPr="00900D6C">
        <w:t>after exposure to the case.</w:t>
      </w:r>
    </w:p>
    <w:p w14:paraId="2C7A6ECA" w14:textId="789EADE9" w:rsidR="007A52B7" w:rsidRPr="00900D6C" w:rsidRDefault="007A52B7" w:rsidP="00EA19BA">
      <w:pPr>
        <w:ind w:right="-46"/>
      </w:pPr>
      <w:r w:rsidRPr="00900D6C">
        <w:t xml:space="preserve">The </w:t>
      </w:r>
      <w:r w:rsidR="007745EE" w:rsidRPr="00900D6C">
        <w:t>environmental evaluation/</w:t>
      </w:r>
      <w:r w:rsidRPr="00900D6C">
        <w:t xml:space="preserve">risk assessment </w:t>
      </w:r>
      <w:r w:rsidR="007814E9" w:rsidRPr="00900D6C">
        <w:t>should include</w:t>
      </w:r>
      <w:r w:rsidRPr="00900D6C">
        <w:t xml:space="preserve"> reports from the food handler and his/her supervisor and co-workers about </w:t>
      </w:r>
      <w:r w:rsidR="00590E81" w:rsidRPr="00900D6C">
        <w:t xml:space="preserve">their duties, </w:t>
      </w:r>
      <w:r w:rsidRPr="00900D6C">
        <w:t xml:space="preserve">hygiene practices (glove use, hand hygiene), </w:t>
      </w:r>
      <w:r w:rsidR="00306479" w:rsidRPr="00900D6C">
        <w:t xml:space="preserve">type of food preparation/handling undertaken by the case, </w:t>
      </w:r>
      <w:r w:rsidRPr="00900D6C">
        <w:t>evidence of hygiene training, and previous assessments of the sanitation practices in the facility.</w:t>
      </w:r>
    </w:p>
    <w:p w14:paraId="3DC4E184" w14:textId="7A82BB27" w:rsidR="007A52B7" w:rsidRPr="00900D6C" w:rsidRDefault="007A52B7" w:rsidP="00EA19BA">
      <w:pPr>
        <w:ind w:right="-46"/>
      </w:pPr>
      <w:r w:rsidRPr="00900D6C">
        <w:t>Follow</w:t>
      </w:r>
      <w:r w:rsidR="00860C7E" w:rsidRPr="00900D6C">
        <w:t>-</w:t>
      </w:r>
      <w:r w:rsidRPr="00900D6C">
        <w:t>up of patrons should be considered if:</w:t>
      </w:r>
    </w:p>
    <w:p w14:paraId="0801D363" w14:textId="5A1AA09A" w:rsidR="007A52B7" w:rsidRPr="00900D6C" w:rsidRDefault="007A52B7" w:rsidP="00EA19BA">
      <w:pPr>
        <w:pStyle w:val="ListParagraph"/>
        <w:numPr>
          <w:ilvl w:val="0"/>
          <w:numId w:val="23"/>
        </w:numPr>
        <w:ind w:right="-46"/>
        <w:rPr>
          <w:lang w:val="en-AU"/>
        </w:rPr>
      </w:pPr>
      <w:r w:rsidRPr="00900D6C">
        <w:rPr>
          <w:lang w:val="en-AU"/>
        </w:rPr>
        <w:t>the food handler, while infectious, directly handled food that was not subsequently cooked prior to serving</w:t>
      </w:r>
      <w:r w:rsidR="00860C7E" w:rsidRPr="00900D6C">
        <w:rPr>
          <w:lang w:val="en-AU"/>
        </w:rPr>
        <w:t>;</w:t>
      </w:r>
    </w:p>
    <w:p w14:paraId="491723B4" w14:textId="652932B8" w:rsidR="007A52B7" w:rsidRPr="00900D6C" w:rsidRDefault="00BA01D7" w:rsidP="00EA19BA">
      <w:pPr>
        <w:ind w:right="-46"/>
      </w:pPr>
      <w:r>
        <w:t xml:space="preserve">  </w:t>
      </w:r>
      <w:r w:rsidR="007A52B7" w:rsidRPr="00900D6C">
        <w:t>AND</w:t>
      </w:r>
      <w:r w:rsidR="00025C4D" w:rsidRPr="00900D6C">
        <w:tab/>
      </w:r>
    </w:p>
    <w:p w14:paraId="17C186B6" w14:textId="0452BC96" w:rsidR="007A52B7" w:rsidRPr="00900D6C" w:rsidRDefault="007814E9" w:rsidP="00EA19BA">
      <w:pPr>
        <w:pStyle w:val="ListParagraph"/>
        <w:numPr>
          <w:ilvl w:val="0"/>
          <w:numId w:val="23"/>
        </w:numPr>
        <w:ind w:right="-46"/>
        <w:rPr>
          <w:lang w:val="en-AU"/>
        </w:rPr>
      </w:pPr>
      <w:proofErr w:type="gramStart"/>
      <w:r w:rsidRPr="00900D6C">
        <w:rPr>
          <w:lang w:val="en-AU"/>
        </w:rPr>
        <w:t>the</w:t>
      </w:r>
      <w:proofErr w:type="gramEnd"/>
      <w:r w:rsidRPr="00900D6C">
        <w:rPr>
          <w:lang w:val="en-AU"/>
        </w:rPr>
        <w:t xml:space="preserve"> food handler </w:t>
      </w:r>
      <w:r w:rsidR="007A52B7" w:rsidRPr="00900D6C">
        <w:rPr>
          <w:lang w:val="en-AU"/>
        </w:rPr>
        <w:t>had diarrhoea or poor hygien</w:t>
      </w:r>
      <w:r w:rsidR="00860C7E" w:rsidRPr="00900D6C">
        <w:rPr>
          <w:lang w:val="en-AU"/>
        </w:rPr>
        <w:t>e</w:t>
      </w:r>
      <w:r w:rsidR="007A52B7" w:rsidRPr="00900D6C">
        <w:rPr>
          <w:lang w:val="en-AU"/>
        </w:rPr>
        <w:t xml:space="preserve"> practices</w:t>
      </w:r>
      <w:r w:rsidR="00590E81" w:rsidRPr="00900D6C">
        <w:rPr>
          <w:lang w:val="en-AU"/>
        </w:rPr>
        <w:t>.</w:t>
      </w:r>
    </w:p>
    <w:p w14:paraId="69EF3356" w14:textId="28CC3E6E" w:rsidR="005B2028" w:rsidRPr="00900D6C" w:rsidRDefault="005B2028" w:rsidP="00EA19BA">
      <w:pPr>
        <w:ind w:right="-46"/>
      </w:pPr>
      <w:r w:rsidRPr="00900D6C">
        <w:t xml:space="preserve">Public health actions in this situation should be guided by the risk assessment, but </w:t>
      </w:r>
      <w:r w:rsidR="0096240B" w:rsidRPr="00900D6C">
        <w:t xml:space="preserve">may </w:t>
      </w:r>
      <w:r w:rsidRPr="00900D6C">
        <w:t>include:</w:t>
      </w:r>
    </w:p>
    <w:p w14:paraId="18914D60" w14:textId="171860BE" w:rsidR="005B2028" w:rsidRPr="00900D6C" w:rsidRDefault="0096240B" w:rsidP="00EA19BA">
      <w:pPr>
        <w:pStyle w:val="ListParagraph"/>
        <w:numPr>
          <w:ilvl w:val="0"/>
          <w:numId w:val="23"/>
        </w:numPr>
        <w:ind w:right="-46"/>
        <w:rPr>
          <w:lang w:val="en-AU"/>
        </w:rPr>
      </w:pPr>
      <w:r w:rsidRPr="00900D6C">
        <w:rPr>
          <w:lang w:val="en-AU"/>
        </w:rPr>
        <w:t xml:space="preserve">taking </w:t>
      </w:r>
      <w:r w:rsidR="00AE3B57" w:rsidRPr="00900D6C">
        <w:rPr>
          <w:lang w:val="en-AU"/>
        </w:rPr>
        <w:t>n</w:t>
      </w:r>
      <w:r w:rsidR="005B2028" w:rsidRPr="00900D6C">
        <w:rPr>
          <w:lang w:val="en-AU"/>
        </w:rPr>
        <w:t>o action with respect to patrons of the food premises</w:t>
      </w:r>
      <w:r w:rsidR="00AE3B57" w:rsidRPr="00900D6C">
        <w:rPr>
          <w:lang w:val="en-AU"/>
        </w:rPr>
        <w:t>;</w:t>
      </w:r>
    </w:p>
    <w:p w14:paraId="07DC4B3E" w14:textId="1D4426F4" w:rsidR="00590E81" w:rsidRPr="00900D6C" w:rsidRDefault="00AE3B57" w:rsidP="00EA19BA">
      <w:pPr>
        <w:pStyle w:val="ListParagraph"/>
        <w:numPr>
          <w:ilvl w:val="0"/>
          <w:numId w:val="23"/>
        </w:numPr>
        <w:ind w:right="-46"/>
        <w:rPr>
          <w:lang w:val="en-AU"/>
        </w:rPr>
      </w:pPr>
      <w:r w:rsidRPr="00900D6C">
        <w:rPr>
          <w:lang w:val="en-AU"/>
        </w:rPr>
        <w:t>c</w:t>
      </w:r>
      <w:r w:rsidR="00590E81" w:rsidRPr="00900D6C">
        <w:rPr>
          <w:lang w:val="en-AU"/>
        </w:rPr>
        <w:t>ontacting patrons if booking lists are available</w:t>
      </w:r>
      <w:r w:rsidRPr="00900D6C">
        <w:rPr>
          <w:lang w:val="en-AU"/>
        </w:rPr>
        <w:t>;</w:t>
      </w:r>
    </w:p>
    <w:p w14:paraId="19521B44" w14:textId="7014E0C6" w:rsidR="005B2028" w:rsidRPr="00900D6C" w:rsidRDefault="0096240B" w:rsidP="00EA19BA">
      <w:pPr>
        <w:pStyle w:val="ListParagraph"/>
        <w:numPr>
          <w:ilvl w:val="0"/>
          <w:numId w:val="23"/>
        </w:numPr>
        <w:ind w:right="-46"/>
        <w:rPr>
          <w:lang w:val="en-AU"/>
        </w:rPr>
      </w:pPr>
      <w:r w:rsidRPr="00900D6C">
        <w:rPr>
          <w:lang w:val="en-AU"/>
        </w:rPr>
        <w:t xml:space="preserve">placing </w:t>
      </w:r>
      <w:r w:rsidR="00AE3B57" w:rsidRPr="00900D6C">
        <w:rPr>
          <w:lang w:val="en-AU"/>
        </w:rPr>
        <w:t>s</w:t>
      </w:r>
      <w:r w:rsidR="005B2028" w:rsidRPr="00900D6C">
        <w:rPr>
          <w:lang w:val="en-AU"/>
        </w:rPr>
        <w:t>ign</w:t>
      </w:r>
      <w:r w:rsidRPr="00900D6C">
        <w:rPr>
          <w:lang w:val="en-AU"/>
        </w:rPr>
        <w:t>s</w:t>
      </w:r>
      <w:r w:rsidR="005B2028" w:rsidRPr="00900D6C">
        <w:rPr>
          <w:lang w:val="en-AU"/>
        </w:rPr>
        <w:t xml:space="preserve"> within th</w:t>
      </w:r>
      <w:r w:rsidR="007745EE" w:rsidRPr="00900D6C">
        <w:rPr>
          <w:lang w:val="en-AU"/>
        </w:rPr>
        <w:t>e food premises</w:t>
      </w:r>
      <w:r w:rsidR="00AE3B57" w:rsidRPr="00900D6C">
        <w:rPr>
          <w:lang w:val="en-AU"/>
        </w:rPr>
        <w:t>;</w:t>
      </w:r>
    </w:p>
    <w:p w14:paraId="7DECCCCD" w14:textId="6C0011AD" w:rsidR="005B2028" w:rsidRPr="00900D6C" w:rsidRDefault="00AE3B57" w:rsidP="00EA19BA">
      <w:pPr>
        <w:pStyle w:val="ListParagraph"/>
        <w:numPr>
          <w:ilvl w:val="0"/>
          <w:numId w:val="23"/>
        </w:numPr>
        <w:ind w:right="-46"/>
        <w:rPr>
          <w:lang w:val="en-AU"/>
        </w:rPr>
      </w:pPr>
      <w:proofErr w:type="gramStart"/>
      <w:r w:rsidRPr="00900D6C">
        <w:rPr>
          <w:lang w:val="en-AU"/>
        </w:rPr>
        <w:t>distributin</w:t>
      </w:r>
      <w:r w:rsidR="00A728B0" w:rsidRPr="00900D6C">
        <w:rPr>
          <w:lang w:val="en-AU"/>
        </w:rPr>
        <w:t>g</w:t>
      </w:r>
      <w:proofErr w:type="gramEnd"/>
      <w:r w:rsidRPr="00900D6C">
        <w:rPr>
          <w:lang w:val="en-AU"/>
        </w:rPr>
        <w:t xml:space="preserve"> </w:t>
      </w:r>
      <w:r w:rsidR="00A728B0" w:rsidRPr="00900D6C">
        <w:rPr>
          <w:lang w:val="en-AU"/>
        </w:rPr>
        <w:t xml:space="preserve">information via </w:t>
      </w:r>
      <w:r w:rsidRPr="00900D6C">
        <w:rPr>
          <w:lang w:val="en-AU"/>
        </w:rPr>
        <w:t>m</w:t>
      </w:r>
      <w:r w:rsidR="005B2028" w:rsidRPr="00900D6C">
        <w:rPr>
          <w:lang w:val="en-AU"/>
        </w:rPr>
        <w:t>edia release</w:t>
      </w:r>
      <w:r w:rsidRPr="00900D6C">
        <w:rPr>
          <w:lang w:val="en-AU"/>
        </w:rPr>
        <w:t>s.</w:t>
      </w:r>
    </w:p>
    <w:p w14:paraId="5C59A899" w14:textId="77777777" w:rsidR="007814E9" w:rsidRPr="00900D6C" w:rsidRDefault="007814E9" w:rsidP="00EA19BA">
      <w:pPr>
        <w:ind w:right="-46"/>
      </w:pPr>
      <w:r w:rsidRPr="00900D6C">
        <w:t>Going public</w:t>
      </w:r>
    </w:p>
    <w:p w14:paraId="5249DCEA" w14:textId="59B2FC87" w:rsidR="007814E9" w:rsidRPr="00900D6C" w:rsidRDefault="007814E9" w:rsidP="00EA19BA">
      <w:pPr>
        <w:ind w:right="-46"/>
      </w:pPr>
      <w:r w:rsidRPr="00900D6C">
        <w:t>The following guidelines are designed to assist in deciding whether potentially</w:t>
      </w:r>
      <w:r w:rsidR="00A728B0" w:rsidRPr="00900D6C">
        <w:t>-</w:t>
      </w:r>
      <w:r w:rsidRPr="00900D6C">
        <w:t>exposed patrons should be alerted via the news media. In applying these criteria and judging the risk of spread of infection, the PHU</w:t>
      </w:r>
      <w:r w:rsidR="00306479" w:rsidRPr="00900D6C">
        <w:t>, together with food safety officers</w:t>
      </w:r>
      <w:r w:rsidRPr="00900D6C">
        <w:t xml:space="preserve"> should:</w:t>
      </w:r>
    </w:p>
    <w:p w14:paraId="5E3FA593" w14:textId="3DA00DB7" w:rsidR="007814E9" w:rsidRPr="00900D6C" w:rsidRDefault="007814E9" w:rsidP="00EA19BA">
      <w:pPr>
        <w:pStyle w:val="ListParagraph"/>
        <w:numPr>
          <w:ilvl w:val="0"/>
          <w:numId w:val="24"/>
        </w:numPr>
        <w:ind w:right="-46"/>
        <w:rPr>
          <w:lang w:val="en-AU"/>
        </w:rPr>
      </w:pPr>
      <w:r w:rsidRPr="00900D6C">
        <w:rPr>
          <w:lang w:val="en-AU"/>
        </w:rPr>
        <w:t>make every possible effort to obtain accurate information</w:t>
      </w:r>
      <w:r w:rsidR="00A728B0" w:rsidRPr="00900D6C">
        <w:rPr>
          <w:lang w:val="en-AU"/>
        </w:rPr>
        <w:t>;</w:t>
      </w:r>
    </w:p>
    <w:p w14:paraId="4ABFD8D6" w14:textId="76068107" w:rsidR="007814E9" w:rsidRPr="00900D6C" w:rsidRDefault="007814E9" w:rsidP="00EA19BA">
      <w:pPr>
        <w:pStyle w:val="ListParagraph"/>
        <w:numPr>
          <w:ilvl w:val="0"/>
          <w:numId w:val="24"/>
        </w:numPr>
        <w:ind w:right="-46"/>
        <w:rPr>
          <w:lang w:val="en-AU"/>
        </w:rPr>
      </w:pPr>
      <w:r w:rsidRPr="00900D6C">
        <w:rPr>
          <w:lang w:val="en-AU"/>
        </w:rPr>
        <w:t xml:space="preserve">exercise </w:t>
      </w:r>
      <w:r w:rsidR="001B3364" w:rsidRPr="00900D6C">
        <w:rPr>
          <w:lang w:val="en-AU"/>
        </w:rPr>
        <w:t>sound</w:t>
      </w:r>
      <w:r w:rsidR="00674988" w:rsidRPr="00900D6C">
        <w:rPr>
          <w:lang w:val="en-AU"/>
        </w:rPr>
        <w:t xml:space="preserve"> </w:t>
      </w:r>
      <w:r w:rsidRPr="00900D6C">
        <w:rPr>
          <w:lang w:val="en-AU"/>
        </w:rPr>
        <w:t xml:space="preserve">judgment about the accuracy of information received, especially the consistency of hygiene information </w:t>
      </w:r>
      <w:r w:rsidR="0096240B" w:rsidRPr="00900D6C">
        <w:rPr>
          <w:lang w:val="en-AU"/>
        </w:rPr>
        <w:t>received</w:t>
      </w:r>
      <w:r w:rsidR="00817E8F" w:rsidRPr="00900D6C">
        <w:rPr>
          <w:lang w:val="en-AU"/>
        </w:rPr>
        <w:t xml:space="preserve"> </w:t>
      </w:r>
      <w:r w:rsidRPr="00900D6C">
        <w:rPr>
          <w:lang w:val="en-AU"/>
        </w:rPr>
        <w:t>from different sources</w:t>
      </w:r>
      <w:r w:rsidR="00A728B0" w:rsidRPr="00900D6C">
        <w:rPr>
          <w:lang w:val="en-AU"/>
        </w:rPr>
        <w:t>;</w:t>
      </w:r>
    </w:p>
    <w:p w14:paraId="3CEE5AD1" w14:textId="55D2803F" w:rsidR="007814E9" w:rsidRPr="00900D6C" w:rsidRDefault="007814E9" w:rsidP="00EA19BA">
      <w:pPr>
        <w:pStyle w:val="ListParagraph"/>
        <w:numPr>
          <w:ilvl w:val="0"/>
          <w:numId w:val="24"/>
        </w:numPr>
        <w:ind w:right="-46"/>
        <w:rPr>
          <w:lang w:val="en-AU"/>
        </w:rPr>
      </w:pPr>
      <w:r w:rsidRPr="00900D6C">
        <w:rPr>
          <w:lang w:val="en-AU"/>
        </w:rPr>
        <w:t>consider the history of the facility's food inspections</w:t>
      </w:r>
      <w:r w:rsidR="0096240B" w:rsidRPr="00900D6C">
        <w:rPr>
          <w:lang w:val="en-AU"/>
        </w:rPr>
        <w:t>’</w:t>
      </w:r>
      <w:r w:rsidRPr="00900D6C">
        <w:rPr>
          <w:lang w:val="en-AU"/>
        </w:rPr>
        <w:t xml:space="preserve"> records while under its current management</w:t>
      </w:r>
      <w:r w:rsidR="00A728B0" w:rsidRPr="00900D6C">
        <w:rPr>
          <w:lang w:val="en-AU"/>
        </w:rPr>
        <w:t>;</w:t>
      </w:r>
    </w:p>
    <w:p w14:paraId="1F1ECBEF" w14:textId="0A635D38" w:rsidR="007745EE" w:rsidRPr="00900D6C" w:rsidRDefault="007814E9" w:rsidP="00EA19BA">
      <w:pPr>
        <w:pStyle w:val="ListParagraph"/>
        <w:numPr>
          <w:ilvl w:val="0"/>
          <w:numId w:val="24"/>
        </w:numPr>
        <w:ind w:right="-46"/>
        <w:rPr>
          <w:lang w:val="en-AU"/>
        </w:rPr>
      </w:pPr>
      <w:proofErr w:type="gramStart"/>
      <w:r w:rsidRPr="00900D6C">
        <w:rPr>
          <w:lang w:val="en-AU"/>
        </w:rPr>
        <w:t>determine</w:t>
      </w:r>
      <w:proofErr w:type="gramEnd"/>
      <w:r w:rsidRPr="00900D6C">
        <w:rPr>
          <w:lang w:val="en-AU"/>
        </w:rPr>
        <w:t xml:space="preserve"> whether the manager has had food</w:t>
      </w:r>
      <w:r w:rsidR="00674988" w:rsidRPr="00900D6C">
        <w:rPr>
          <w:lang w:val="en-AU"/>
        </w:rPr>
        <w:t>-</w:t>
      </w:r>
      <w:r w:rsidRPr="00900D6C">
        <w:rPr>
          <w:lang w:val="en-AU"/>
        </w:rPr>
        <w:t>safety training and applies it through employee training, supervision and hazard</w:t>
      </w:r>
      <w:r w:rsidR="00674988" w:rsidRPr="00900D6C">
        <w:rPr>
          <w:lang w:val="en-AU"/>
        </w:rPr>
        <w:t>-</w:t>
      </w:r>
      <w:r w:rsidRPr="00900D6C">
        <w:rPr>
          <w:lang w:val="en-AU"/>
        </w:rPr>
        <w:t>control systems at the facility.</w:t>
      </w:r>
    </w:p>
    <w:p w14:paraId="7B8258A7" w14:textId="7CB2AA04" w:rsidR="007814E9" w:rsidRPr="00900D6C" w:rsidRDefault="007814E9" w:rsidP="00EA19BA">
      <w:pPr>
        <w:ind w:right="-46"/>
      </w:pPr>
      <w:r w:rsidRPr="00900D6C">
        <w:t>Good practices include th</w:t>
      </w:r>
      <w:r w:rsidR="00E23015" w:rsidRPr="00900D6C">
        <w:t>at</w:t>
      </w:r>
      <w:r w:rsidRPr="00900D6C">
        <w:t>:</w:t>
      </w:r>
    </w:p>
    <w:p w14:paraId="528FEDC9" w14:textId="6D3146BF" w:rsidR="007814E9" w:rsidRPr="00900D6C" w:rsidRDefault="007814E9" w:rsidP="00EA19BA">
      <w:pPr>
        <w:pStyle w:val="ListParagraph"/>
        <w:numPr>
          <w:ilvl w:val="0"/>
          <w:numId w:val="25"/>
        </w:numPr>
        <w:ind w:right="-46"/>
        <w:rPr>
          <w:lang w:val="en-AU"/>
        </w:rPr>
      </w:pPr>
      <w:r w:rsidRPr="00900D6C">
        <w:rPr>
          <w:lang w:val="en-AU"/>
        </w:rPr>
        <w:t>management supervises and inspects food protection and food</w:t>
      </w:r>
      <w:r w:rsidR="007531F3" w:rsidRPr="00900D6C">
        <w:rPr>
          <w:lang w:val="en-AU"/>
        </w:rPr>
        <w:t>-</w:t>
      </w:r>
      <w:r w:rsidRPr="00900D6C">
        <w:rPr>
          <w:lang w:val="en-AU"/>
        </w:rPr>
        <w:t>handling practices of all shifts on a routine basis</w:t>
      </w:r>
      <w:r w:rsidR="00674988" w:rsidRPr="00900D6C">
        <w:rPr>
          <w:lang w:val="en-AU"/>
        </w:rPr>
        <w:t>;</w:t>
      </w:r>
    </w:p>
    <w:p w14:paraId="76A2203E" w14:textId="167411CA" w:rsidR="007814E9" w:rsidRPr="00900D6C" w:rsidRDefault="007814E9" w:rsidP="00EA19BA">
      <w:pPr>
        <w:pStyle w:val="ListParagraph"/>
        <w:numPr>
          <w:ilvl w:val="0"/>
          <w:numId w:val="25"/>
        </w:numPr>
        <w:ind w:right="-46"/>
        <w:rPr>
          <w:lang w:val="en-AU"/>
        </w:rPr>
      </w:pPr>
      <w:r w:rsidRPr="00900D6C">
        <w:rPr>
          <w:lang w:val="en-AU"/>
        </w:rPr>
        <w:t xml:space="preserve">training addresses personal hygiene and supervision of </w:t>
      </w:r>
      <w:r w:rsidR="007531F3" w:rsidRPr="00900D6C">
        <w:rPr>
          <w:lang w:val="en-AU"/>
        </w:rPr>
        <w:t xml:space="preserve">all </w:t>
      </w:r>
      <w:r w:rsidRPr="00900D6C">
        <w:rPr>
          <w:lang w:val="en-AU"/>
        </w:rPr>
        <w:t>food handler</w:t>
      </w:r>
      <w:r w:rsidR="007531F3" w:rsidRPr="00900D6C">
        <w:rPr>
          <w:lang w:val="en-AU"/>
        </w:rPr>
        <w:t>s’</w:t>
      </w:r>
      <w:r w:rsidRPr="00900D6C">
        <w:rPr>
          <w:lang w:val="en-AU"/>
        </w:rPr>
        <w:t xml:space="preserve"> </w:t>
      </w:r>
      <w:proofErr w:type="spellStart"/>
      <w:r w:rsidRPr="00900D6C">
        <w:rPr>
          <w:lang w:val="en-AU"/>
        </w:rPr>
        <w:t>handwashing</w:t>
      </w:r>
      <w:proofErr w:type="spellEnd"/>
      <w:r w:rsidRPr="00900D6C">
        <w:rPr>
          <w:lang w:val="en-AU"/>
        </w:rPr>
        <w:t xml:space="preserve"> practices</w:t>
      </w:r>
      <w:r w:rsidR="00674988" w:rsidRPr="00900D6C">
        <w:rPr>
          <w:lang w:val="en-AU"/>
        </w:rPr>
        <w:t>;</w:t>
      </w:r>
    </w:p>
    <w:p w14:paraId="44BBDDC3" w14:textId="4096578C" w:rsidR="007814E9" w:rsidRPr="00900D6C" w:rsidRDefault="007814E9" w:rsidP="00EA19BA">
      <w:pPr>
        <w:pStyle w:val="ListParagraph"/>
        <w:numPr>
          <w:ilvl w:val="0"/>
          <w:numId w:val="25"/>
        </w:numPr>
        <w:ind w:right="-46"/>
        <w:rPr>
          <w:lang w:val="en-AU"/>
        </w:rPr>
      </w:pPr>
      <w:r w:rsidRPr="00900D6C">
        <w:rPr>
          <w:lang w:val="en-AU"/>
        </w:rPr>
        <w:t>management has established a routine means of evaluating employee performance</w:t>
      </w:r>
      <w:r w:rsidR="001B3364" w:rsidRPr="00900D6C">
        <w:rPr>
          <w:lang w:val="en-AU"/>
        </w:rPr>
        <w:t xml:space="preserve"> such as </w:t>
      </w:r>
      <w:r w:rsidR="007531F3" w:rsidRPr="00900D6C">
        <w:rPr>
          <w:lang w:val="en-AU"/>
        </w:rPr>
        <w:t>through</w:t>
      </w:r>
      <w:r w:rsidRPr="00900D6C">
        <w:rPr>
          <w:lang w:val="en-AU"/>
        </w:rPr>
        <w:t xml:space="preserve"> </w:t>
      </w:r>
      <w:r w:rsidR="00674988" w:rsidRPr="00900D6C">
        <w:rPr>
          <w:lang w:val="en-AU"/>
        </w:rPr>
        <w:t>observing</w:t>
      </w:r>
      <w:r w:rsidRPr="00900D6C">
        <w:rPr>
          <w:lang w:val="en-AU"/>
        </w:rPr>
        <w:t xml:space="preserve"> that all food handlers wash their hands on entering a food preparation area </w:t>
      </w:r>
      <w:r w:rsidR="00674988" w:rsidRPr="00900D6C">
        <w:rPr>
          <w:lang w:val="en-AU"/>
        </w:rPr>
        <w:t>and</w:t>
      </w:r>
      <w:r w:rsidRPr="00900D6C">
        <w:rPr>
          <w:lang w:val="en-AU"/>
        </w:rPr>
        <w:t xml:space="preserve"> </w:t>
      </w:r>
      <w:r w:rsidR="00BF50B9" w:rsidRPr="00900D6C">
        <w:rPr>
          <w:lang w:val="en-AU"/>
        </w:rPr>
        <w:t xml:space="preserve">after visiting a </w:t>
      </w:r>
      <w:r w:rsidRPr="00900D6C">
        <w:rPr>
          <w:lang w:val="en-AU"/>
        </w:rPr>
        <w:t>restroom</w:t>
      </w:r>
      <w:r w:rsidR="00BF50B9" w:rsidRPr="00900D6C">
        <w:rPr>
          <w:lang w:val="en-AU"/>
        </w:rPr>
        <w:t>;</w:t>
      </w:r>
    </w:p>
    <w:p w14:paraId="763769C3" w14:textId="62A977A4" w:rsidR="007814E9" w:rsidRPr="00900D6C" w:rsidRDefault="007814E9" w:rsidP="00EA19BA">
      <w:pPr>
        <w:pStyle w:val="ListParagraph"/>
        <w:numPr>
          <w:ilvl w:val="0"/>
          <w:numId w:val="25"/>
        </w:numPr>
        <w:ind w:right="-46"/>
        <w:rPr>
          <w:lang w:val="en-AU"/>
        </w:rPr>
      </w:pPr>
      <w:r w:rsidRPr="00900D6C">
        <w:rPr>
          <w:lang w:val="en-AU"/>
        </w:rPr>
        <w:t>hand</w:t>
      </w:r>
      <w:r w:rsidR="00BF50B9" w:rsidRPr="00900D6C">
        <w:rPr>
          <w:lang w:val="en-AU"/>
        </w:rPr>
        <w:t>-</w:t>
      </w:r>
      <w:r w:rsidRPr="00900D6C">
        <w:rPr>
          <w:lang w:val="en-AU"/>
        </w:rPr>
        <w:t>washing facilities are checked frequently each day for adequate supplies and operation</w:t>
      </w:r>
      <w:r w:rsidR="0096240B" w:rsidRPr="00900D6C">
        <w:rPr>
          <w:lang w:val="en-AU"/>
        </w:rPr>
        <w:t>,</w:t>
      </w:r>
      <w:r w:rsidRPr="00900D6C">
        <w:rPr>
          <w:lang w:val="en-AU"/>
        </w:rPr>
        <w:t xml:space="preserve"> and </w:t>
      </w:r>
      <w:r w:rsidR="0096240B" w:rsidRPr="00900D6C">
        <w:rPr>
          <w:lang w:val="en-AU"/>
        </w:rPr>
        <w:t xml:space="preserve">that </w:t>
      </w:r>
      <w:r w:rsidRPr="00900D6C">
        <w:rPr>
          <w:lang w:val="en-AU"/>
        </w:rPr>
        <w:t>records are kept</w:t>
      </w:r>
      <w:r w:rsidR="00674988" w:rsidRPr="00900D6C">
        <w:rPr>
          <w:lang w:val="en-AU"/>
        </w:rPr>
        <w:t>;</w:t>
      </w:r>
    </w:p>
    <w:p w14:paraId="46E15B92" w14:textId="63093FD3" w:rsidR="007814E9" w:rsidRPr="00900D6C" w:rsidRDefault="007814E9" w:rsidP="00EA19BA">
      <w:pPr>
        <w:pStyle w:val="ListParagraph"/>
        <w:numPr>
          <w:ilvl w:val="0"/>
          <w:numId w:val="25"/>
        </w:numPr>
        <w:ind w:right="-46"/>
        <w:rPr>
          <w:lang w:val="en-AU"/>
        </w:rPr>
      </w:pPr>
      <w:r w:rsidRPr="00900D6C">
        <w:rPr>
          <w:lang w:val="en-AU"/>
        </w:rPr>
        <w:t>high</w:t>
      </w:r>
      <w:r w:rsidR="00674988" w:rsidRPr="00900D6C">
        <w:rPr>
          <w:lang w:val="en-AU"/>
        </w:rPr>
        <w:t>-</w:t>
      </w:r>
      <w:r w:rsidRPr="00900D6C">
        <w:rPr>
          <w:lang w:val="en-AU"/>
        </w:rPr>
        <w:t>risk food</w:t>
      </w:r>
      <w:r w:rsidR="00BF50B9" w:rsidRPr="00900D6C">
        <w:rPr>
          <w:lang w:val="en-AU"/>
        </w:rPr>
        <w:t>-</w:t>
      </w:r>
      <w:r w:rsidRPr="00900D6C">
        <w:rPr>
          <w:lang w:val="en-AU"/>
        </w:rPr>
        <w:t>handling tasks are designed so that direct handling of food and cross-contamination are minimised</w:t>
      </w:r>
      <w:r w:rsidR="00BF50B9" w:rsidRPr="00900D6C">
        <w:rPr>
          <w:lang w:val="en-AU"/>
        </w:rPr>
        <w:t>;</w:t>
      </w:r>
    </w:p>
    <w:p w14:paraId="4E82C216" w14:textId="77777777" w:rsidR="007814E9" w:rsidRPr="00900D6C" w:rsidRDefault="007814E9" w:rsidP="00EA19BA">
      <w:pPr>
        <w:pStyle w:val="ListParagraph"/>
        <w:numPr>
          <w:ilvl w:val="0"/>
          <w:numId w:val="25"/>
        </w:numPr>
        <w:ind w:right="-46"/>
        <w:rPr>
          <w:lang w:val="en-AU"/>
        </w:rPr>
      </w:pPr>
      <w:proofErr w:type="gramStart"/>
      <w:r w:rsidRPr="00900D6C">
        <w:rPr>
          <w:lang w:val="en-AU"/>
        </w:rPr>
        <w:t>an</w:t>
      </w:r>
      <w:proofErr w:type="gramEnd"/>
      <w:r w:rsidRPr="00900D6C">
        <w:rPr>
          <w:lang w:val="en-AU"/>
        </w:rPr>
        <w:t xml:space="preserve"> effective management policy is in place for encouraging employees not to work with symptoms that could indicate a communicable disease (e</w:t>
      </w:r>
      <w:r w:rsidR="009F523C" w:rsidRPr="00900D6C">
        <w:rPr>
          <w:lang w:val="en-AU"/>
        </w:rPr>
        <w:t>.</w:t>
      </w:r>
      <w:r w:rsidRPr="00900D6C">
        <w:rPr>
          <w:lang w:val="en-AU"/>
        </w:rPr>
        <w:t>g. diarrhoea or vomiting), thereby encouraging employees to report illnesses to management.</w:t>
      </w:r>
    </w:p>
    <w:p w14:paraId="40D426E8" w14:textId="74E27796" w:rsidR="007814E9" w:rsidRPr="00900D6C" w:rsidRDefault="007814E9" w:rsidP="00EA19BA">
      <w:pPr>
        <w:ind w:right="-46"/>
      </w:pPr>
      <w:r w:rsidRPr="00900D6C">
        <w:t>High</w:t>
      </w:r>
      <w:r w:rsidR="00BF50B9" w:rsidRPr="00900D6C">
        <w:t>-</w:t>
      </w:r>
      <w:r w:rsidRPr="00900D6C">
        <w:t>risk food is defined as food that is handled and not subsequently cooked before consumption (e</w:t>
      </w:r>
      <w:r w:rsidR="009F523C" w:rsidRPr="00900D6C">
        <w:t>.</w:t>
      </w:r>
      <w:r w:rsidRPr="00900D6C">
        <w:t xml:space="preserve">g. salad </w:t>
      </w:r>
      <w:r w:rsidR="007C0609" w:rsidRPr="00900D6C">
        <w:t>ingredients</w:t>
      </w:r>
      <w:r w:rsidRPr="00900D6C">
        <w:t xml:space="preserve">, </w:t>
      </w:r>
      <w:r w:rsidR="007C0609" w:rsidRPr="00900D6C">
        <w:t xml:space="preserve">sandwiches, sushi, </w:t>
      </w:r>
      <w:r w:rsidRPr="00900D6C">
        <w:t xml:space="preserve">cake </w:t>
      </w:r>
      <w:r w:rsidR="007C0609" w:rsidRPr="00900D6C">
        <w:t xml:space="preserve">filling or </w:t>
      </w:r>
      <w:r w:rsidRPr="00900D6C">
        <w:t>icing, and sliced fruit).</w:t>
      </w:r>
    </w:p>
    <w:p w14:paraId="6B9D2803" w14:textId="77777777" w:rsidR="007814E9" w:rsidRPr="00900D6C" w:rsidRDefault="007814E9" w:rsidP="00900D6C">
      <w:pPr>
        <w:pStyle w:val="Heading3"/>
      </w:pPr>
      <w:r w:rsidRPr="00900D6C">
        <w:t>General principles for decision-making</w:t>
      </w:r>
    </w:p>
    <w:p w14:paraId="48167F4E" w14:textId="7B4185E0" w:rsidR="007814E9" w:rsidRPr="00900D6C" w:rsidRDefault="007814E9" w:rsidP="00EA19BA">
      <w:pPr>
        <w:ind w:right="-46"/>
      </w:pPr>
      <w:r w:rsidRPr="00900D6C">
        <w:t>Generally, infectious food</w:t>
      </w:r>
      <w:r w:rsidR="00BF50B9" w:rsidRPr="00900D6C">
        <w:t>-</w:t>
      </w:r>
      <w:r w:rsidRPr="00900D6C">
        <w:t>handler situations fall into one of three categories.</w:t>
      </w:r>
    </w:p>
    <w:p w14:paraId="0DAA0BBD" w14:textId="4690A0DD" w:rsidR="007814E9" w:rsidRPr="00193BD1" w:rsidRDefault="007814E9" w:rsidP="00193BD1">
      <w:pPr>
        <w:pStyle w:val="Heading4"/>
      </w:pPr>
      <w:r w:rsidRPr="00193BD1">
        <w:t>1.</w:t>
      </w:r>
      <w:r w:rsidR="00025C4D" w:rsidRPr="00193BD1">
        <w:tab/>
      </w:r>
      <w:r w:rsidRPr="00193BD1">
        <w:t>Food handler has not handled any high</w:t>
      </w:r>
      <w:r w:rsidR="00BF50B9" w:rsidRPr="00193BD1">
        <w:t>-</w:t>
      </w:r>
      <w:r w:rsidRPr="00193BD1">
        <w:t>risk food</w:t>
      </w:r>
    </w:p>
    <w:p w14:paraId="0AE63139" w14:textId="429297D4" w:rsidR="007814E9" w:rsidRPr="00900D6C" w:rsidRDefault="007814E9" w:rsidP="00EA19BA">
      <w:pPr>
        <w:ind w:right="-46"/>
      </w:pPr>
      <w:r w:rsidRPr="00900D6C">
        <w:t>Notification of potentially</w:t>
      </w:r>
      <w:r w:rsidR="00BF50B9" w:rsidRPr="00900D6C">
        <w:t>-</w:t>
      </w:r>
      <w:r w:rsidRPr="00900D6C">
        <w:t>exposed patrons is rarely necessary.</w:t>
      </w:r>
    </w:p>
    <w:p w14:paraId="2C21D6A2" w14:textId="230A20B5" w:rsidR="007814E9" w:rsidRPr="00193BD1" w:rsidRDefault="007814E9" w:rsidP="00193BD1">
      <w:pPr>
        <w:pStyle w:val="Heading4"/>
      </w:pPr>
      <w:r w:rsidRPr="00193BD1">
        <w:t>2.</w:t>
      </w:r>
      <w:r w:rsidR="00BA01D7">
        <w:t xml:space="preserve"> </w:t>
      </w:r>
      <w:r w:rsidR="00D3029F" w:rsidRPr="00193BD1">
        <w:tab/>
      </w:r>
      <w:r w:rsidRPr="00193BD1">
        <w:t xml:space="preserve"> Food handler handles high</w:t>
      </w:r>
      <w:r w:rsidR="00BF50B9" w:rsidRPr="00193BD1">
        <w:t>-</w:t>
      </w:r>
      <w:r w:rsidRPr="00193BD1">
        <w:t>risk foods, but facility manager has received food service safety training and uses a hazard control system</w:t>
      </w:r>
    </w:p>
    <w:p w14:paraId="7492D5A9" w14:textId="741A21CF" w:rsidR="007814E9" w:rsidRPr="00900D6C" w:rsidRDefault="007814E9" w:rsidP="00EA19BA">
      <w:pPr>
        <w:ind w:right="-46"/>
      </w:pPr>
      <w:r w:rsidRPr="00900D6C">
        <w:t>If the food handler has handled high</w:t>
      </w:r>
      <w:r w:rsidR="00BF50B9" w:rsidRPr="00900D6C">
        <w:t>-</w:t>
      </w:r>
      <w:r w:rsidRPr="00900D6C">
        <w:t>risk foods, but the facility manager can document receipt of approved training and implementation of an approved hazard</w:t>
      </w:r>
      <w:r w:rsidR="00BF50B9" w:rsidRPr="00900D6C">
        <w:t>-</w:t>
      </w:r>
      <w:r w:rsidRPr="00900D6C">
        <w:t xml:space="preserve">control system, public notification is usually not indicated, if </w:t>
      </w:r>
      <w:r w:rsidR="00FC4813" w:rsidRPr="00900D6C">
        <w:t xml:space="preserve">all of </w:t>
      </w:r>
      <w:r w:rsidRPr="00900D6C">
        <w:t>the following conditions are met:</w:t>
      </w:r>
    </w:p>
    <w:p w14:paraId="03115624" w14:textId="0E07C1C8" w:rsidR="007814E9" w:rsidRPr="00900D6C" w:rsidRDefault="007814E9" w:rsidP="00EA19BA">
      <w:pPr>
        <w:pStyle w:val="ListParagraph"/>
        <w:numPr>
          <w:ilvl w:val="0"/>
          <w:numId w:val="5"/>
        </w:numPr>
        <w:ind w:right="-46"/>
        <w:rPr>
          <w:lang w:val="en-AU"/>
        </w:rPr>
      </w:pPr>
      <w:r w:rsidRPr="00900D6C">
        <w:rPr>
          <w:lang w:val="en-AU"/>
        </w:rPr>
        <w:t>no transmission within the facility to co-workers or to patrons has been documented</w:t>
      </w:r>
      <w:r w:rsidR="00272C63" w:rsidRPr="00900D6C">
        <w:rPr>
          <w:lang w:val="en-AU"/>
        </w:rPr>
        <w:t>;</w:t>
      </w:r>
    </w:p>
    <w:p w14:paraId="4B225EB8" w14:textId="0C09EAE3" w:rsidR="007814E9" w:rsidRPr="00900D6C" w:rsidRDefault="007814E9" w:rsidP="00EA19BA">
      <w:pPr>
        <w:pStyle w:val="ListParagraph"/>
        <w:numPr>
          <w:ilvl w:val="0"/>
          <w:numId w:val="5"/>
        </w:numPr>
        <w:ind w:right="-46"/>
        <w:rPr>
          <w:lang w:val="en-AU"/>
        </w:rPr>
      </w:pPr>
      <w:r w:rsidRPr="00900D6C">
        <w:rPr>
          <w:lang w:val="en-AU"/>
        </w:rPr>
        <w:t>the record of inspections of the facility under present management indicates that both personal hygiene of food handlers and the facilities for food handlers to wash hands</w:t>
      </w:r>
      <w:r w:rsidR="00272C63" w:rsidRPr="00900D6C">
        <w:rPr>
          <w:lang w:val="en-AU"/>
        </w:rPr>
        <w:t>,</w:t>
      </w:r>
      <w:r w:rsidRPr="00900D6C">
        <w:rPr>
          <w:lang w:val="en-AU"/>
        </w:rPr>
        <w:t xml:space="preserve"> have met inspection standards</w:t>
      </w:r>
      <w:r w:rsidR="00272C63" w:rsidRPr="00900D6C">
        <w:rPr>
          <w:lang w:val="en-AU"/>
        </w:rPr>
        <w:t>;</w:t>
      </w:r>
    </w:p>
    <w:p w14:paraId="0098A92B" w14:textId="45B4FD6A" w:rsidR="007814E9" w:rsidRPr="00900D6C" w:rsidRDefault="007814E9" w:rsidP="00EA19BA">
      <w:pPr>
        <w:pStyle w:val="ListParagraph"/>
        <w:numPr>
          <w:ilvl w:val="0"/>
          <w:numId w:val="5"/>
        </w:numPr>
        <w:ind w:right="-46"/>
        <w:rPr>
          <w:lang w:val="en-AU"/>
        </w:rPr>
      </w:pPr>
      <w:r w:rsidRPr="00900D6C">
        <w:rPr>
          <w:lang w:val="en-AU"/>
        </w:rPr>
        <w:t>inspection of the facility after identification of the case reveals that hand</w:t>
      </w:r>
      <w:r w:rsidR="00272C63" w:rsidRPr="00900D6C">
        <w:rPr>
          <w:lang w:val="en-AU"/>
        </w:rPr>
        <w:t>-</w:t>
      </w:r>
      <w:r w:rsidRPr="00900D6C">
        <w:rPr>
          <w:lang w:val="en-AU"/>
        </w:rPr>
        <w:t>washing facilities for employees are adequate</w:t>
      </w:r>
      <w:r w:rsidR="00272C63" w:rsidRPr="00900D6C">
        <w:rPr>
          <w:lang w:val="en-AU"/>
        </w:rPr>
        <w:t>;</w:t>
      </w:r>
    </w:p>
    <w:p w14:paraId="7B9E8573" w14:textId="13EA047B" w:rsidR="007814E9" w:rsidRPr="00900D6C" w:rsidRDefault="007814E9" w:rsidP="00EA19BA">
      <w:pPr>
        <w:pStyle w:val="ListParagraph"/>
        <w:numPr>
          <w:ilvl w:val="0"/>
          <w:numId w:val="5"/>
        </w:numPr>
        <w:ind w:right="-46"/>
        <w:rPr>
          <w:lang w:val="en-AU"/>
        </w:rPr>
      </w:pPr>
      <w:r w:rsidRPr="00900D6C">
        <w:rPr>
          <w:lang w:val="en-AU"/>
        </w:rPr>
        <w:t>information obtained from the infected food handler, supervisor, and other reliable sources</w:t>
      </w:r>
      <w:r w:rsidR="00272C63" w:rsidRPr="00900D6C">
        <w:rPr>
          <w:lang w:val="en-AU"/>
        </w:rPr>
        <w:t>,</w:t>
      </w:r>
      <w:r w:rsidRPr="00900D6C">
        <w:rPr>
          <w:lang w:val="en-AU"/>
        </w:rPr>
        <w:t xml:space="preserve"> indicates that the infected food handler followed good hand</w:t>
      </w:r>
      <w:r w:rsidR="00272C63" w:rsidRPr="00900D6C">
        <w:rPr>
          <w:lang w:val="en-AU"/>
        </w:rPr>
        <w:t>-</w:t>
      </w:r>
      <w:r w:rsidRPr="00900D6C">
        <w:rPr>
          <w:lang w:val="en-AU"/>
        </w:rPr>
        <w:t>washing practices</w:t>
      </w:r>
      <w:r w:rsidR="00272C63" w:rsidRPr="00900D6C">
        <w:rPr>
          <w:lang w:val="en-AU"/>
        </w:rPr>
        <w:t>;</w:t>
      </w:r>
    </w:p>
    <w:p w14:paraId="0B727AC7" w14:textId="13BA927E" w:rsidR="007814E9" w:rsidRPr="00900D6C" w:rsidRDefault="000D642C" w:rsidP="00EA19BA">
      <w:pPr>
        <w:pStyle w:val="ListParagraph"/>
        <w:numPr>
          <w:ilvl w:val="0"/>
          <w:numId w:val="5"/>
        </w:numPr>
        <w:ind w:right="-46"/>
        <w:rPr>
          <w:lang w:val="en-AU"/>
        </w:rPr>
      </w:pPr>
      <w:proofErr w:type="gramStart"/>
      <w:r w:rsidRPr="00900D6C">
        <w:rPr>
          <w:lang w:val="en-AU"/>
        </w:rPr>
        <w:t>during</w:t>
      </w:r>
      <w:proofErr w:type="gramEnd"/>
      <w:r w:rsidRPr="00900D6C">
        <w:rPr>
          <w:lang w:val="en-AU"/>
        </w:rPr>
        <w:t xml:space="preserve"> their infectious period, </w:t>
      </w:r>
      <w:r w:rsidR="007814E9" w:rsidRPr="00900D6C">
        <w:rPr>
          <w:lang w:val="en-AU"/>
        </w:rPr>
        <w:t>the infected employee</w:t>
      </w:r>
      <w:r w:rsidRPr="00900D6C">
        <w:rPr>
          <w:lang w:val="en-AU"/>
        </w:rPr>
        <w:t xml:space="preserve"> never had diarrhoea </w:t>
      </w:r>
      <w:r w:rsidR="00272C63" w:rsidRPr="00900D6C">
        <w:rPr>
          <w:lang w:val="en-AU"/>
        </w:rPr>
        <w:t>and/</w:t>
      </w:r>
      <w:r w:rsidRPr="00900D6C">
        <w:rPr>
          <w:lang w:val="en-AU"/>
        </w:rPr>
        <w:t xml:space="preserve">or </w:t>
      </w:r>
      <w:r w:rsidR="007814E9" w:rsidRPr="00900D6C">
        <w:rPr>
          <w:lang w:val="en-AU"/>
        </w:rPr>
        <w:t>did not handle high</w:t>
      </w:r>
      <w:r w:rsidR="00272C63" w:rsidRPr="00900D6C">
        <w:rPr>
          <w:lang w:val="en-AU"/>
        </w:rPr>
        <w:t>-</w:t>
      </w:r>
      <w:r w:rsidR="007814E9" w:rsidRPr="00900D6C">
        <w:rPr>
          <w:lang w:val="en-AU"/>
        </w:rPr>
        <w:t>risk foods on days when experiencing diarrhoea.</w:t>
      </w:r>
    </w:p>
    <w:p w14:paraId="5003B59A" w14:textId="0C703917" w:rsidR="007814E9" w:rsidRPr="00193BD1" w:rsidRDefault="00193BD1" w:rsidP="00193BD1">
      <w:pPr>
        <w:pStyle w:val="Heading4"/>
      </w:pPr>
      <w:r w:rsidRPr="00193BD1">
        <w:t>3.</w:t>
      </w:r>
      <w:r w:rsidR="00D3029F" w:rsidRPr="00193BD1">
        <w:tab/>
      </w:r>
      <w:r w:rsidR="007814E9" w:rsidRPr="00193BD1">
        <w:t>The food handler handles high</w:t>
      </w:r>
      <w:r w:rsidR="00323C40" w:rsidRPr="00193BD1">
        <w:t>-</w:t>
      </w:r>
      <w:r w:rsidR="007814E9" w:rsidRPr="00193BD1">
        <w:t>risk food, and the manager has not received training and/or does not have an approved hazard</w:t>
      </w:r>
      <w:r w:rsidR="00323C40" w:rsidRPr="00193BD1">
        <w:t>-</w:t>
      </w:r>
      <w:r w:rsidR="007814E9" w:rsidRPr="00193BD1">
        <w:t>control system</w:t>
      </w:r>
    </w:p>
    <w:p w14:paraId="65AE352D" w14:textId="0C51D878" w:rsidR="007814E9" w:rsidRPr="00900D6C" w:rsidRDefault="00FC4813" w:rsidP="00EA19BA">
      <w:pPr>
        <w:ind w:right="-46"/>
      </w:pPr>
      <w:r w:rsidRPr="00900D6C">
        <w:t>In this situation,</w:t>
      </w:r>
      <w:r w:rsidR="007814E9" w:rsidRPr="00900D6C">
        <w:t xml:space="preserve"> notification of potentially</w:t>
      </w:r>
      <w:r w:rsidR="00323C40" w:rsidRPr="00900D6C">
        <w:t>-</w:t>
      </w:r>
      <w:r w:rsidR="007814E9" w:rsidRPr="00900D6C">
        <w:t xml:space="preserve">exposed patrons through the news media should be considered, especially if one or more of the following criteria </w:t>
      </w:r>
      <w:r w:rsidR="00B76EAF" w:rsidRPr="00900D6C">
        <w:t xml:space="preserve">are </w:t>
      </w:r>
      <w:r w:rsidR="007814E9" w:rsidRPr="00900D6C">
        <w:t>met:</w:t>
      </w:r>
    </w:p>
    <w:p w14:paraId="57C796D1" w14:textId="3AEA2C17" w:rsidR="007814E9" w:rsidRPr="00900D6C" w:rsidRDefault="007814E9" w:rsidP="00EA19BA">
      <w:pPr>
        <w:pStyle w:val="ListParagraph"/>
        <w:numPr>
          <w:ilvl w:val="0"/>
          <w:numId w:val="26"/>
        </w:numPr>
        <w:ind w:right="-46"/>
        <w:rPr>
          <w:lang w:val="en-AU"/>
        </w:rPr>
      </w:pPr>
      <w:r w:rsidRPr="00900D6C">
        <w:rPr>
          <w:lang w:val="en-AU"/>
        </w:rPr>
        <w:t>transmission within the facility to co-workers or patrons has already been documented</w:t>
      </w:r>
      <w:r w:rsidR="00323C40" w:rsidRPr="00900D6C">
        <w:rPr>
          <w:lang w:val="en-AU"/>
        </w:rPr>
        <w:t>;</w:t>
      </w:r>
    </w:p>
    <w:p w14:paraId="1EF1A678" w14:textId="44AA468C" w:rsidR="007814E9" w:rsidRPr="00900D6C" w:rsidRDefault="007814E9" w:rsidP="00EA19BA">
      <w:pPr>
        <w:pStyle w:val="ListParagraph"/>
        <w:numPr>
          <w:ilvl w:val="0"/>
          <w:numId w:val="26"/>
        </w:numPr>
        <w:ind w:right="-46"/>
        <w:rPr>
          <w:lang w:val="en-AU"/>
        </w:rPr>
      </w:pPr>
      <w:r w:rsidRPr="00900D6C">
        <w:rPr>
          <w:lang w:val="en-AU"/>
        </w:rPr>
        <w:t>inspection of the facility after identification of the case reveals that hand</w:t>
      </w:r>
      <w:r w:rsidR="00323C40" w:rsidRPr="00900D6C">
        <w:rPr>
          <w:lang w:val="en-AU"/>
        </w:rPr>
        <w:t>-</w:t>
      </w:r>
      <w:r w:rsidRPr="00900D6C">
        <w:rPr>
          <w:lang w:val="en-AU"/>
        </w:rPr>
        <w:t>washing facilities for employees in the food preparation area or the employees' toilet facilities are inadequate (e</w:t>
      </w:r>
      <w:r w:rsidR="009F523C" w:rsidRPr="00900D6C">
        <w:rPr>
          <w:lang w:val="en-AU"/>
        </w:rPr>
        <w:t>.</w:t>
      </w:r>
      <w:r w:rsidRPr="00900D6C">
        <w:rPr>
          <w:lang w:val="en-AU"/>
        </w:rPr>
        <w:t xml:space="preserve">g. no soap, no </w:t>
      </w:r>
      <w:r w:rsidR="009F523C" w:rsidRPr="00900D6C">
        <w:rPr>
          <w:lang w:val="en-AU"/>
        </w:rPr>
        <w:t xml:space="preserve">disposable paper </w:t>
      </w:r>
      <w:r w:rsidRPr="00900D6C">
        <w:rPr>
          <w:lang w:val="en-AU"/>
        </w:rPr>
        <w:t>towels, no running water)</w:t>
      </w:r>
      <w:r w:rsidR="001B3364" w:rsidRPr="00900D6C">
        <w:rPr>
          <w:lang w:val="en-AU"/>
        </w:rPr>
        <w:t>;</w:t>
      </w:r>
    </w:p>
    <w:p w14:paraId="378C1B91" w14:textId="53613AAE" w:rsidR="007814E9" w:rsidRPr="00900D6C" w:rsidRDefault="007814E9" w:rsidP="00EA19BA">
      <w:pPr>
        <w:pStyle w:val="ListParagraph"/>
        <w:numPr>
          <w:ilvl w:val="0"/>
          <w:numId w:val="26"/>
        </w:numPr>
        <w:ind w:right="-46"/>
        <w:rPr>
          <w:lang w:val="en-AU"/>
        </w:rPr>
      </w:pPr>
      <w:r w:rsidRPr="00900D6C">
        <w:rPr>
          <w:lang w:val="en-AU"/>
        </w:rPr>
        <w:t>one or more food handlers are not conforming to good hygien</w:t>
      </w:r>
      <w:r w:rsidR="00323C40" w:rsidRPr="00900D6C">
        <w:rPr>
          <w:lang w:val="en-AU"/>
        </w:rPr>
        <w:t>e</w:t>
      </w:r>
      <w:r w:rsidRPr="00900D6C">
        <w:rPr>
          <w:lang w:val="en-AU"/>
        </w:rPr>
        <w:t xml:space="preserve"> practices (e</w:t>
      </w:r>
      <w:r w:rsidR="009F523C" w:rsidRPr="00900D6C">
        <w:rPr>
          <w:lang w:val="en-AU"/>
        </w:rPr>
        <w:t>.</w:t>
      </w:r>
      <w:r w:rsidRPr="00900D6C">
        <w:rPr>
          <w:lang w:val="en-AU"/>
        </w:rPr>
        <w:t xml:space="preserve">g. food handlers are not washing their hands on </w:t>
      </w:r>
      <w:r w:rsidR="009F523C" w:rsidRPr="00900D6C">
        <w:rPr>
          <w:lang w:val="en-AU"/>
        </w:rPr>
        <w:t>commencement of</w:t>
      </w:r>
      <w:r w:rsidRPr="00900D6C">
        <w:rPr>
          <w:lang w:val="en-AU"/>
        </w:rPr>
        <w:t xml:space="preserve"> work or after using the toilet)</w:t>
      </w:r>
      <w:r w:rsidR="00323C40" w:rsidRPr="00900D6C">
        <w:rPr>
          <w:lang w:val="en-AU"/>
        </w:rPr>
        <w:t>;</w:t>
      </w:r>
    </w:p>
    <w:p w14:paraId="150A5894" w14:textId="54150C89" w:rsidR="007814E9" w:rsidRPr="00900D6C" w:rsidRDefault="007814E9" w:rsidP="00EA19BA">
      <w:pPr>
        <w:pStyle w:val="ListParagraph"/>
        <w:numPr>
          <w:ilvl w:val="0"/>
          <w:numId w:val="26"/>
        </w:numPr>
        <w:ind w:right="-46"/>
        <w:rPr>
          <w:lang w:val="en-AU"/>
        </w:rPr>
      </w:pPr>
      <w:r w:rsidRPr="00900D6C">
        <w:rPr>
          <w:lang w:val="en-AU"/>
        </w:rPr>
        <w:t xml:space="preserve">the record of inspections of the facility under the present management indicates that </w:t>
      </w:r>
      <w:r w:rsidR="00323C40" w:rsidRPr="00900D6C">
        <w:rPr>
          <w:lang w:val="en-AU"/>
        </w:rPr>
        <w:t xml:space="preserve">food handlers’ </w:t>
      </w:r>
      <w:r w:rsidRPr="00900D6C">
        <w:rPr>
          <w:lang w:val="en-AU"/>
        </w:rPr>
        <w:t>personal hygiene or facilities for food handlers to wash their hands</w:t>
      </w:r>
      <w:r w:rsidR="00323C40" w:rsidRPr="00900D6C">
        <w:rPr>
          <w:lang w:val="en-AU"/>
        </w:rPr>
        <w:t>,</w:t>
      </w:r>
      <w:r w:rsidRPr="00900D6C">
        <w:rPr>
          <w:lang w:val="en-AU"/>
        </w:rPr>
        <w:t xml:space="preserve"> have been a problem two or more times during the previous two years</w:t>
      </w:r>
      <w:r w:rsidR="00323C40" w:rsidRPr="00900D6C">
        <w:rPr>
          <w:lang w:val="en-AU"/>
        </w:rPr>
        <w:t>;</w:t>
      </w:r>
    </w:p>
    <w:p w14:paraId="48F4E382" w14:textId="468ED01E" w:rsidR="007814E9" w:rsidRPr="00900D6C" w:rsidRDefault="007814E9" w:rsidP="00EA19BA">
      <w:pPr>
        <w:pStyle w:val="ListParagraph"/>
        <w:numPr>
          <w:ilvl w:val="0"/>
          <w:numId w:val="26"/>
        </w:numPr>
        <w:ind w:right="-46"/>
        <w:rPr>
          <w:lang w:val="en-AU"/>
        </w:rPr>
      </w:pPr>
      <w:r w:rsidRPr="00900D6C">
        <w:rPr>
          <w:lang w:val="en-AU"/>
        </w:rPr>
        <w:t>the infected employee, while potentially infectious, handled high</w:t>
      </w:r>
      <w:r w:rsidR="00323C40" w:rsidRPr="00900D6C">
        <w:rPr>
          <w:lang w:val="en-AU"/>
        </w:rPr>
        <w:t>-</w:t>
      </w:r>
      <w:r w:rsidRPr="00900D6C">
        <w:rPr>
          <w:lang w:val="en-AU"/>
        </w:rPr>
        <w:t>risk foods on days when experiencing diarrhoea</w:t>
      </w:r>
      <w:r w:rsidR="00323C40" w:rsidRPr="00900D6C">
        <w:rPr>
          <w:lang w:val="en-AU"/>
        </w:rPr>
        <w:t>;</w:t>
      </w:r>
    </w:p>
    <w:p w14:paraId="75C8BF7A" w14:textId="6FD2DB66" w:rsidR="007814E9" w:rsidRPr="00900D6C" w:rsidRDefault="007814E9" w:rsidP="00EA19BA">
      <w:pPr>
        <w:pStyle w:val="ListParagraph"/>
        <w:numPr>
          <w:ilvl w:val="0"/>
          <w:numId w:val="26"/>
        </w:numPr>
        <w:ind w:right="-46"/>
        <w:rPr>
          <w:lang w:val="en-AU"/>
        </w:rPr>
      </w:pPr>
      <w:proofErr w:type="gramStart"/>
      <w:r w:rsidRPr="00900D6C">
        <w:rPr>
          <w:lang w:val="en-AU"/>
        </w:rPr>
        <w:t>information</w:t>
      </w:r>
      <w:proofErr w:type="gramEnd"/>
      <w:r w:rsidRPr="00900D6C">
        <w:rPr>
          <w:lang w:val="en-AU"/>
        </w:rPr>
        <w:t xml:space="preserve"> obtained from the infected food handler, supervisor, or other reliable source</w:t>
      </w:r>
      <w:r w:rsidR="00323C40" w:rsidRPr="00900D6C">
        <w:rPr>
          <w:lang w:val="en-AU"/>
        </w:rPr>
        <w:t>,</w:t>
      </w:r>
      <w:r w:rsidRPr="00900D6C">
        <w:rPr>
          <w:lang w:val="en-AU"/>
        </w:rPr>
        <w:t xml:space="preserve"> indicates that the infected food handler did not follow good hand</w:t>
      </w:r>
      <w:r w:rsidR="00323C40" w:rsidRPr="00900D6C">
        <w:rPr>
          <w:lang w:val="en-AU"/>
        </w:rPr>
        <w:t>-</w:t>
      </w:r>
      <w:r w:rsidRPr="00900D6C">
        <w:rPr>
          <w:lang w:val="en-AU"/>
        </w:rPr>
        <w:t>washing practices or failed to appropriately use gloves or utensils, (e</w:t>
      </w:r>
      <w:r w:rsidR="009F523C" w:rsidRPr="00900D6C">
        <w:rPr>
          <w:lang w:val="en-AU"/>
        </w:rPr>
        <w:t>.</w:t>
      </w:r>
      <w:r w:rsidRPr="00900D6C">
        <w:rPr>
          <w:lang w:val="en-AU"/>
        </w:rPr>
        <w:t>g. did not change gloves when food preparation was interrupted for a non-food preparation task)</w:t>
      </w:r>
      <w:r w:rsidR="00E80E80" w:rsidRPr="00900D6C">
        <w:rPr>
          <w:lang w:val="en-AU"/>
        </w:rPr>
        <w:t>.</w:t>
      </w:r>
    </w:p>
    <w:p w14:paraId="567A9D9C" w14:textId="5D74D12E" w:rsidR="007814E9" w:rsidRPr="00900D6C" w:rsidRDefault="007814E9" w:rsidP="00EA19BA">
      <w:pPr>
        <w:ind w:right="-46"/>
      </w:pPr>
      <w:r w:rsidRPr="00900D6C">
        <w:rPr>
          <w:rFonts w:cs="Tahoma"/>
        </w:rPr>
        <w:t xml:space="preserve">Consult with </w:t>
      </w:r>
      <w:r w:rsidR="007745EE" w:rsidRPr="00900D6C">
        <w:rPr>
          <w:rFonts w:cs="Tahoma"/>
        </w:rPr>
        <w:t>jurisdictional CDB</w:t>
      </w:r>
      <w:r w:rsidRPr="00900D6C">
        <w:rPr>
          <w:rFonts w:cs="Tahoma"/>
        </w:rPr>
        <w:t xml:space="preserve"> and </w:t>
      </w:r>
      <w:r w:rsidR="004D5890" w:rsidRPr="00900D6C">
        <w:rPr>
          <w:rFonts w:cs="Tahoma"/>
        </w:rPr>
        <w:t xml:space="preserve">departmental media </w:t>
      </w:r>
      <w:r w:rsidR="00306479" w:rsidRPr="00900D6C">
        <w:rPr>
          <w:rFonts w:cs="Tahoma"/>
        </w:rPr>
        <w:t>unit</w:t>
      </w:r>
      <w:r w:rsidR="000D642C" w:rsidRPr="00900D6C">
        <w:rPr>
          <w:rFonts w:cs="Tahoma"/>
        </w:rPr>
        <w:t xml:space="preserve"> </w:t>
      </w:r>
      <w:r w:rsidRPr="00900D6C">
        <w:rPr>
          <w:rFonts w:cs="Tahoma"/>
        </w:rPr>
        <w:t>before going</w:t>
      </w:r>
      <w:r w:rsidRPr="00900D6C">
        <w:t xml:space="preserve"> public. </w:t>
      </w:r>
      <w:r w:rsidR="007745EE" w:rsidRPr="00900D6C">
        <w:t>A</w:t>
      </w:r>
      <w:r w:rsidRPr="00900D6C">
        <w:t xml:space="preserve">n expert panel </w:t>
      </w:r>
      <w:r w:rsidR="007745EE" w:rsidRPr="00900D6C">
        <w:t xml:space="preserve">may need to be convened </w:t>
      </w:r>
      <w:r w:rsidRPr="00900D6C">
        <w:t xml:space="preserve">to </w:t>
      </w:r>
      <w:proofErr w:type="gramStart"/>
      <w:r w:rsidRPr="00900D6C">
        <w:t>advise</w:t>
      </w:r>
      <w:proofErr w:type="gramEnd"/>
      <w:r w:rsidRPr="00900D6C">
        <w:t xml:space="preserve"> in difficult cases.</w:t>
      </w:r>
    </w:p>
    <w:p w14:paraId="26E2FCA7" w14:textId="0737C35B" w:rsidR="008D1D0C" w:rsidRPr="00900D6C" w:rsidRDefault="008D1D0C" w:rsidP="00900D6C">
      <w:pPr>
        <w:pStyle w:val="Heading3"/>
      </w:pPr>
      <w:r w:rsidRPr="00900D6C">
        <w:t xml:space="preserve">Case is a </w:t>
      </w:r>
      <w:r w:rsidR="000D642C" w:rsidRPr="00900D6C">
        <w:t>health</w:t>
      </w:r>
      <w:r w:rsidR="00323C40" w:rsidRPr="00900D6C">
        <w:t>-</w:t>
      </w:r>
      <w:r w:rsidR="000D642C" w:rsidRPr="00900D6C">
        <w:t>care</w:t>
      </w:r>
      <w:r w:rsidRPr="00900D6C">
        <w:t xml:space="preserve"> worker</w:t>
      </w:r>
      <w:r w:rsidR="000952A9" w:rsidRPr="00900D6C">
        <w:t>,</w:t>
      </w:r>
      <w:r w:rsidRPr="00900D6C">
        <w:t xml:space="preserve"> </w:t>
      </w:r>
      <w:r w:rsidR="000D642C" w:rsidRPr="00900D6C">
        <w:t xml:space="preserve">or </w:t>
      </w:r>
      <w:proofErr w:type="spellStart"/>
      <w:r w:rsidR="000D642C" w:rsidRPr="00900D6C">
        <w:t>carer</w:t>
      </w:r>
      <w:proofErr w:type="spellEnd"/>
      <w:r w:rsidR="000D642C" w:rsidRPr="00900D6C">
        <w:t xml:space="preserve"> of children or the elderly</w:t>
      </w:r>
      <w:r w:rsidR="000952A9" w:rsidRPr="00900D6C">
        <w:t>,</w:t>
      </w:r>
      <w:r w:rsidR="000D642C" w:rsidRPr="00900D6C">
        <w:t xml:space="preserve"> </w:t>
      </w:r>
      <w:r w:rsidRPr="00900D6C">
        <w:t>and worked while infectious</w:t>
      </w:r>
    </w:p>
    <w:p w14:paraId="2222A32C" w14:textId="014E31BC" w:rsidR="00E34916" w:rsidRPr="00900D6C" w:rsidRDefault="000F7804" w:rsidP="00EA19BA">
      <w:pPr>
        <w:ind w:right="-46"/>
      </w:pPr>
      <w:r w:rsidRPr="00900D6C">
        <w:t xml:space="preserve">Other </w:t>
      </w:r>
      <w:r w:rsidR="00E34916" w:rsidRPr="00900D6C">
        <w:t>staff</w:t>
      </w:r>
      <w:r w:rsidRPr="00900D6C">
        <w:t xml:space="preserve"> </w:t>
      </w:r>
      <w:r w:rsidR="00E34916" w:rsidRPr="00900D6C">
        <w:t xml:space="preserve">and clientele </w:t>
      </w:r>
      <w:r w:rsidRPr="00900D6C">
        <w:t>at the facility may be at risk of enteric fever</w:t>
      </w:r>
      <w:r w:rsidR="00E34916" w:rsidRPr="00900D6C">
        <w:t>, depending on the activities of the case whilst infectious. Thus the PHU should undertake a risk assessment considering:</w:t>
      </w:r>
    </w:p>
    <w:p w14:paraId="4FC5213F" w14:textId="59729C51" w:rsidR="00E34916" w:rsidRPr="00900D6C" w:rsidRDefault="00E34916" w:rsidP="00EA19BA">
      <w:pPr>
        <w:pStyle w:val="ListParagraph"/>
        <w:numPr>
          <w:ilvl w:val="0"/>
          <w:numId w:val="27"/>
        </w:numPr>
        <w:ind w:right="-46"/>
        <w:rPr>
          <w:lang w:val="en-AU"/>
        </w:rPr>
      </w:pPr>
      <w:r w:rsidRPr="00900D6C">
        <w:rPr>
          <w:lang w:val="en-AU"/>
        </w:rPr>
        <w:t xml:space="preserve">activities/duties of the case whilst </w:t>
      </w:r>
      <w:r w:rsidR="00323C40" w:rsidRPr="00900D6C">
        <w:rPr>
          <w:lang w:val="en-AU"/>
        </w:rPr>
        <w:t xml:space="preserve">he/she was </w:t>
      </w:r>
      <w:r w:rsidRPr="00900D6C">
        <w:rPr>
          <w:lang w:val="en-AU"/>
        </w:rPr>
        <w:t>infectious</w:t>
      </w:r>
      <w:r w:rsidR="00323C40" w:rsidRPr="00900D6C">
        <w:rPr>
          <w:lang w:val="en-AU"/>
        </w:rPr>
        <w:t>;</w:t>
      </w:r>
    </w:p>
    <w:p w14:paraId="2CFC4AAA" w14:textId="6801F365" w:rsidR="00E34916" w:rsidRPr="00900D6C" w:rsidRDefault="00E34916" w:rsidP="00EA19BA">
      <w:pPr>
        <w:pStyle w:val="ListParagraph"/>
        <w:numPr>
          <w:ilvl w:val="0"/>
          <w:numId w:val="27"/>
        </w:numPr>
        <w:ind w:right="-46"/>
        <w:rPr>
          <w:lang w:val="en-AU"/>
        </w:rPr>
      </w:pPr>
      <w:r w:rsidRPr="00900D6C">
        <w:rPr>
          <w:lang w:val="en-AU"/>
        </w:rPr>
        <w:t>whether the case shared toilets or washing facilities with other staff/clientele</w:t>
      </w:r>
      <w:r w:rsidR="00323C40" w:rsidRPr="00900D6C">
        <w:rPr>
          <w:lang w:val="en-AU"/>
        </w:rPr>
        <w:t>;</w:t>
      </w:r>
    </w:p>
    <w:p w14:paraId="683F8805" w14:textId="61A2B9D4" w:rsidR="00E34916" w:rsidRPr="00900D6C" w:rsidRDefault="00E34916" w:rsidP="00EA19BA">
      <w:pPr>
        <w:pStyle w:val="ListParagraph"/>
        <w:numPr>
          <w:ilvl w:val="0"/>
          <w:numId w:val="27"/>
        </w:numPr>
        <w:ind w:right="-46"/>
        <w:rPr>
          <w:lang w:val="en-AU"/>
        </w:rPr>
      </w:pPr>
      <w:proofErr w:type="gramStart"/>
      <w:r w:rsidRPr="00900D6C">
        <w:rPr>
          <w:lang w:val="en-AU"/>
        </w:rPr>
        <w:t>the</w:t>
      </w:r>
      <w:proofErr w:type="gramEnd"/>
      <w:r w:rsidRPr="00900D6C">
        <w:rPr>
          <w:lang w:val="en-AU"/>
        </w:rPr>
        <w:t xml:space="preserve"> case’s hygiene practices</w:t>
      </w:r>
      <w:r w:rsidR="00742304" w:rsidRPr="00900D6C">
        <w:rPr>
          <w:lang w:val="en-AU"/>
        </w:rPr>
        <w:t>.</w:t>
      </w:r>
    </w:p>
    <w:p w14:paraId="1436517D" w14:textId="03911F59" w:rsidR="000952A9" w:rsidRPr="00900D6C" w:rsidRDefault="00E34916" w:rsidP="00EA19BA">
      <w:pPr>
        <w:ind w:right="-46"/>
      </w:pPr>
      <w:r w:rsidRPr="00900D6C">
        <w:t>If staff or clientele</w:t>
      </w:r>
      <w:r w:rsidR="000F7804" w:rsidRPr="00900D6C">
        <w:t xml:space="preserve"> ate food handled by the case or shared toilets or washing facilities with the case</w:t>
      </w:r>
      <w:r w:rsidRPr="00900D6C">
        <w:t xml:space="preserve">, they may be at risk and </w:t>
      </w:r>
      <w:r w:rsidR="000F7804" w:rsidRPr="00900D6C">
        <w:t>should be counselled about the potential for infection</w:t>
      </w:r>
      <w:r w:rsidR="000952A9" w:rsidRPr="00900D6C">
        <w:t xml:space="preserve">. </w:t>
      </w:r>
      <w:r w:rsidR="00825465" w:rsidRPr="00900D6C">
        <w:t xml:space="preserve">If at risk, clientele may be given a letter </w:t>
      </w:r>
      <w:r w:rsidR="007C0609" w:rsidRPr="00900D6C">
        <w:t>and factsheet</w:t>
      </w:r>
      <w:r w:rsidR="00825465" w:rsidRPr="00900D6C">
        <w:t xml:space="preserve"> </w:t>
      </w:r>
      <w:r w:rsidR="00B1335C" w:rsidRPr="00900D6C">
        <w:t>(see A</w:t>
      </w:r>
      <w:r w:rsidR="00825465" w:rsidRPr="00900D6C">
        <w:t>ppendi</w:t>
      </w:r>
      <w:r w:rsidR="00B1335C" w:rsidRPr="00900D6C">
        <w:t>ces 3 and 4)</w:t>
      </w:r>
      <w:r w:rsidR="00825465" w:rsidRPr="00900D6C">
        <w:t>.</w:t>
      </w:r>
    </w:p>
    <w:p w14:paraId="0A8A3383" w14:textId="41E9F422" w:rsidR="000F7804" w:rsidRPr="00900D6C" w:rsidRDefault="00F05EC6" w:rsidP="00EA19BA">
      <w:pPr>
        <w:ind w:right="-46"/>
      </w:pPr>
      <w:r w:rsidRPr="00900D6C">
        <w:t>The</w:t>
      </w:r>
      <w:r w:rsidR="00B1335C" w:rsidRPr="00900D6C">
        <w:t xml:space="preserve"> s</w:t>
      </w:r>
      <w:r w:rsidR="000952A9" w:rsidRPr="00900D6C">
        <w:t xml:space="preserve">taff </w:t>
      </w:r>
      <w:r w:rsidR="0013262D" w:rsidRPr="00900D6C">
        <w:t xml:space="preserve">at risk </w:t>
      </w:r>
      <w:r w:rsidR="000952A9" w:rsidRPr="00900D6C">
        <w:t xml:space="preserve">should be </w:t>
      </w:r>
      <w:r w:rsidR="000F7804" w:rsidRPr="00900D6C">
        <w:t xml:space="preserve">advised to exclude themselves from work and notify the </w:t>
      </w:r>
      <w:r w:rsidR="0075212B" w:rsidRPr="00900D6C">
        <w:t>PHU</w:t>
      </w:r>
      <w:r w:rsidR="00817E8F" w:rsidRPr="00900D6C">
        <w:t xml:space="preserve"> </w:t>
      </w:r>
      <w:r w:rsidR="000F7804" w:rsidRPr="00900D6C">
        <w:t>should they develop symptoms. If they develop symptoms, they should have stool/blood culture specimens collected</w:t>
      </w:r>
      <w:r w:rsidR="0075212B" w:rsidRPr="00900D6C">
        <w:t>,</w:t>
      </w:r>
      <w:r w:rsidR="000F7804" w:rsidRPr="00900D6C">
        <w:t xml:space="preserve"> and remain away from work until results are returned negative and they have been well for 48</w:t>
      </w:r>
      <w:r w:rsidR="00B53893" w:rsidRPr="00900D6C">
        <w:t xml:space="preserve"> </w:t>
      </w:r>
      <w:r w:rsidR="000F7804" w:rsidRPr="00900D6C">
        <w:t>h</w:t>
      </w:r>
      <w:r w:rsidR="00B53893" w:rsidRPr="00900D6C">
        <w:t>ou</w:t>
      </w:r>
      <w:r w:rsidR="000F7804" w:rsidRPr="00900D6C">
        <w:t xml:space="preserve">rs. If they develop enteric fever, they will need to be managed as a case. Monitoring of symptoms should continue for an incubation period </w:t>
      </w:r>
      <w:r w:rsidR="00573F23" w:rsidRPr="00900D6C">
        <w:t xml:space="preserve">(pragmatically 14 days) </w:t>
      </w:r>
      <w:r w:rsidR="000F7804" w:rsidRPr="00900D6C">
        <w:t>after exposure to the case.</w:t>
      </w:r>
    </w:p>
    <w:p w14:paraId="2AB55AB2" w14:textId="77777777" w:rsidR="00692551" w:rsidRPr="00900D6C" w:rsidRDefault="00692551" w:rsidP="00900D6C">
      <w:pPr>
        <w:pStyle w:val="Heading3"/>
      </w:pPr>
      <w:r w:rsidRPr="00900D6C">
        <w:t>Outbreaks or clusters</w:t>
      </w:r>
    </w:p>
    <w:p w14:paraId="0A653489" w14:textId="25F3EB05" w:rsidR="001048F2" w:rsidRPr="00900D6C" w:rsidRDefault="001048F2" w:rsidP="00EA19BA">
      <w:pPr>
        <w:ind w:right="-46"/>
      </w:pPr>
      <w:r w:rsidRPr="00900D6C">
        <w:t>An outbreak is defined as two or more geographically, temporally or epidemiologically</w:t>
      </w:r>
      <w:r w:rsidR="00BF0D22" w:rsidRPr="00900D6C">
        <w:t>-</w:t>
      </w:r>
      <w:r w:rsidRPr="00900D6C">
        <w:t>linked cases</w:t>
      </w:r>
      <w:r w:rsidR="00B1335C" w:rsidRPr="00900D6C">
        <w:t xml:space="preserve"> (that are not the result of intra-household transmission)</w:t>
      </w:r>
      <w:r w:rsidRPr="00900D6C">
        <w:t>.</w:t>
      </w:r>
    </w:p>
    <w:p w14:paraId="12B03AF5" w14:textId="198BD73D" w:rsidR="002D3624" w:rsidRPr="00900D6C" w:rsidRDefault="00FC4813" w:rsidP="00EA19BA">
      <w:pPr>
        <w:ind w:right="-46"/>
      </w:pPr>
      <w:r w:rsidRPr="00900D6C">
        <w:t xml:space="preserve">PHUs should immediately inform the Communicable Diseases Branch if a typhoid or paratyphoid outbreak is suspected. </w:t>
      </w:r>
      <w:r w:rsidR="009B1DD2" w:rsidRPr="00900D6C">
        <w:t>Investigation of c</w:t>
      </w:r>
      <w:r w:rsidR="00B87223" w:rsidRPr="00900D6C">
        <w:t xml:space="preserve">lusters or outbreaks of enteric infection </w:t>
      </w:r>
      <w:r w:rsidR="00E11F48" w:rsidRPr="00900D6C">
        <w:t xml:space="preserve">that cross jurisdictional </w:t>
      </w:r>
      <w:proofErr w:type="gramStart"/>
      <w:r w:rsidR="00E11F48" w:rsidRPr="00900D6C">
        <w:t>borders</w:t>
      </w:r>
      <w:r w:rsidR="001C34BD" w:rsidRPr="00900D6C">
        <w:t>,</w:t>
      </w:r>
      <w:proofErr w:type="gramEnd"/>
      <w:r w:rsidR="00E11F48" w:rsidRPr="00900D6C">
        <w:t xml:space="preserve"> </w:t>
      </w:r>
      <w:r w:rsidR="009B1DD2" w:rsidRPr="00900D6C">
        <w:t>should include</w:t>
      </w:r>
      <w:r w:rsidR="00B87223" w:rsidRPr="00900D6C">
        <w:t xml:space="preserve"> </w:t>
      </w:r>
      <w:proofErr w:type="spellStart"/>
      <w:r w:rsidR="00B87223" w:rsidRPr="00900D6C">
        <w:t>OzFoodNet</w:t>
      </w:r>
      <w:proofErr w:type="spellEnd"/>
      <w:r w:rsidRPr="00900D6C">
        <w:t xml:space="preserve"> and local food aut</w:t>
      </w:r>
      <w:r w:rsidR="00E11F48" w:rsidRPr="00900D6C">
        <w:t>h</w:t>
      </w:r>
      <w:r w:rsidRPr="00900D6C">
        <w:t>orities</w:t>
      </w:r>
      <w:r w:rsidR="009B1DD2" w:rsidRPr="00900D6C">
        <w:t>.</w:t>
      </w:r>
      <w:r w:rsidR="002D3624" w:rsidRPr="00900D6C">
        <w:t xml:space="preserve"> It is important </w:t>
      </w:r>
      <w:r w:rsidR="009B1DD2" w:rsidRPr="00900D6C">
        <w:t xml:space="preserve">that investigators </w:t>
      </w:r>
      <w:r w:rsidR="002D3624" w:rsidRPr="00900D6C">
        <w:t>recogni</w:t>
      </w:r>
      <w:r w:rsidR="00E11F48" w:rsidRPr="00900D6C">
        <w:t>s</w:t>
      </w:r>
      <w:r w:rsidR="002D3624" w:rsidRPr="00900D6C">
        <w:t xml:space="preserve">e that an infection acquired in Australia may relate to a case </w:t>
      </w:r>
      <w:r w:rsidR="00E11F48" w:rsidRPr="00900D6C">
        <w:t>being investigated by</w:t>
      </w:r>
      <w:r w:rsidR="002D3624" w:rsidRPr="00900D6C">
        <w:t xml:space="preserve"> another PHU or </w:t>
      </w:r>
      <w:r w:rsidR="00FC6282" w:rsidRPr="00900D6C">
        <w:t xml:space="preserve">state </w:t>
      </w:r>
      <w:r w:rsidR="002D3624" w:rsidRPr="00900D6C">
        <w:t xml:space="preserve">or </w:t>
      </w:r>
      <w:r w:rsidR="00FC6282" w:rsidRPr="00900D6C">
        <w:t>territory</w:t>
      </w:r>
      <w:r w:rsidR="002D3624" w:rsidRPr="00900D6C">
        <w:t xml:space="preserve">, </w:t>
      </w:r>
      <w:r w:rsidR="001C34BD" w:rsidRPr="00900D6C">
        <w:t>and if so,</w:t>
      </w:r>
      <w:r w:rsidR="002D3624" w:rsidRPr="00900D6C">
        <w:t xml:space="preserve"> will require a coordinated response</w:t>
      </w:r>
      <w:r w:rsidR="009B1DD2" w:rsidRPr="00900D6C">
        <w:t xml:space="preserve"> by </w:t>
      </w:r>
      <w:proofErr w:type="spellStart"/>
      <w:r w:rsidR="009B1DD2" w:rsidRPr="00900D6C">
        <w:t>OzFoodNet</w:t>
      </w:r>
      <w:proofErr w:type="spellEnd"/>
      <w:r w:rsidR="009B1DD2" w:rsidRPr="00900D6C">
        <w:t xml:space="preserve"> with oversight from the Communicable Diseases Network Australia.</w:t>
      </w:r>
    </w:p>
    <w:p w14:paraId="6006C075" w14:textId="05A80BC5" w:rsidR="002D3624" w:rsidRPr="00900D6C" w:rsidRDefault="002D3624" w:rsidP="00EA19BA">
      <w:pPr>
        <w:ind w:right="-46"/>
      </w:pPr>
      <w:r w:rsidRPr="00900D6C">
        <w:t xml:space="preserve">Investigation of clusters of typhoid and paratyphoid cases usually involves an intensive search for other related cases and identification of the </w:t>
      </w:r>
      <w:r w:rsidR="00886288" w:rsidRPr="00900D6C">
        <w:t xml:space="preserve">infection </w:t>
      </w:r>
      <w:r w:rsidRPr="00900D6C">
        <w:t xml:space="preserve">source including food, water, or a chronic carrier. Identifying sources of infection relies on microbiological testing of suspected </w:t>
      </w:r>
      <w:r w:rsidR="00886288" w:rsidRPr="00900D6C">
        <w:t>carriers</w:t>
      </w:r>
      <w:r w:rsidRPr="00900D6C">
        <w:t xml:space="preserve"> of infection, epidemiological studies, and trace</w:t>
      </w:r>
      <w:r w:rsidR="003226C5" w:rsidRPr="00900D6C">
        <w:t xml:space="preserve"> </w:t>
      </w:r>
      <w:r w:rsidRPr="00900D6C">
        <w:t>back of possible food sources. Where an internationally</w:t>
      </w:r>
      <w:r w:rsidR="00886288" w:rsidRPr="00900D6C">
        <w:t>-</w:t>
      </w:r>
      <w:r w:rsidRPr="00900D6C">
        <w:t>distributed food source is identified caus</w:t>
      </w:r>
      <w:r w:rsidR="00886288" w:rsidRPr="00900D6C">
        <w:t>ing</w:t>
      </w:r>
      <w:r w:rsidRPr="00900D6C">
        <w:t xml:space="preserve"> an outbreak, the </w:t>
      </w:r>
      <w:r w:rsidR="001E00C5" w:rsidRPr="00900D6C">
        <w:t xml:space="preserve">Australian Department of Health </w:t>
      </w:r>
      <w:r w:rsidRPr="00900D6C">
        <w:t>may need to inform other countries through the International Health Regulations (2005) and other international food-regulatory networks.</w:t>
      </w:r>
    </w:p>
    <w:p w14:paraId="195794A9" w14:textId="27CBF7FA" w:rsidR="006A52C3" w:rsidRPr="00900D6C" w:rsidRDefault="00F31FA3" w:rsidP="00EA19BA">
      <w:pPr>
        <w:ind w:right="-46"/>
      </w:pPr>
      <w:r w:rsidRPr="00900D6C">
        <w:t>T</w:t>
      </w:r>
      <w:r w:rsidR="006A52C3" w:rsidRPr="00900D6C">
        <w:t xml:space="preserve">yphoid fever outbreaks caused by asymptomatic carriers </w:t>
      </w:r>
      <w:r w:rsidR="002D3624" w:rsidRPr="00900D6C">
        <w:t xml:space="preserve">are usually </w:t>
      </w:r>
      <w:r w:rsidR="006A52C3" w:rsidRPr="00900D6C">
        <w:t>small, prolonged, and therefore difficult to detect by routine surveillance. In the US</w:t>
      </w:r>
      <w:r w:rsidR="00FC6282" w:rsidRPr="00900D6C">
        <w:t>A</w:t>
      </w:r>
      <w:r w:rsidR="006A52C3" w:rsidRPr="00900D6C">
        <w:t xml:space="preserve"> between</w:t>
      </w:r>
      <w:r w:rsidRPr="00900D6C">
        <w:t xml:space="preserve"> 1999</w:t>
      </w:r>
      <w:r w:rsidR="006A52C3" w:rsidRPr="00900D6C">
        <w:t xml:space="preserve"> and 2010</w:t>
      </w:r>
      <w:r w:rsidR="001E00C5" w:rsidRPr="00900D6C">
        <w:t>,</w:t>
      </w:r>
      <w:r w:rsidR="006A52C3" w:rsidRPr="00900D6C">
        <w:t xml:space="preserve"> </w:t>
      </w:r>
      <w:r w:rsidR="00E11F48" w:rsidRPr="00900D6C">
        <w:t xml:space="preserve">16 </w:t>
      </w:r>
      <w:r w:rsidR="006A52C3" w:rsidRPr="00900D6C">
        <w:t>of 28 outbreaks were linked to a confirmed or suspected carrier</w:t>
      </w:r>
      <w:r w:rsidR="00E11F48" w:rsidRPr="00900D6C">
        <w:t>;</w:t>
      </w:r>
      <w:r w:rsidR="006A52C3" w:rsidRPr="00900D6C">
        <w:t xml:space="preserve"> </w:t>
      </w:r>
      <w:r w:rsidR="00886288" w:rsidRPr="00900D6C">
        <w:t>two</w:t>
      </w:r>
      <w:r w:rsidR="00E11F48" w:rsidRPr="00900D6C">
        <w:t xml:space="preserve"> </w:t>
      </w:r>
      <w:r w:rsidR="006A52C3" w:rsidRPr="00900D6C">
        <w:t xml:space="preserve">were linked to </w:t>
      </w:r>
      <w:r w:rsidRPr="00900D6C">
        <w:t>contaminated food</w:t>
      </w:r>
      <w:r w:rsidR="00886288" w:rsidRPr="00900D6C">
        <w:t>,</w:t>
      </w:r>
      <w:r w:rsidRPr="00900D6C">
        <w:t xml:space="preserve"> a</w:t>
      </w:r>
      <w:r w:rsidR="006A52C3" w:rsidRPr="00900D6C">
        <w:t xml:space="preserve">nd </w:t>
      </w:r>
      <w:r w:rsidR="00886288" w:rsidRPr="00900D6C">
        <w:t>five</w:t>
      </w:r>
      <w:r w:rsidR="00E11F48" w:rsidRPr="00900D6C">
        <w:t xml:space="preserve"> </w:t>
      </w:r>
      <w:r w:rsidR="006A52C3" w:rsidRPr="00900D6C">
        <w:t xml:space="preserve">occurred in household contacts with an unknown source </w:t>
      </w:r>
      <w:r w:rsidR="004016B2" w:rsidRPr="00900D6C">
        <w:t>(</w:t>
      </w:r>
      <w:r w:rsidR="00196AAD" w:rsidRPr="00900D6C">
        <w:t>46</w:t>
      </w:r>
      <w:r w:rsidR="004016B2" w:rsidRPr="00900D6C">
        <w:t>)</w:t>
      </w:r>
      <w:r w:rsidR="006A52C3" w:rsidRPr="00900D6C">
        <w:t>.</w:t>
      </w:r>
    </w:p>
    <w:p w14:paraId="17FD9245" w14:textId="252358E8" w:rsidR="00E33464" w:rsidRPr="00900D6C" w:rsidRDefault="00F96A6B" w:rsidP="00EA19BA">
      <w:pPr>
        <w:ind w:right="-46"/>
      </w:pPr>
      <w:r w:rsidRPr="00900D6C">
        <w:t xml:space="preserve">Typhoid </w:t>
      </w:r>
      <w:r w:rsidR="00087E27" w:rsidRPr="00900D6C">
        <w:t xml:space="preserve">and paratyphoid </w:t>
      </w:r>
      <w:r w:rsidR="005A37A3" w:rsidRPr="00900D6C">
        <w:t xml:space="preserve">clusters and </w:t>
      </w:r>
      <w:r w:rsidRPr="00900D6C">
        <w:t xml:space="preserve">outbreaks </w:t>
      </w:r>
      <w:r w:rsidR="00692551" w:rsidRPr="00900D6C">
        <w:t xml:space="preserve">in Australia are </w:t>
      </w:r>
      <w:r w:rsidRPr="00900D6C">
        <w:t xml:space="preserve">uncommon. </w:t>
      </w:r>
      <w:r w:rsidR="00E33464" w:rsidRPr="00900D6C">
        <w:t xml:space="preserve">The last major typhoid outbreak </w:t>
      </w:r>
      <w:r w:rsidR="00EC2BB2" w:rsidRPr="00900D6C">
        <w:t xml:space="preserve">occurred </w:t>
      </w:r>
      <w:r w:rsidR="00E33464" w:rsidRPr="00900D6C">
        <w:t>in Victoria in 1977</w:t>
      </w:r>
      <w:r w:rsidR="00EC2BB2" w:rsidRPr="00900D6C">
        <w:t xml:space="preserve"> with 37 cases</w:t>
      </w:r>
      <w:r w:rsidR="00E33464" w:rsidRPr="00900D6C">
        <w:t>, associated with a food handler who was a chronic carrier</w:t>
      </w:r>
      <w:r w:rsidR="00733835" w:rsidRPr="00900D6C">
        <w:t xml:space="preserve"> </w:t>
      </w:r>
      <w:r w:rsidR="004016B2" w:rsidRPr="00900D6C">
        <w:t>(</w:t>
      </w:r>
      <w:r w:rsidR="00196AAD" w:rsidRPr="00900D6C">
        <w:t>47</w:t>
      </w:r>
      <w:r w:rsidR="004016B2" w:rsidRPr="00900D6C">
        <w:t>)</w:t>
      </w:r>
      <w:r w:rsidR="00E33464" w:rsidRPr="00900D6C">
        <w:t>. More recently</w:t>
      </w:r>
      <w:r w:rsidR="00B1335C" w:rsidRPr="00900D6C">
        <w:t>:</w:t>
      </w:r>
      <w:r w:rsidR="007A5AC3" w:rsidRPr="00900D6C">
        <w:t xml:space="preserve"> a multi-jurisdictional outbreak of 12 cases of typhoid was investigated in 1999 relating to people travelling on a cruise ship and visiting the </w:t>
      </w:r>
      <w:proofErr w:type="spellStart"/>
      <w:r w:rsidR="007A5AC3" w:rsidRPr="00900D6C">
        <w:t>Kokoda</w:t>
      </w:r>
      <w:proofErr w:type="spellEnd"/>
      <w:r w:rsidR="007A5AC3" w:rsidRPr="00900D6C">
        <w:t xml:space="preserve"> </w:t>
      </w:r>
      <w:r w:rsidR="00886288" w:rsidRPr="00900D6C">
        <w:t>T</w:t>
      </w:r>
      <w:r w:rsidR="007A5AC3" w:rsidRPr="00900D6C">
        <w:t>ra</w:t>
      </w:r>
      <w:r w:rsidR="00886288" w:rsidRPr="00900D6C">
        <w:t>ck</w:t>
      </w:r>
      <w:r w:rsidR="004C7B79" w:rsidRPr="00900D6C">
        <w:t xml:space="preserve"> </w:t>
      </w:r>
      <w:r w:rsidR="004016B2" w:rsidRPr="00900D6C">
        <w:t>(</w:t>
      </w:r>
      <w:r w:rsidR="00196AAD" w:rsidRPr="00900D6C">
        <w:t>48</w:t>
      </w:r>
      <w:r w:rsidR="004016B2" w:rsidRPr="00900D6C">
        <w:t>)</w:t>
      </w:r>
      <w:r w:rsidR="007A5AC3" w:rsidRPr="00900D6C">
        <w:t>;</w:t>
      </w:r>
      <w:r w:rsidR="00E33464" w:rsidRPr="00900D6C">
        <w:t xml:space="preserve"> </w:t>
      </w:r>
      <w:r w:rsidR="00886288" w:rsidRPr="00900D6C">
        <w:t>four</w:t>
      </w:r>
      <w:r w:rsidR="007A5AC3" w:rsidRPr="00900D6C">
        <w:t xml:space="preserve"> </w:t>
      </w:r>
      <w:r w:rsidR="0013262D" w:rsidRPr="00900D6C">
        <w:t>locally</w:t>
      </w:r>
      <w:r w:rsidR="00886288" w:rsidRPr="00900D6C">
        <w:t>-</w:t>
      </w:r>
      <w:r w:rsidR="0013262D" w:rsidRPr="00900D6C">
        <w:t xml:space="preserve">acquired </w:t>
      </w:r>
      <w:r w:rsidR="007A5AC3" w:rsidRPr="00900D6C">
        <w:t xml:space="preserve">cases </w:t>
      </w:r>
      <w:r w:rsidR="0013262D" w:rsidRPr="00900D6C">
        <w:t>residing</w:t>
      </w:r>
      <w:r w:rsidR="007A5AC3" w:rsidRPr="00900D6C">
        <w:t xml:space="preserve"> in the same geographic area of Melbourne</w:t>
      </w:r>
      <w:r w:rsidR="0013262D" w:rsidRPr="00900D6C">
        <w:t xml:space="preserve"> were identified</w:t>
      </w:r>
      <w:r w:rsidR="007A5AC3" w:rsidRPr="00900D6C">
        <w:t xml:space="preserve"> in 2009 but no source was identified; and a</w:t>
      </w:r>
      <w:r w:rsidR="00494737" w:rsidRPr="00900D6C">
        <w:t xml:space="preserve"> family</w:t>
      </w:r>
      <w:r w:rsidR="00E11F48" w:rsidRPr="00900D6C">
        <w:t>-</w:t>
      </w:r>
      <w:r w:rsidR="00494737" w:rsidRPr="00900D6C">
        <w:t>associated cluster occurred in Sydney in 2013</w:t>
      </w:r>
      <w:r w:rsidR="003634ED" w:rsidRPr="00900D6C">
        <w:t xml:space="preserve"> </w:t>
      </w:r>
      <w:r w:rsidR="004016B2" w:rsidRPr="00900D6C">
        <w:t>(</w:t>
      </w:r>
      <w:r w:rsidR="00196AAD" w:rsidRPr="00900D6C">
        <w:t>49</w:t>
      </w:r>
      <w:r w:rsidR="004016B2" w:rsidRPr="00900D6C">
        <w:t>)</w:t>
      </w:r>
      <w:r w:rsidR="00494737" w:rsidRPr="00900D6C">
        <w:t>.</w:t>
      </w:r>
    </w:p>
    <w:p w14:paraId="5AC07D6B" w14:textId="77777777" w:rsidR="00C431E1" w:rsidRPr="00900D6C" w:rsidRDefault="00C431E1" w:rsidP="00900D6C">
      <w:pPr>
        <w:pStyle w:val="Heading3"/>
      </w:pPr>
      <w:r w:rsidRPr="00900D6C">
        <w:t>Chronic carriers</w:t>
      </w:r>
    </w:p>
    <w:p w14:paraId="25986B2F" w14:textId="77777777" w:rsidR="00723149" w:rsidRPr="00900D6C" w:rsidRDefault="00723149" w:rsidP="00193BD1">
      <w:pPr>
        <w:pStyle w:val="Heading4"/>
        <w:rPr>
          <w:lang w:val="en-AU"/>
        </w:rPr>
      </w:pPr>
      <w:r w:rsidRPr="00900D6C">
        <w:rPr>
          <w:lang w:val="en-AU"/>
        </w:rPr>
        <w:t>Definition</w:t>
      </w:r>
    </w:p>
    <w:p w14:paraId="6354A078" w14:textId="77777777" w:rsidR="00723149" w:rsidRPr="00900D6C" w:rsidRDefault="00723149" w:rsidP="00EA19BA">
      <w:pPr>
        <w:ind w:right="-46"/>
      </w:pPr>
      <w:proofErr w:type="gramStart"/>
      <w:r w:rsidRPr="00900D6C">
        <w:t xml:space="preserve">An asymptomatic person who sheds </w:t>
      </w:r>
      <w:r w:rsidRPr="00900D6C">
        <w:rPr>
          <w:i/>
        </w:rPr>
        <w:t>S.</w:t>
      </w:r>
      <w:r w:rsidRPr="00900D6C">
        <w:t xml:space="preserve"> </w:t>
      </w:r>
      <w:proofErr w:type="spellStart"/>
      <w:r w:rsidRPr="00900D6C">
        <w:t>Typhi</w:t>
      </w:r>
      <w:proofErr w:type="spellEnd"/>
      <w:r w:rsidRPr="00900D6C">
        <w:t xml:space="preserve"> </w:t>
      </w:r>
      <w:r w:rsidR="00087E27" w:rsidRPr="00900D6C">
        <w:t xml:space="preserve">or </w:t>
      </w:r>
      <w:r w:rsidR="00087E27" w:rsidRPr="00900D6C">
        <w:rPr>
          <w:i/>
        </w:rPr>
        <w:t>S.</w:t>
      </w:r>
      <w:r w:rsidR="00087E27" w:rsidRPr="00900D6C">
        <w:t xml:space="preserve"> </w:t>
      </w:r>
      <w:proofErr w:type="spellStart"/>
      <w:r w:rsidR="00087E27" w:rsidRPr="00900D6C">
        <w:t>Paratyphi</w:t>
      </w:r>
      <w:proofErr w:type="spellEnd"/>
      <w:r w:rsidR="00087E27" w:rsidRPr="00900D6C">
        <w:t xml:space="preserve"> </w:t>
      </w:r>
      <w:r w:rsidRPr="00900D6C">
        <w:t>for more than 12 months.</w:t>
      </w:r>
      <w:proofErr w:type="gramEnd"/>
    </w:p>
    <w:p w14:paraId="65827B51" w14:textId="77777777" w:rsidR="00723149" w:rsidRPr="00193BD1" w:rsidRDefault="00723149" w:rsidP="00193BD1">
      <w:pPr>
        <w:pStyle w:val="Heading4"/>
      </w:pPr>
      <w:r w:rsidRPr="00193BD1">
        <w:t>Treatment</w:t>
      </w:r>
    </w:p>
    <w:p w14:paraId="19C8B980" w14:textId="77777777" w:rsidR="00BA01D7" w:rsidRDefault="00EC2BB2" w:rsidP="00EA19BA">
      <w:pPr>
        <w:ind w:right="-46"/>
      </w:pPr>
      <w:r w:rsidRPr="00900D6C">
        <w:t>The patient should be referred to</w:t>
      </w:r>
      <w:r w:rsidR="00723149" w:rsidRPr="00900D6C">
        <w:t xml:space="preserve"> an infectious disease physician.</w:t>
      </w:r>
    </w:p>
    <w:p w14:paraId="60CF8DE4" w14:textId="766EF562" w:rsidR="00723149" w:rsidRPr="00193BD1" w:rsidRDefault="00723149" w:rsidP="00193BD1">
      <w:pPr>
        <w:pStyle w:val="Heading4"/>
      </w:pPr>
      <w:r w:rsidRPr="00193BD1">
        <w:t>Investigation</w:t>
      </w:r>
    </w:p>
    <w:p w14:paraId="1583411E" w14:textId="69215837" w:rsidR="00723149" w:rsidRPr="00900D6C" w:rsidRDefault="00723149" w:rsidP="00EA19BA">
      <w:pPr>
        <w:ind w:right="-46"/>
      </w:pPr>
      <w:r w:rsidRPr="00900D6C">
        <w:t xml:space="preserve">Manage chronic carriers the same as others with a positive specimen </w:t>
      </w:r>
      <w:r w:rsidR="00E8093B" w:rsidRPr="00900D6C">
        <w:t>(</w:t>
      </w:r>
      <w:r w:rsidR="00AD0A85" w:rsidRPr="00900D6C">
        <w:t xml:space="preserve">Section </w:t>
      </w:r>
      <w:r w:rsidR="00935BEA" w:rsidRPr="00900D6C">
        <w:t xml:space="preserve">9. </w:t>
      </w:r>
      <w:proofErr w:type="gramStart"/>
      <w:r w:rsidR="00935BEA" w:rsidRPr="00900D6C">
        <w:t>Case management</w:t>
      </w:r>
      <w:r w:rsidRPr="00900D6C">
        <w:t>)</w:t>
      </w:r>
      <w:r w:rsidR="005C3D95" w:rsidRPr="00900D6C">
        <w:t>.</w:t>
      </w:r>
      <w:proofErr w:type="gramEnd"/>
    </w:p>
    <w:p w14:paraId="6765D4D8" w14:textId="77777777" w:rsidR="003047FA" w:rsidRPr="00193BD1" w:rsidRDefault="003047FA" w:rsidP="00193BD1">
      <w:pPr>
        <w:pStyle w:val="Heading4"/>
      </w:pPr>
      <w:r w:rsidRPr="00193BD1">
        <w:t>Contacts of chronic carriers</w:t>
      </w:r>
    </w:p>
    <w:p w14:paraId="1D11C35F" w14:textId="5FD7D42E" w:rsidR="00B1335C" w:rsidRPr="00900D6C" w:rsidRDefault="009D7FD4" w:rsidP="00EA19BA">
      <w:pPr>
        <w:ind w:right="-46"/>
        <w:rPr>
          <w:lang w:eastAsia="en-AU"/>
        </w:rPr>
      </w:pPr>
      <w:r w:rsidRPr="00900D6C">
        <w:rPr>
          <w:lang w:eastAsia="en-AU"/>
        </w:rPr>
        <w:t xml:space="preserve">All household </w:t>
      </w:r>
      <w:r w:rsidR="00B1335C" w:rsidRPr="00900D6C">
        <w:rPr>
          <w:lang w:eastAsia="en-AU"/>
        </w:rPr>
        <w:t xml:space="preserve">and household-type </w:t>
      </w:r>
      <w:r w:rsidRPr="00900D6C">
        <w:rPr>
          <w:lang w:eastAsia="en-AU"/>
        </w:rPr>
        <w:t xml:space="preserve">contacts </w:t>
      </w:r>
      <w:r w:rsidR="00B1335C" w:rsidRPr="00900D6C">
        <w:rPr>
          <w:lang w:eastAsia="en-AU"/>
        </w:rPr>
        <w:t>of chronic carriers should be</w:t>
      </w:r>
      <w:r w:rsidR="005A047E" w:rsidRPr="00900D6C">
        <w:rPr>
          <w:lang w:eastAsia="en-AU"/>
        </w:rPr>
        <w:t>:</w:t>
      </w:r>
    </w:p>
    <w:p w14:paraId="42102747" w14:textId="07EFEA07" w:rsidR="009D7FD4" w:rsidRPr="00900D6C" w:rsidRDefault="00B1335C" w:rsidP="00EA19BA">
      <w:pPr>
        <w:pStyle w:val="ListParagraph"/>
        <w:numPr>
          <w:ilvl w:val="0"/>
          <w:numId w:val="28"/>
        </w:numPr>
        <w:ind w:right="-46"/>
        <w:rPr>
          <w:lang w:val="en-AU" w:eastAsia="en-AU"/>
        </w:rPr>
      </w:pPr>
      <w:r w:rsidRPr="00900D6C">
        <w:rPr>
          <w:lang w:val="en-AU" w:eastAsia="en-AU"/>
        </w:rPr>
        <w:t xml:space="preserve">given hygiene advice, information about symptoms and </w:t>
      </w:r>
      <w:r w:rsidR="009D7FD4" w:rsidRPr="00900D6C">
        <w:rPr>
          <w:lang w:val="en-AU" w:eastAsia="en-AU"/>
        </w:rPr>
        <w:t>advised to exclude themselves and seek investigation should symptoms occur</w:t>
      </w:r>
      <w:r w:rsidR="005A047E" w:rsidRPr="00900D6C">
        <w:rPr>
          <w:lang w:val="en-AU" w:eastAsia="en-AU"/>
        </w:rPr>
        <w:t>;</w:t>
      </w:r>
    </w:p>
    <w:p w14:paraId="2E44716D" w14:textId="39733159" w:rsidR="00B1335C" w:rsidRPr="00900D6C" w:rsidRDefault="00D3029F" w:rsidP="00EA19BA">
      <w:pPr>
        <w:pStyle w:val="ListParagraph"/>
        <w:numPr>
          <w:ilvl w:val="0"/>
          <w:numId w:val="28"/>
        </w:numPr>
        <w:ind w:right="-46"/>
        <w:rPr>
          <w:lang w:val="en-AU" w:eastAsia="en-AU"/>
        </w:rPr>
      </w:pPr>
      <w:proofErr w:type="gramStart"/>
      <w:r w:rsidRPr="00900D6C">
        <w:rPr>
          <w:lang w:val="en-AU" w:eastAsia="en-AU"/>
        </w:rPr>
        <w:t>r</w:t>
      </w:r>
      <w:r w:rsidR="00B1335C" w:rsidRPr="00900D6C">
        <w:rPr>
          <w:lang w:val="en-AU" w:eastAsia="en-AU"/>
        </w:rPr>
        <w:t>ecommended</w:t>
      </w:r>
      <w:proofErr w:type="gramEnd"/>
      <w:r w:rsidR="00B1335C" w:rsidRPr="00900D6C">
        <w:rPr>
          <w:lang w:val="en-AU" w:eastAsia="en-AU"/>
        </w:rPr>
        <w:t xml:space="preserve"> vaccination against typhoid.</w:t>
      </w:r>
    </w:p>
    <w:p w14:paraId="24A0AAAA" w14:textId="19F1B4FC" w:rsidR="00E157AC" w:rsidRPr="00900D6C" w:rsidRDefault="00B1335C" w:rsidP="00EA19BA">
      <w:pPr>
        <w:ind w:right="-46"/>
        <w:rPr>
          <w:lang w:eastAsia="en-AU"/>
        </w:rPr>
      </w:pPr>
      <w:r w:rsidRPr="00900D6C">
        <w:t>Household contacts of chronic carriers who are considered at higher risk for transmitting infection to others</w:t>
      </w:r>
      <w:r w:rsidR="00E157AC" w:rsidRPr="00900D6C">
        <w:t xml:space="preserve"> should also</w:t>
      </w:r>
      <w:r w:rsidR="005A047E" w:rsidRPr="00900D6C">
        <w:rPr>
          <w:lang w:eastAsia="en-AU"/>
        </w:rPr>
        <w:t>:</w:t>
      </w:r>
    </w:p>
    <w:p w14:paraId="40342164" w14:textId="4CA3E893" w:rsidR="00E157AC" w:rsidRPr="00900D6C" w:rsidRDefault="00E157AC" w:rsidP="00EA19BA">
      <w:pPr>
        <w:pStyle w:val="ListParagraph"/>
        <w:numPr>
          <w:ilvl w:val="0"/>
          <w:numId w:val="29"/>
        </w:numPr>
        <w:ind w:right="-46"/>
        <w:rPr>
          <w:lang w:val="en-AU" w:eastAsia="en-AU"/>
        </w:rPr>
      </w:pPr>
      <w:r w:rsidRPr="00900D6C">
        <w:rPr>
          <w:lang w:val="en-AU" w:eastAsia="en-AU"/>
        </w:rPr>
        <w:t>be s</w:t>
      </w:r>
      <w:r w:rsidR="00B1335C" w:rsidRPr="00900D6C">
        <w:rPr>
          <w:lang w:val="en-AU" w:eastAsia="en-AU"/>
        </w:rPr>
        <w:t>creen</w:t>
      </w:r>
      <w:r w:rsidRPr="00900D6C">
        <w:rPr>
          <w:lang w:val="en-AU" w:eastAsia="en-AU"/>
        </w:rPr>
        <w:t>ed</w:t>
      </w:r>
      <w:r w:rsidR="00B1335C" w:rsidRPr="00900D6C">
        <w:rPr>
          <w:lang w:val="en-AU" w:eastAsia="en-AU"/>
        </w:rPr>
        <w:t xml:space="preserve"> at the time of notification of the case as per </w:t>
      </w:r>
      <w:r w:rsidR="00935BEA" w:rsidRPr="00900D6C">
        <w:rPr>
          <w:lang w:val="en-AU"/>
        </w:rPr>
        <w:t>Isolation and restriction</w:t>
      </w:r>
      <w:r w:rsidR="005A047E" w:rsidRPr="00900D6C">
        <w:rPr>
          <w:lang w:val="en-AU" w:eastAsia="en-AU"/>
        </w:rPr>
        <w:t>;</w:t>
      </w:r>
    </w:p>
    <w:p w14:paraId="00BFA604" w14:textId="3D5A5927" w:rsidR="009D7FD4" w:rsidRPr="00900D6C" w:rsidRDefault="00E157AC" w:rsidP="00EA19BA">
      <w:pPr>
        <w:pStyle w:val="ListParagraph"/>
        <w:numPr>
          <w:ilvl w:val="0"/>
          <w:numId w:val="29"/>
        </w:numPr>
        <w:ind w:right="-46"/>
        <w:rPr>
          <w:lang w:val="en-AU" w:eastAsia="en-AU"/>
        </w:rPr>
      </w:pPr>
      <w:proofErr w:type="gramStart"/>
      <w:r w:rsidRPr="00900D6C">
        <w:rPr>
          <w:lang w:val="en-AU" w:eastAsia="en-AU"/>
        </w:rPr>
        <w:t>have</w:t>
      </w:r>
      <w:proofErr w:type="gramEnd"/>
      <w:r w:rsidRPr="00900D6C">
        <w:rPr>
          <w:lang w:val="en-AU" w:eastAsia="en-AU"/>
        </w:rPr>
        <w:t xml:space="preserve"> reinforced</w:t>
      </w:r>
      <w:r w:rsidR="009D7FD4" w:rsidRPr="00900D6C">
        <w:rPr>
          <w:lang w:val="en-AU" w:eastAsia="en-AU"/>
        </w:rPr>
        <w:t xml:space="preserve"> the need for scrupulous hygiene both within the household and at work until the case is non-infectious.</w:t>
      </w:r>
    </w:p>
    <w:p w14:paraId="37C12B22" w14:textId="77777777" w:rsidR="0092728B" w:rsidRPr="00900D6C" w:rsidRDefault="002A4B69" w:rsidP="00193BD1">
      <w:pPr>
        <w:pStyle w:val="Heading1"/>
        <w:rPr>
          <w:lang w:val="en-AU"/>
        </w:rPr>
      </w:pPr>
      <w:r w:rsidRPr="00900D6C">
        <w:rPr>
          <w:lang w:val="en-AU"/>
        </w:rPr>
        <w:t>13. References and additional sources of information</w:t>
      </w:r>
    </w:p>
    <w:p w14:paraId="2A2685EC" w14:textId="01481A52" w:rsidR="00196AAD" w:rsidRPr="00900D6C" w:rsidRDefault="00196AAD" w:rsidP="00EA19BA">
      <w:pPr>
        <w:ind w:right="-46"/>
      </w:pPr>
      <w:bookmarkStart w:id="5" w:name="_ENREF_1"/>
      <w:r w:rsidRPr="00900D6C">
        <w:t>1.</w:t>
      </w:r>
      <w:r w:rsidRPr="00900D6C">
        <w:tab/>
        <w:t xml:space="preserve">Gupta SK, </w:t>
      </w:r>
      <w:proofErr w:type="spellStart"/>
      <w:r w:rsidRPr="00900D6C">
        <w:t>Medalla</w:t>
      </w:r>
      <w:proofErr w:type="spellEnd"/>
      <w:r w:rsidRPr="00900D6C">
        <w:t xml:space="preserve"> F, </w:t>
      </w:r>
      <w:proofErr w:type="spellStart"/>
      <w:r w:rsidRPr="00900D6C">
        <w:t>Omondi</w:t>
      </w:r>
      <w:proofErr w:type="spellEnd"/>
      <w:r w:rsidRPr="00900D6C">
        <w:t xml:space="preserve"> MW, </w:t>
      </w:r>
      <w:proofErr w:type="spellStart"/>
      <w:r w:rsidRPr="00900D6C">
        <w:t>Whichard</w:t>
      </w:r>
      <w:proofErr w:type="spellEnd"/>
      <w:r w:rsidRPr="00900D6C">
        <w:t xml:space="preserve"> JM, Fields PI, </w:t>
      </w:r>
      <w:proofErr w:type="spellStart"/>
      <w:r w:rsidRPr="00900D6C">
        <w:t>Gerner-Smidt</w:t>
      </w:r>
      <w:proofErr w:type="spellEnd"/>
      <w:r w:rsidRPr="00900D6C">
        <w:t xml:space="preserve"> P, et al. Laboratory-based surveillance of paratyphoid fever in the United States: travel and antimicrobial resistance. </w:t>
      </w:r>
      <w:proofErr w:type="gramStart"/>
      <w:r w:rsidRPr="00900D6C">
        <w:t>Clinical Infectious Diseases.</w:t>
      </w:r>
      <w:proofErr w:type="gramEnd"/>
      <w:r w:rsidRPr="00900D6C">
        <w:t xml:space="preserve"> 2008</w:t>
      </w:r>
      <w:proofErr w:type="gramStart"/>
      <w:r w:rsidRPr="00900D6C">
        <w:t>;46</w:t>
      </w:r>
      <w:proofErr w:type="gramEnd"/>
      <w:r w:rsidRPr="00900D6C">
        <w:t>(11):1656-63.</w:t>
      </w:r>
      <w:bookmarkEnd w:id="5"/>
    </w:p>
    <w:p w14:paraId="66B56ECB" w14:textId="6DE78F95" w:rsidR="00196AAD" w:rsidRPr="00900D6C" w:rsidRDefault="00196AAD" w:rsidP="00EA19BA">
      <w:pPr>
        <w:pStyle w:val="EndNoteBibliography"/>
        <w:ind w:right="-46"/>
        <w:rPr>
          <w:noProof w:val="0"/>
          <w:lang w:val="en-AU"/>
        </w:rPr>
      </w:pPr>
      <w:bookmarkStart w:id="6" w:name="_ENREF_2"/>
      <w:r w:rsidRPr="00900D6C">
        <w:rPr>
          <w:noProof w:val="0"/>
          <w:lang w:val="en-AU"/>
        </w:rPr>
        <w:t>2.</w:t>
      </w:r>
      <w:r w:rsidRPr="00900D6C">
        <w:rPr>
          <w:noProof w:val="0"/>
          <w:lang w:val="en-AU"/>
        </w:rPr>
        <w:tab/>
        <w:t xml:space="preserve">Barker RM, Kearney GM, Nicholson P, Blair AL, Porter R, Crichton PB. </w:t>
      </w:r>
      <w:proofErr w:type="gramStart"/>
      <w:r w:rsidRPr="00900D6C">
        <w:rPr>
          <w:noProof w:val="0"/>
          <w:lang w:val="en-AU"/>
        </w:rPr>
        <w:t xml:space="preserve">Types of Salmonella </w:t>
      </w:r>
      <w:proofErr w:type="spellStart"/>
      <w:r w:rsidRPr="00900D6C">
        <w:rPr>
          <w:noProof w:val="0"/>
          <w:lang w:val="en-AU"/>
        </w:rPr>
        <w:t>paratyphi</w:t>
      </w:r>
      <w:proofErr w:type="spellEnd"/>
      <w:r w:rsidRPr="00900D6C">
        <w:rPr>
          <w:noProof w:val="0"/>
          <w:lang w:val="en-AU"/>
        </w:rPr>
        <w:t xml:space="preserve"> B and their phylogenetic significance.</w:t>
      </w:r>
      <w:proofErr w:type="gramEnd"/>
      <w:r w:rsidRPr="00900D6C">
        <w:rPr>
          <w:noProof w:val="0"/>
          <w:lang w:val="en-AU"/>
        </w:rPr>
        <w:t xml:space="preserve"> </w:t>
      </w:r>
      <w:proofErr w:type="gramStart"/>
      <w:r w:rsidRPr="00900D6C">
        <w:rPr>
          <w:noProof w:val="0"/>
          <w:lang w:val="en-AU"/>
        </w:rPr>
        <w:t>Journal of Medical Microbiology.</w:t>
      </w:r>
      <w:proofErr w:type="gramEnd"/>
      <w:r w:rsidRPr="00900D6C">
        <w:rPr>
          <w:noProof w:val="0"/>
          <w:lang w:val="en-AU"/>
        </w:rPr>
        <w:t xml:space="preserve"> 1988</w:t>
      </w:r>
      <w:proofErr w:type="gramStart"/>
      <w:r w:rsidRPr="00900D6C">
        <w:rPr>
          <w:noProof w:val="0"/>
          <w:lang w:val="en-AU"/>
        </w:rPr>
        <w:t>;26</w:t>
      </w:r>
      <w:proofErr w:type="gramEnd"/>
      <w:r w:rsidRPr="00900D6C">
        <w:rPr>
          <w:noProof w:val="0"/>
          <w:lang w:val="en-AU"/>
        </w:rPr>
        <w:t>(4):285-93.</w:t>
      </w:r>
      <w:bookmarkEnd w:id="6"/>
    </w:p>
    <w:p w14:paraId="0C88B430" w14:textId="77777777" w:rsidR="00196AAD" w:rsidRPr="00900D6C" w:rsidRDefault="00196AAD" w:rsidP="00EA19BA">
      <w:pPr>
        <w:pStyle w:val="EndNoteBibliography"/>
        <w:ind w:right="-46"/>
        <w:rPr>
          <w:noProof w:val="0"/>
          <w:lang w:val="en-AU"/>
        </w:rPr>
      </w:pPr>
      <w:bookmarkStart w:id="7" w:name="_ENREF_3"/>
      <w:r w:rsidRPr="00900D6C">
        <w:rPr>
          <w:noProof w:val="0"/>
          <w:lang w:val="en-AU"/>
        </w:rPr>
        <w:t>3.</w:t>
      </w:r>
      <w:r w:rsidRPr="00900D6C">
        <w:rPr>
          <w:noProof w:val="0"/>
          <w:lang w:val="en-AU"/>
        </w:rPr>
        <w:tab/>
      </w:r>
      <w:proofErr w:type="spellStart"/>
      <w:r w:rsidRPr="00900D6C">
        <w:rPr>
          <w:noProof w:val="0"/>
          <w:lang w:val="en-AU"/>
        </w:rPr>
        <w:t>Parkhill</w:t>
      </w:r>
      <w:proofErr w:type="spellEnd"/>
      <w:r w:rsidRPr="00900D6C">
        <w:rPr>
          <w:noProof w:val="0"/>
          <w:lang w:val="en-AU"/>
        </w:rPr>
        <w:t xml:space="preserve"> J, </w:t>
      </w:r>
      <w:proofErr w:type="spellStart"/>
      <w:r w:rsidRPr="00900D6C">
        <w:rPr>
          <w:noProof w:val="0"/>
          <w:lang w:val="en-AU"/>
        </w:rPr>
        <w:t>Dougan</w:t>
      </w:r>
      <w:proofErr w:type="spellEnd"/>
      <w:r w:rsidRPr="00900D6C">
        <w:rPr>
          <w:noProof w:val="0"/>
          <w:lang w:val="en-AU"/>
        </w:rPr>
        <w:t xml:space="preserve"> G, James K, Thomson N, Pickard D, Wain J, et al. Complete genome sequence of a multiple drug resistant Salmonella </w:t>
      </w:r>
      <w:proofErr w:type="spellStart"/>
      <w:r w:rsidRPr="00900D6C">
        <w:rPr>
          <w:noProof w:val="0"/>
          <w:lang w:val="en-AU"/>
        </w:rPr>
        <w:t>enterica</w:t>
      </w:r>
      <w:proofErr w:type="spellEnd"/>
      <w:r w:rsidRPr="00900D6C">
        <w:rPr>
          <w:noProof w:val="0"/>
          <w:lang w:val="en-AU"/>
        </w:rPr>
        <w:t xml:space="preserve"> </w:t>
      </w:r>
      <w:proofErr w:type="spellStart"/>
      <w:r w:rsidRPr="00900D6C">
        <w:rPr>
          <w:noProof w:val="0"/>
          <w:lang w:val="en-AU"/>
        </w:rPr>
        <w:t>serovar</w:t>
      </w:r>
      <w:proofErr w:type="spellEnd"/>
      <w:r w:rsidRPr="00900D6C">
        <w:rPr>
          <w:noProof w:val="0"/>
          <w:lang w:val="en-AU"/>
        </w:rPr>
        <w:t xml:space="preserve"> </w:t>
      </w:r>
      <w:proofErr w:type="spellStart"/>
      <w:r w:rsidRPr="00900D6C">
        <w:rPr>
          <w:noProof w:val="0"/>
          <w:lang w:val="en-AU"/>
        </w:rPr>
        <w:t>Typhi</w:t>
      </w:r>
      <w:proofErr w:type="spellEnd"/>
      <w:r w:rsidRPr="00900D6C">
        <w:rPr>
          <w:noProof w:val="0"/>
          <w:lang w:val="en-AU"/>
        </w:rPr>
        <w:t xml:space="preserve"> CT18. </w:t>
      </w:r>
      <w:proofErr w:type="gramStart"/>
      <w:r w:rsidRPr="00900D6C">
        <w:rPr>
          <w:noProof w:val="0"/>
          <w:lang w:val="en-AU"/>
        </w:rPr>
        <w:t>Nature.</w:t>
      </w:r>
      <w:proofErr w:type="gramEnd"/>
      <w:r w:rsidRPr="00900D6C">
        <w:rPr>
          <w:noProof w:val="0"/>
          <w:lang w:val="en-AU"/>
        </w:rPr>
        <w:t xml:space="preserve"> 2001</w:t>
      </w:r>
      <w:proofErr w:type="gramStart"/>
      <w:r w:rsidRPr="00900D6C">
        <w:rPr>
          <w:noProof w:val="0"/>
          <w:lang w:val="en-AU"/>
        </w:rPr>
        <w:t>;413</w:t>
      </w:r>
      <w:proofErr w:type="gramEnd"/>
      <w:r w:rsidRPr="00900D6C">
        <w:rPr>
          <w:noProof w:val="0"/>
          <w:lang w:val="en-AU"/>
        </w:rPr>
        <w:t>(6858):848-52.</w:t>
      </w:r>
      <w:bookmarkEnd w:id="7"/>
    </w:p>
    <w:p w14:paraId="1BABCC4C" w14:textId="1E54ED05" w:rsidR="00196AAD" w:rsidRPr="00900D6C" w:rsidRDefault="00196AAD" w:rsidP="00EA19BA">
      <w:pPr>
        <w:pStyle w:val="EndNoteBibliography"/>
        <w:ind w:right="-46"/>
        <w:rPr>
          <w:noProof w:val="0"/>
          <w:lang w:val="en-AU"/>
        </w:rPr>
      </w:pPr>
      <w:bookmarkStart w:id="8" w:name="_ENREF_4"/>
      <w:r w:rsidRPr="00900D6C">
        <w:rPr>
          <w:noProof w:val="0"/>
          <w:lang w:val="en-AU"/>
        </w:rPr>
        <w:t>4.</w:t>
      </w:r>
      <w:r w:rsidRPr="00900D6C">
        <w:rPr>
          <w:noProof w:val="0"/>
          <w:lang w:val="en-AU"/>
        </w:rPr>
        <w:tab/>
        <w:t xml:space="preserve">Han KH, Choi SY, Lee JH, Lee H, Shin EH, </w:t>
      </w:r>
      <w:proofErr w:type="spellStart"/>
      <w:r w:rsidRPr="00900D6C">
        <w:rPr>
          <w:noProof w:val="0"/>
          <w:lang w:val="en-AU"/>
        </w:rPr>
        <w:t>Agtini</w:t>
      </w:r>
      <w:proofErr w:type="spellEnd"/>
      <w:r w:rsidRPr="00900D6C">
        <w:rPr>
          <w:noProof w:val="0"/>
          <w:lang w:val="en-AU"/>
        </w:rPr>
        <w:t xml:space="preserve"> MD, et al. Isolation of Salmonella </w:t>
      </w:r>
      <w:proofErr w:type="spellStart"/>
      <w:r w:rsidRPr="00900D6C">
        <w:rPr>
          <w:noProof w:val="0"/>
          <w:lang w:val="en-AU"/>
        </w:rPr>
        <w:t>enterica</w:t>
      </w:r>
      <w:proofErr w:type="spellEnd"/>
      <w:r w:rsidRPr="00900D6C">
        <w:rPr>
          <w:noProof w:val="0"/>
          <w:lang w:val="en-AU"/>
        </w:rPr>
        <w:t xml:space="preserve"> subspecies </w:t>
      </w:r>
      <w:proofErr w:type="spellStart"/>
      <w:r w:rsidRPr="00900D6C">
        <w:rPr>
          <w:noProof w:val="0"/>
          <w:lang w:val="en-AU"/>
        </w:rPr>
        <w:t>enterica</w:t>
      </w:r>
      <w:proofErr w:type="spellEnd"/>
      <w:r w:rsidRPr="00900D6C">
        <w:rPr>
          <w:noProof w:val="0"/>
          <w:lang w:val="en-AU"/>
        </w:rPr>
        <w:t xml:space="preserve"> </w:t>
      </w:r>
      <w:proofErr w:type="spellStart"/>
      <w:r w:rsidRPr="00900D6C">
        <w:rPr>
          <w:noProof w:val="0"/>
          <w:lang w:val="en-AU"/>
        </w:rPr>
        <w:t>serovar</w:t>
      </w:r>
      <w:proofErr w:type="spellEnd"/>
      <w:r w:rsidRPr="00900D6C">
        <w:rPr>
          <w:noProof w:val="0"/>
          <w:lang w:val="en-AU"/>
        </w:rPr>
        <w:t xml:space="preserve"> </w:t>
      </w:r>
      <w:proofErr w:type="spellStart"/>
      <w:r w:rsidRPr="00900D6C">
        <w:rPr>
          <w:noProof w:val="0"/>
          <w:lang w:val="en-AU"/>
        </w:rPr>
        <w:t>Paratyphi</w:t>
      </w:r>
      <w:proofErr w:type="spellEnd"/>
      <w:r w:rsidRPr="00900D6C">
        <w:rPr>
          <w:noProof w:val="0"/>
          <w:lang w:val="en-AU"/>
        </w:rPr>
        <w:t xml:space="preserve"> B </w:t>
      </w:r>
      <w:proofErr w:type="spellStart"/>
      <w:r w:rsidRPr="00900D6C">
        <w:rPr>
          <w:noProof w:val="0"/>
          <w:lang w:val="en-AU"/>
        </w:rPr>
        <w:t>dT</w:t>
      </w:r>
      <w:proofErr w:type="spellEnd"/>
      <w:r w:rsidRPr="00900D6C">
        <w:rPr>
          <w:noProof w:val="0"/>
          <w:lang w:val="en-AU"/>
        </w:rPr>
        <w:t xml:space="preserve">+, or Salmonella Java, from Indonesia and alteration of the d-tartrate fermentation phenotype by disrupting the ORF STM 3356. </w:t>
      </w:r>
      <w:proofErr w:type="gramStart"/>
      <w:r w:rsidRPr="00900D6C">
        <w:rPr>
          <w:noProof w:val="0"/>
          <w:lang w:val="en-AU"/>
        </w:rPr>
        <w:t>Journal of Medical Microbiology.</w:t>
      </w:r>
      <w:proofErr w:type="gramEnd"/>
      <w:r w:rsidRPr="00900D6C">
        <w:rPr>
          <w:noProof w:val="0"/>
          <w:lang w:val="en-AU"/>
        </w:rPr>
        <w:t xml:space="preserve"> 2006</w:t>
      </w:r>
      <w:proofErr w:type="gramStart"/>
      <w:r w:rsidRPr="00900D6C">
        <w:rPr>
          <w:noProof w:val="0"/>
          <w:lang w:val="en-AU"/>
        </w:rPr>
        <w:t>;55</w:t>
      </w:r>
      <w:proofErr w:type="gramEnd"/>
      <w:r w:rsidRPr="00900D6C">
        <w:rPr>
          <w:noProof w:val="0"/>
          <w:lang w:val="en-AU"/>
        </w:rPr>
        <w:t>(12):1661-5.</w:t>
      </w:r>
      <w:bookmarkEnd w:id="8"/>
    </w:p>
    <w:p w14:paraId="5E2F4FDE" w14:textId="77777777" w:rsidR="00196AAD" w:rsidRPr="00900D6C" w:rsidRDefault="00196AAD" w:rsidP="00EA19BA">
      <w:pPr>
        <w:pStyle w:val="EndNoteBibliography"/>
        <w:ind w:right="-46"/>
        <w:rPr>
          <w:noProof w:val="0"/>
          <w:lang w:val="en-AU"/>
        </w:rPr>
      </w:pPr>
      <w:bookmarkStart w:id="9" w:name="_ENREF_5"/>
      <w:r w:rsidRPr="00900D6C">
        <w:rPr>
          <w:noProof w:val="0"/>
          <w:lang w:val="en-AU"/>
        </w:rPr>
        <w:t>5.</w:t>
      </w:r>
      <w:r w:rsidRPr="00900D6C">
        <w:rPr>
          <w:noProof w:val="0"/>
          <w:lang w:val="en-AU"/>
        </w:rPr>
        <w:tab/>
        <w:t xml:space="preserve">Woods CW, Murdoch DR, Zimmerman MD, Glover WA, </w:t>
      </w:r>
      <w:proofErr w:type="spellStart"/>
      <w:r w:rsidRPr="00900D6C">
        <w:rPr>
          <w:noProof w:val="0"/>
          <w:lang w:val="en-AU"/>
        </w:rPr>
        <w:t>Basnyat</w:t>
      </w:r>
      <w:proofErr w:type="spellEnd"/>
      <w:r w:rsidRPr="00900D6C">
        <w:rPr>
          <w:noProof w:val="0"/>
          <w:lang w:val="en-AU"/>
        </w:rPr>
        <w:t xml:space="preserve"> B, Wolf L, et al. Emergence of Salmonella </w:t>
      </w:r>
      <w:proofErr w:type="spellStart"/>
      <w:r w:rsidRPr="00900D6C">
        <w:rPr>
          <w:noProof w:val="0"/>
          <w:lang w:val="en-AU"/>
        </w:rPr>
        <w:t>enterica</w:t>
      </w:r>
      <w:proofErr w:type="spellEnd"/>
      <w:r w:rsidRPr="00900D6C">
        <w:rPr>
          <w:noProof w:val="0"/>
          <w:lang w:val="en-AU"/>
        </w:rPr>
        <w:t xml:space="preserve"> serotype </w:t>
      </w:r>
      <w:proofErr w:type="spellStart"/>
      <w:r w:rsidRPr="00900D6C">
        <w:rPr>
          <w:noProof w:val="0"/>
          <w:lang w:val="en-AU"/>
        </w:rPr>
        <w:t>Paratyphi</w:t>
      </w:r>
      <w:proofErr w:type="spellEnd"/>
      <w:r w:rsidRPr="00900D6C">
        <w:rPr>
          <w:noProof w:val="0"/>
          <w:lang w:val="en-AU"/>
        </w:rPr>
        <w:t xml:space="preserve"> A as a major cause of enteric fever in Kathmandu, Nepal. </w:t>
      </w:r>
      <w:proofErr w:type="gramStart"/>
      <w:r w:rsidRPr="00900D6C">
        <w:rPr>
          <w:noProof w:val="0"/>
          <w:lang w:val="en-AU"/>
        </w:rPr>
        <w:t>Transactions of the Royal Society of Tropical Medicine and Hygiene.</w:t>
      </w:r>
      <w:proofErr w:type="gramEnd"/>
      <w:r w:rsidRPr="00900D6C">
        <w:rPr>
          <w:noProof w:val="0"/>
          <w:lang w:val="en-AU"/>
        </w:rPr>
        <w:t xml:space="preserve"> 2006</w:t>
      </w:r>
      <w:proofErr w:type="gramStart"/>
      <w:r w:rsidRPr="00900D6C">
        <w:rPr>
          <w:noProof w:val="0"/>
          <w:lang w:val="en-AU"/>
        </w:rPr>
        <w:t>;100</w:t>
      </w:r>
      <w:proofErr w:type="gramEnd"/>
      <w:r w:rsidRPr="00900D6C">
        <w:rPr>
          <w:noProof w:val="0"/>
          <w:lang w:val="en-AU"/>
        </w:rPr>
        <w:t>(11):1063-7.</w:t>
      </w:r>
      <w:bookmarkEnd w:id="9"/>
    </w:p>
    <w:p w14:paraId="2C143F91" w14:textId="0D79BDBB" w:rsidR="00196AAD" w:rsidRPr="00900D6C" w:rsidRDefault="00196AAD" w:rsidP="00EA19BA">
      <w:pPr>
        <w:pStyle w:val="EndNoteBibliography"/>
        <w:ind w:right="-46"/>
        <w:rPr>
          <w:noProof w:val="0"/>
          <w:lang w:val="en-AU"/>
        </w:rPr>
      </w:pPr>
      <w:bookmarkStart w:id="10" w:name="_ENREF_6"/>
      <w:proofErr w:type="gramStart"/>
      <w:r w:rsidRPr="00900D6C">
        <w:rPr>
          <w:noProof w:val="0"/>
          <w:lang w:val="en-AU"/>
        </w:rPr>
        <w:t>6.</w:t>
      </w:r>
      <w:r w:rsidRPr="00900D6C">
        <w:rPr>
          <w:noProof w:val="0"/>
          <w:lang w:val="en-AU"/>
        </w:rPr>
        <w:tab/>
      </w:r>
      <w:proofErr w:type="spellStart"/>
      <w:r w:rsidRPr="00900D6C">
        <w:rPr>
          <w:noProof w:val="0"/>
          <w:lang w:val="en-AU"/>
        </w:rPr>
        <w:t>Heymann</w:t>
      </w:r>
      <w:proofErr w:type="spellEnd"/>
      <w:r w:rsidRPr="00900D6C">
        <w:rPr>
          <w:noProof w:val="0"/>
          <w:lang w:val="en-AU"/>
        </w:rPr>
        <w:t xml:space="preserve"> D. Control of Communicable Diseases Manual.</w:t>
      </w:r>
      <w:proofErr w:type="gramEnd"/>
      <w:r w:rsidRPr="00900D6C">
        <w:rPr>
          <w:noProof w:val="0"/>
          <w:lang w:val="en-AU"/>
        </w:rPr>
        <w:t xml:space="preserve"> 19th </w:t>
      </w:r>
      <w:proofErr w:type="spellStart"/>
      <w:r w:rsidRPr="00900D6C">
        <w:rPr>
          <w:noProof w:val="0"/>
          <w:lang w:val="en-AU"/>
        </w:rPr>
        <w:t>ed.Washington</w:t>
      </w:r>
      <w:proofErr w:type="spellEnd"/>
      <w:r w:rsidRPr="00900D6C">
        <w:rPr>
          <w:noProof w:val="0"/>
          <w:lang w:val="en-AU"/>
        </w:rPr>
        <w:t>, DC</w:t>
      </w:r>
    </w:p>
    <w:p w14:paraId="268C4FCE" w14:textId="77777777" w:rsidR="00BA01D7" w:rsidRDefault="00196AAD" w:rsidP="00EA19BA">
      <w:pPr>
        <w:pStyle w:val="EndNoteBibliography"/>
        <w:ind w:right="-46"/>
        <w:rPr>
          <w:noProof w:val="0"/>
          <w:lang w:val="en-AU"/>
        </w:rPr>
      </w:pPr>
      <w:proofErr w:type="gramStart"/>
      <w:r w:rsidRPr="00900D6C">
        <w:rPr>
          <w:noProof w:val="0"/>
          <w:lang w:val="en-AU"/>
        </w:rPr>
        <w:t xml:space="preserve">American Public Health Association; 2015 </w:t>
      </w:r>
      <w:proofErr w:type="spellStart"/>
      <w:r w:rsidRPr="00900D6C">
        <w:rPr>
          <w:noProof w:val="0"/>
          <w:lang w:val="en-AU"/>
        </w:rPr>
        <w:t>Heyman</w:t>
      </w:r>
      <w:proofErr w:type="spellEnd"/>
      <w:r w:rsidRPr="00900D6C">
        <w:rPr>
          <w:noProof w:val="0"/>
          <w:lang w:val="en-AU"/>
        </w:rPr>
        <w:t xml:space="preserve"> D (Ed).</w:t>
      </w:r>
      <w:proofErr w:type="gramEnd"/>
      <w:r w:rsidR="00BA01D7">
        <w:rPr>
          <w:noProof w:val="0"/>
          <w:lang w:val="en-AU"/>
        </w:rPr>
        <w:t xml:space="preserve"> </w:t>
      </w:r>
      <w:r w:rsidRPr="00900D6C">
        <w:rPr>
          <w:noProof w:val="0"/>
          <w:lang w:val="en-AU"/>
        </w:rPr>
        <w:t>2015.</w:t>
      </w:r>
      <w:bookmarkEnd w:id="10"/>
    </w:p>
    <w:p w14:paraId="39BB8F0C" w14:textId="44811195" w:rsidR="00196AAD" w:rsidRPr="00900D6C" w:rsidRDefault="00196AAD" w:rsidP="00EA19BA">
      <w:pPr>
        <w:pStyle w:val="EndNoteBibliography"/>
        <w:ind w:right="-46"/>
        <w:rPr>
          <w:noProof w:val="0"/>
          <w:lang w:val="en-AU"/>
        </w:rPr>
      </w:pPr>
      <w:bookmarkStart w:id="11" w:name="_ENREF_7"/>
      <w:r w:rsidRPr="00900D6C">
        <w:rPr>
          <w:noProof w:val="0"/>
          <w:lang w:val="en-AU"/>
        </w:rPr>
        <w:t>7.</w:t>
      </w:r>
      <w:r w:rsidRPr="00900D6C">
        <w:rPr>
          <w:noProof w:val="0"/>
          <w:lang w:val="en-AU"/>
        </w:rPr>
        <w:tab/>
        <w:t>Typhoid and Paratyphoid Reference Group (TPRG), Public health operational guidelines for typhoid and paratyphoid (enteric fever). 2012.</w:t>
      </w:r>
      <w:bookmarkEnd w:id="11"/>
    </w:p>
    <w:p w14:paraId="13792127" w14:textId="3FEB380A" w:rsidR="00196AAD" w:rsidRPr="00900D6C" w:rsidRDefault="00196AAD" w:rsidP="00EA19BA">
      <w:pPr>
        <w:pStyle w:val="EndNoteBibliography"/>
        <w:ind w:right="-46"/>
        <w:rPr>
          <w:noProof w:val="0"/>
          <w:lang w:val="en-AU"/>
        </w:rPr>
      </w:pPr>
      <w:bookmarkStart w:id="12" w:name="_ENREF_8"/>
      <w:r w:rsidRPr="00900D6C">
        <w:rPr>
          <w:noProof w:val="0"/>
          <w:lang w:val="en-AU"/>
        </w:rPr>
        <w:t>8.</w:t>
      </w:r>
      <w:r w:rsidRPr="00900D6C">
        <w:rPr>
          <w:noProof w:val="0"/>
          <w:lang w:val="en-AU"/>
        </w:rPr>
        <w:tab/>
        <w:t xml:space="preserve">Baker S, Holt KE, Clements AC, </w:t>
      </w:r>
      <w:proofErr w:type="spellStart"/>
      <w:r w:rsidRPr="00900D6C">
        <w:rPr>
          <w:noProof w:val="0"/>
          <w:lang w:val="en-AU"/>
        </w:rPr>
        <w:t>Karkey</w:t>
      </w:r>
      <w:proofErr w:type="spellEnd"/>
      <w:r w:rsidRPr="00900D6C">
        <w:rPr>
          <w:noProof w:val="0"/>
          <w:lang w:val="en-AU"/>
        </w:rPr>
        <w:t xml:space="preserve"> A, </w:t>
      </w:r>
      <w:proofErr w:type="spellStart"/>
      <w:r w:rsidRPr="00900D6C">
        <w:rPr>
          <w:noProof w:val="0"/>
          <w:lang w:val="en-AU"/>
        </w:rPr>
        <w:t>Arjyal</w:t>
      </w:r>
      <w:proofErr w:type="spellEnd"/>
      <w:r w:rsidRPr="00900D6C">
        <w:rPr>
          <w:noProof w:val="0"/>
          <w:lang w:val="en-AU"/>
        </w:rPr>
        <w:t xml:space="preserve"> A, </w:t>
      </w:r>
      <w:proofErr w:type="spellStart"/>
      <w:r w:rsidRPr="00900D6C">
        <w:rPr>
          <w:noProof w:val="0"/>
          <w:lang w:val="en-AU"/>
        </w:rPr>
        <w:t>Boni</w:t>
      </w:r>
      <w:proofErr w:type="spellEnd"/>
      <w:r w:rsidRPr="00900D6C">
        <w:rPr>
          <w:noProof w:val="0"/>
          <w:lang w:val="en-AU"/>
        </w:rPr>
        <w:t xml:space="preserve"> MF, et al. Combined high-resolution genotyping and geospatial analysis reveals modes of endemic urban typhoid fever transmission. Open Biology. 2011</w:t>
      </w:r>
      <w:proofErr w:type="gramStart"/>
      <w:r w:rsidRPr="00900D6C">
        <w:rPr>
          <w:noProof w:val="0"/>
          <w:lang w:val="en-AU"/>
        </w:rPr>
        <w:t>;1</w:t>
      </w:r>
      <w:proofErr w:type="gramEnd"/>
      <w:r w:rsidRPr="00900D6C">
        <w:rPr>
          <w:noProof w:val="0"/>
          <w:lang w:val="en-AU"/>
        </w:rPr>
        <w:t>(2):110008.</w:t>
      </w:r>
      <w:bookmarkEnd w:id="12"/>
    </w:p>
    <w:p w14:paraId="0AB0B473" w14:textId="4A39D339" w:rsidR="00196AAD" w:rsidRPr="00900D6C" w:rsidRDefault="00196AAD" w:rsidP="00EA19BA">
      <w:pPr>
        <w:pStyle w:val="EndNoteBibliography"/>
        <w:ind w:right="-46"/>
        <w:rPr>
          <w:noProof w:val="0"/>
          <w:lang w:val="en-AU"/>
        </w:rPr>
      </w:pPr>
      <w:bookmarkStart w:id="13" w:name="_ENREF_9"/>
      <w:r w:rsidRPr="00900D6C">
        <w:rPr>
          <w:noProof w:val="0"/>
          <w:lang w:val="en-AU"/>
        </w:rPr>
        <w:t>9.</w:t>
      </w:r>
      <w:r w:rsidRPr="00900D6C">
        <w:rPr>
          <w:noProof w:val="0"/>
          <w:lang w:val="en-AU"/>
        </w:rPr>
        <w:tab/>
        <w:t xml:space="preserve">Meltzer E, </w:t>
      </w:r>
      <w:proofErr w:type="spellStart"/>
      <w:r w:rsidRPr="00900D6C">
        <w:rPr>
          <w:noProof w:val="0"/>
          <w:lang w:val="en-AU"/>
        </w:rPr>
        <w:t>Stienlauf</w:t>
      </w:r>
      <w:proofErr w:type="spellEnd"/>
      <w:r w:rsidRPr="00900D6C">
        <w:rPr>
          <w:noProof w:val="0"/>
          <w:lang w:val="en-AU"/>
        </w:rPr>
        <w:t xml:space="preserve"> S, </w:t>
      </w:r>
      <w:proofErr w:type="spellStart"/>
      <w:r w:rsidRPr="00900D6C">
        <w:rPr>
          <w:noProof w:val="0"/>
          <w:lang w:val="en-AU"/>
        </w:rPr>
        <w:t>Leshem</w:t>
      </w:r>
      <w:proofErr w:type="spellEnd"/>
      <w:r w:rsidRPr="00900D6C">
        <w:rPr>
          <w:noProof w:val="0"/>
          <w:lang w:val="en-AU"/>
        </w:rPr>
        <w:t xml:space="preserve"> E, </w:t>
      </w:r>
      <w:proofErr w:type="spellStart"/>
      <w:r w:rsidRPr="00900D6C">
        <w:rPr>
          <w:noProof w:val="0"/>
          <w:lang w:val="en-AU"/>
        </w:rPr>
        <w:t>Sidi</w:t>
      </w:r>
      <w:proofErr w:type="spellEnd"/>
      <w:r w:rsidRPr="00900D6C">
        <w:rPr>
          <w:noProof w:val="0"/>
          <w:lang w:val="en-AU"/>
        </w:rPr>
        <w:t xml:space="preserve"> Y, Schwartz E. A large outbreak of Salmonella </w:t>
      </w:r>
      <w:proofErr w:type="spellStart"/>
      <w:r w:rsidRPr="00900D6C">
        <w:rPr>
          <w:noProof w:val="0"/>
          <w:lang w:val="en-AU"/>
        </w:rPr>
        <w:t>Paratyphi</w:t>
      </w:r>
      <w:proofErr w:type="spellEnd"/>
      <w:r w:rsidRPr="00900D6C">
        <w:rPr>
          <w:noProof w:val="0"/>
          <w:lang w:val="en-AU"/>
        </w:rPr>
        <w:t xml:space="preserve"> </w:t>
      </w:r>
      <w:proofErr w:type="gramStart"/>
      <w:r w:rsidRPr="00900D6C">
        <w:rPr>
          <w:noProof w:val="0"/>
          <w:lang w:val="en-AU"/>
        </w:rPr>
        <w:t>A</w:t>
      </w:r>
      <w:proofErr w:type="gramEnd"/>
      <w:r w:rsidRPr="00900D6C">
        <w:rPr>
          <w:noProof w:val="0"/>
          <w:lang w:val="en-AU"/>
        </w:rPr>
        <w:t xml:space="preserve"> infection among Israeli </w:t>
      </w:r>
      <w:proofErr w:type="spellStart"/>
      <w:r w:rsidRPr="00900D6C">
        <w:rPr>
          <w:noProof w:val="0"/>
          <w:lang w:val="en-AU"/>
        </w:rPr>
        <w:t>travelers</w:t>
      </w:r>
      <w:proofErr w:type="spellEnd"/>
      <w:r w:rsidRPr="00900D6C">
        <w:rPr>
          <w:noProof w:val="0"/>
          <w:lang w:val="en-AU"/>
        </w:rPr>
        <w:t xml:space="preserve"> to Nepal. </w:t>
      </w:r>
      <w:proofErr w:type="gramStart"/>
      <w:r w:rsidRPr="00900D6C">
        <w:rPr>
          <w:noProof w:val="0"/>
          <w:lang w:val="en-AU"/>
        </w:rPr>
        <w:t>Clinical Infectious Diseases.</w:t>
      </w:r>
      <w:proofErr w:type="gramEnd"/>
      <w:r w:rsidRPr="00900D6C">
        <w:rPr>
          <w:noProof w:val="0"/>
          <w:lang w:val="en-AU"/>
        </w:rPr>
        <w:t xml:space="preserve"> 2014</w:t>
      </w:r>
      <w:proofErr w:type="gramStart"/>
      <w:r w:rsidRPr="00900D6C">
        <w:rPr>
          <w:noProof w:val="0"/>
          <w:lang w:val="en-AU"/>
        </w:rPr>
        <w:t>;58</w:t>
      </w:r>
      <w:proofErr w:type="gramEnd"/>
      <w:r w:rsidRPr="00900D6C">
        <w:rPr>
          <w:noProof w:val="0"/>
          <w:lang w:val="en-AU"/>
        </w:rPr>
        <w:t>(3):359-64.</w:t>
      </w:r>
      <w:bookmarkEnd w:id="13"/>
    </w:p>
    <w:p w14:paraId="16920056" w14:textId="4767AE68" w:rsidR="00196AAD" w:rsidRPr="00900D6C" w:rsidRDefault="00196AAD" w:rsidP="00EA19BA">
      <w:pPr>
        <w:pStyle w:val="EndNoteBibliography"/>
        <w:ind w:right="-46"/>
        <w:rPr>
          <w:noProof w:val="0"/>
          <w:lang w:val="en-AU"/>
        </w:rPr>
      </w:pPr>
      <w:bookmarkStart w:id="14" w:name="_ENREF_10"/>
      <w:r w:rsidRPr="00900D6C">
        <w:rPr>
          <w:noProof w:val="0"/>
          <w:lang w:val="en-AU"/>
        </w:rPr>
        <w:t>10.</w:t>
      </w:r>
      <w:r w:rsidRPr="00900D6C">
        <w:rPr>
          <w:noProof w:val="0"/>
          <w:lang w:val="en-AU"/>
        </w:rPr>
        <w:tab/>
      </w:r>
      <w:proofErr w:type="spellStart"/>
      <w:r w:rsidRPr="00900D6C">
        <w:rPr>
          <w:noProof w:val="0"/>
          <w:lang w:val="en-AU"/>
        </w:rPr>
        <w:t>Ekdahl</w:t>
      </w:r>
      <w:proofErr w:type="spellEnd"/>
      <w:r w:rsidRPr="00900D6C">
        <w:rPr>
          <w:noProof w:val="0"/>
          <w:lang w:val="en-AU"/>
        </w:rPr>
        <w:t xml:space="preserve"> K, Jong B, </w:t>
      </w:r>
      <w:proofErr w:type="spellStart"/>
      <w:r w:rsidRPr="00900D6C">
        <w:rPr>
          <w:noProof w:val="0"/>
          <w:lang w:val="en-AU"/>
        </w:rPr>
        <w:t>Andersson</w:t>
      </w:r>
      <w:proofErr w:type="spellEnd"/>
      <w:r w:rsidRPr="00900D6C">
        <w:rPr>
          <w:noProof w:val="0"/>
          <w:lang w:val="en-AU"/>
        </w:rPr>
        <w:t xml:space="preserve"> Y. Risk of Travel</w:t>
      </w:r>
      <w:r w:rsidRPr="00900D6C">
        <w:rPr>
          <w:rFonts w:ascii="Cambria Math" w:hAnsi="Cambria Math" w:cs="Cambria Math"/>
          <w:noProof w:val="0"/>
          <w:lang w:val="en-AU"/>
        </w:rPr>
        <w:t>‐</w:t>
      </w:r>
      <w:r w:rsidRPr="00900D6C">
        <w:rPr>
          <w:noProof w:val="0"/>
          <w:lang w:val="en-AU"/>
        </w:rPr>
        <w:t xml:space="preserve">Associated Typhoid and Paratyphoid Fevers in Various Regions. </w:t>
      </w:r>
      <w:proofErr w:type="gramStart"/>
      <w:r w:rsidRPr="00900D6C">
        <w:rPr>
          <w:noProof w:val="0"/>
          <w:lang w:val="en-AU"/>
        </w:rPr>
        <w:t>Journal of Travel Medicine.</w:t>
      </w:r>
      <w:proofErr w:type="gramEnd"/>
      <w:r w:rsidRPr="00900D6C">
        <w:rPr>
          <w:noProof w:val="0"/>
          <w:lang w:val="en-AU"/>
        </w:rPr>
        <w:t xml:space="preserve"> 2005</w:t>
      </w:r>
      <w:proofErr w:type="gramStart"/>
      <w:r w:rsidRPr="00900D6C">
        <w:rPr>
          <w:noProof w:val="0"/>
          <w:lang w:val="en-AU"/>
        </w:rPr>
        <w:t>;12</w:t>
      </w:r>
      <w:proofErr w:type="gramEnd"/>
      <w:r w:rsidRPr="00900D6C">
        <w:rPr>
          <w:noProof w:val="0"/>
          <w:lang w:val="en-AU"/>
        </w:rPr>
        <w:t>(4):197-204.</w:t>
      </w:r>
      <w:bookmarkEnd w:id="14"/>
    </w:p>
    <w:p w14:paraId="20D51890" w14:textId="77777777" w:rsidR="00196AAD" w:rsidRPr="00900D6C" w:rsidRDefault="00196AAD" w:rsidP="00EA19BA">
      <w:pPr>
        <w:pStyle w:val="EndNoteBibliography"/>
        <w:ind w:right="-46"/>
        <w:rPr>
          <w:noProof w:val="0"/>
          <w:lang w:val="en-AU"/>
        </w:rPr>
      </w:pPr>
      <w:bookmarkStart w:id="15" w:name="_ENREF_11"/>
      <w:r w:rsidRPr="00900D6C">
        <w:rPr>
          <w:noProof w:val="0"/>
          <w:lang w:val="en-AU"/>
        </w:rPr>
        <w:t>11.</w:t>
      </w:r>
      <w:r w:rsidRPr="00900D6C">
        <w:rPr>
          <w:noProof w:val="0"/>
          <w:lang w:val="en-AU"/>
        </w:rPr>
        <w:tab/>
        <w:t xml:space="preserve">Katz DJ, Cruz MA, </w:t>
      </w:r>
      <w:proofErr w:type="spellStart"/>
      <w:r w:rsidRPr="00900D6C">
        <w:rPr>
          <w:noProof w:val="0"/>
          <w:lang w:val="en-AU"/>
        </w:rPr>
        <w:t>Trepka</w:t>
      </w:r>
      <w:proofErr w:type="spellEnd"/>
      <w:r w:rsidRPr="00900D6C">
        <w:rPr>
          <w:noProof w:val="0"/>
          <w:lang w:val="en-AU"/>
        </w:rPr>
        <w:t xml:space="preserve"> MJ, Suarez JA, </w:t>
      </w:r>
      <w:proofErr w:type="spellStart"/>
      <w:r w:rsidRPr="00900D6C">
        <w:rPr>
          <w:noProof w:val="0"/>
          <w:lang w:val="en-AU"/>
        </w:rPr>
        <w:t>Fiorella</w:t>
      </w:r>
      <w:proofErr w:type="spellEnd"/>
      <w:r w:rsidRPr="00900D6C">
        <w:rPr>
          <w:noProof w:val="0"/>
          <w:lang w:val="en-AU"/>
        </w:rPr>
        <w:t xml:space="preserve"> PD, Hammond RM. An outbreak of typhoid fever in Florida associated with an imported frozen fruit. </w:t>
      </w:r>
      <w:proofErr w:type="gramStart"/>
      <w:r w:rsidRPr="00900D6C">
        <w:rPr>
          <w:noProof w:val="0"/>
          <w:lang w:val="en-AU"/>
        </w:rPr>
        <w:t>Journal of Infectious Diseases.</w:t>
      </w:r>
      <w:proofErr w:type="gramEnd"/>
      <w:r w:rsidRPr="00900D6C">
        <w:rPr>
          <w:noProof w:val="0"/>
          <w:lang w:val="en-AU"/>
        </w:rPr>
        <w:t xml:space="preserve"> 2002</w:t>
      </w:r>
      <w:proofErr w:type="gramStart"/>
      <w:r w:rsidRPr="00900D6C">
        <w:rPr>
          <w:noProof w:val="0"/>
          <w:lang w:val="en-AU"/>
        </w:rPr>
        <w:t>;186</w:t>
      </w:r>
      <w:proofErr w:type="gramEnd"/>
      <w:r w:rsidRPr="00900D6C">
        <w:rPr>
          <w:noProof w:val="0"/>
          <w:lang w:val="en-AU"/>
        </w:rPr>
        <w:t>(2):234-9.</w:t>
      </w:r>
      <w:bookmarkEnd w:id="15"/>
    </w:p>
    <w:p w14:paraId="0F67579A" w14:textId="0BAD504D" w:rsidR="00196AAD" w:rsidRPr="00900D6C" w:rsidRDefault="00196AAD" w:rsidP="00EA19BA">
      <w:pPr>
        <w:pStyle w:val="EndNoteBibliography"/>
        <w:ind w:right="-46"/>
        <w:rPr>
          <w:noProof w:val="0"/>
          <w:lang w:val="en-AU"/>
        </w:rPr>
      </w:pPr>
      <w:bookmarkStart w:id="16" w:name="_ENREF_12"/>
      <w:r w:rsidRPr="00900D6C">
        <w:rPr>
          <w:noProof w:val="0"/>
          <w:lang w:val="en-AU"/>
        </w:rPr>
        <w:t>12.</w:t>
      </w:r>
      <w:r w:rsidRPr="00900D6C">
        <w:rPr>
          <w:noProof w:val="0"/>
          <w:lang w:val="en-AU"/>
        </w:rPr>
        <w:tab/>
      </w:r>
      <w:r w:rsidRPr="004A57BC">
        <w:rPr>
          <w:noProof w:val="0"/>
          <w:lang w:val="en-AU"/>
        </w:rPr>
        <w:t>World Health Organization, Background document: the diagnosis, treatment and prevention of typhoid fever 2003</w:t>
      </w:r>
      <w:r w:rsidRPr="00900D6C">
        <w:rPr>
          <w:noProof w:val="0"/>
          <w:lang w:val="en-AU"/>
        </w:rPr>
        <w:t xml:space="preserve">. </w:t>
      </w:r>
      <w:r w:rsidR="0079085A">
        <w:rPr>
          <w:noProof w:val="0"/>
          <w:lang w:val="en-AU"/>
        </w:rPr>
        <w:t>(</w:t>
      </w:r>
      <w:r w:rsidRPr="0079085A">
        <w:rPr>
          <w:noProof w:val="0"/>
          <w:lang w:val="en-AU"/>
        </w:rPr>
        <w:t>http://www.who.int/rpc/TFGuideWHO.pdf</w:t>
      </w:r>
      <w:r w:rsidR="0079085A" w:rsidRPr="0079085A">
        <w:t>)</w:t>
      </w:r>
      <w:r w:rsidRPr="00900D6C">
        <w:rPr>
          <w:noProof w:val="0"/>
          <w:lang w:val="en-AU"/>
        </w:rPr>
        <w:t>.</w:t>
      </w:r>
      <w:bookmarkEnd w:id="16"/>
    </w:p>
    <w:p w14:paraId="114A64A0" w14:textId="77777777" w:rsidR="00196AAD" w:rsidRPr="00900D6C" w:rsidRDefault="00196AAD" w:rsidP="00EA19BA">
      <w:pPr>
        <w:pStyle w:val="EndNoteBibliography"/>
        <w:ind w:right="-46"/>
        <w:rPr>
          <w:noProof w:val="0"/>
          <w:lang w:val="en-AU"/>
        </w:rPr>
      </w:pPr>
      <w:bookmarkStart w:id="17" w:name="_ENREF_13"/>
      <w:r w:rsidRPr="00900D6C">
        <w:rPr>
          <w:noProof w:val="0"/>
          <w:lang w:val="en-AU"/>
        </w:rPr>
        <w:t>13.</w:t>
      </w:r>
      <w:r w:rsidRPr="00900D6C">
        <w:rPr>
          <w:noProof w:val="0"/>
          <w:lang w:val="en-AU"/>
        </w:rPr>
        <w:tab/>
      </w:r>
      <w:proofErr w:type="spellStart"/>
      <w:r w:rsidRPr="00900D6C">
        <w:rPr>
          <w:noProof w:val="0"/>
          <w:lang w:val="en-AU"/>
        </w:rPr>
        <w:t>Bhan</w:t>
      </w:r>
      <w:proofErr w:type="spellEnd"/>
      <w:r w:rsidRPr="00900D6C">
        <w:rPr>
          <w:noProof w:val="0"/>
          <w:lang w:val="en-AU"/>
        </w:rPr>
        <w:t xml:space="preserve"> M, </w:t>
      </w:r>
      <w:proofErr w:type="spellStart"/>
      <w:r w:rsidRPr="00900D6C">
        <w:rPr>
          <w:noProof w:val="0"/>
          <w:lang w:val="en-AU"/>
        </w:rPr>
        <w:t>Bahl</w:t>
      </w:r>
      <w:proofErr w:type="spellEnd"/>
      <w:r w:rsidRPr="00900D6C">
        <w:rPr>
          <w:noProof w:val="0"/>
          <w:lang w:val="en-AU"/>
        </w:rPr>
        <w:t xml:space="preserve"> R, </w:t>
      </w:r>
      <w:proofErr w:type="spellStart"/>
      <w:r w:rsidRPr="00900D6C">
        <w:rPr>
          <w:noProof w:val="0"/>
          <w:lang w:val="en-AU"/>
        </w:rPr>
        <w:t>Bhatnagar</w:t>
      </w:r>
      <w:proofErr w:type="spellEnd"/>
      <w:r w:rsidRPr="00900D6C">
        <w:rPr>
          <w:noProof w:val="0"/>
          <w:lang w:val="en-AU"/>
        </w:rPr>
        <w:t xml:space="preserve"> S. Typhoid and paratyphoid fever. </w:t>
      </w:r>
      <w:proofErr w:type="gramStart"/>
      <w:r w:rsidRPr="00900D6C">
        <w:rPr>
          <w:noProof w:val="0"/>
          <w:lang w:val="en-AU"/>
        </w:rPr>
        <w:t>The Lancet.</w:t>
      </w:r>
      <w:proofErr w:type="gramEnd"/>
      <w:r w:rsidRPr="00900D6C">
        <w:rPr>
          <w:noProof w:val="0"/>
          <w:lang w:val="en-AU"/>
        </w:rPr>
        <w:t xml:space="preserve"> 2005</w:t>
      </w:r>
      <w:proofErr w:type="gramStart"/>
      <w:r w:rsidRPr="00900D6C">
        <w:rPr>
          <w:noProof w:val="0"/>
          <w:lang w:val="en-AU"/>
        </w:rPr>
        <w:t>;366</w:t>
      </w:r>
      <w:proofErr w:type="gramEnd"/>
      <w:r w:rsidRPr="00900D6C">
        <w:rPr>
          <w:noProof w:val="0"/>
          <w:lang w:val="en-AU"/>
        </w:rPr>
        <w:t>(9487):749-62.</w:t>
      </w:r>
      <w:bookmarkEnd w:id="17"/>
    </w:p>
    <w:p w14:paraId="43555484" w14:textId="1A019FBF" w:rsidR="00196AAD" w:rsidRPr="00900D6C" w:rsidRDefault="00196AAD" w:rsidP="00EA19BA">
      <w:pPr>
        <w:ind w:right="-46"/>
      </w:pPr>
      <w:bookmarkStart w:id="18" w:name="_ENREF_14"/>
      <w:r w:rsidRPr="00900D6C">
        <w:t>14.</w:t>
      </w:r>
      <w:r w:rsidRPr="00900D6C">
        <w:tab/>
        <w:t xml:space="preserve">Crump J, Ram P, Gupta S, Miller M, </w:t>
      </w:r>
      <w:proofErr w:type="spellStart"/>
      <w:proofErr w:type="gramStart"/>
      <w:r w:rsidRPr="00900D6C">
        <w:t>Mintz</w:t>
      </w:r>
      <w:proofErr w:type="spellEnd"/>
      <w:proofErr w:type="gramEnd"/>
      <w:r w:rsidRPr="00900D6C">
        <w:t xml:space="preserve"> E. Part I. Analysis of data gaps pertaining to Salmonella </w:t>
      </w:r>
      <w:proofErr w:type="spellStart"/>
      <w:r w:rsidRPr="00900D6C">
        <w:t>enterica</w:t>
      </w:r>
      <w:proofErr w:type="spellEnd"/>
      <w:r w:rsidRPr="00900D6C">
        <w:t xml:space="preserve"> serotype </w:t>
      </w:r>
      <w:proofErr w:type="spellStart"/>
      <w:r w:rsidRPr="00900D6C">
        <w:t>Typhi</w:t>
      </w:r>
      <w:proofErr w:type="spellEnd"/>
      <w:r w:rsidRPr="00900D6C">
        <w:t xml:space="preserve"> infections in low and medium human development index countries, 1984–2005. </w:t>
      </w:r>
      <w:proofErr w:type="gramStart"/>
      <w:r w:rsidRPr="00900D6C">
        <w:t>Epidemiology and Infection.</w:t>
      </w:r>
      <w:proofErr w:type="gramEnd"/>
      <w:r w:rsidRPr="00900D6C">
        <w:t xml:space="preserve"> 2008</w:t>
      </w:r>
      <w:proofErr w:type="gramStart"/>
      <w:r w:rsidRPr="00900D6C">
        <w:t>;136</w:t>
      </w:r>
      <w:proofErr w:type="gramEnd"/>
      <w:r w:rsidRPr="00900D6C">
        <w:t>(04):436-48.</w:t>
      </w:r>
      <w:bookmarkEnd w:id="18"/>
    </w:p>
    <w:p w14:paraId="64AB8DCE" w14:textId="206BE461" w:rsidR="00196AAD" w:rsidRPr="00900D6C" w:rsidRDefault="00196AAD" w:rsidP="00EA19BA">
      <w:pPr>
        <w:pStyle w:val="EndNoteBibliography"/>
        <w:ind w:right="-46"/>
        <w:rPr>
          <w:noProof w:val="0"/>
          <w:lang w:val="en-AU"/>
        </w:rPr>
      </w:pPr>
      <w:bookmarkStart w:id="19" w:name="_ENREF_15"/>
      <w:r w:rsidRPr="00900D6C">
        <w:rPr>
          <w:noProof w:val="0"/>
          <w:lang w:val="en-AU"/>
        </w:rPr>
        <w:t>15.</w:t>
      </w:r>
      <w:r w:rsidRPr="00900D6C">
        <w:rPr>
          <w:noProof w:val="0"/>
          <w:lang w:val="en-AU"/>
        </w:rPr>
        <w:tab/>
        <w:t xml:space="preserve">Patel TA, Armstrong M, Morris-Jones SD, Wright SG, Doherty T. Imported enteric fever: case series from the hospital for tropical diseases, London, United Kingdom. </w:t>
      </w:r>
      <w:proofErr w:type="gramStart"/>
      <w:r w:rsidRPr="00900D6C">
        <w:rPr>
          <w:noProof w:val="0"/>
          <w:lang w:val="en-AU"/>
        </w:rPr>
        <w:t>The American Journal of Tropical Medicine and Hygiene.</w:t>
      </w:r>
      <w:proofErr w:type="gramEnd"/>
      <w:r w:rsidRPr="00900D6C">
        <w:rPr>
          <w:noProof w:val="0"/>
          <w:lang w:val="en-AU"/>
        </w:rPr>
        <w:t xml:space="preserve"> 2010</w:t>
      </w:r>
      <w:proofErr w:type="gramStart"/>
      <w:r w:rsidRPr="00900D6C">
        <w:rPr>
          <w:noProof w:val="0"/>
          <w:lang w:val="en-AU"/>
        </w:rPr>
        <w:t>;82</w:t>
      </w:r>
      <w:proofErr w:type="gramEnd"/>
      <w:r w:rsidRPr="00900D6C">
        <w:rPr>
          <w:noProof w:val="0"/>
          <w:lang w:val="en-AU"/>
        </w:rPr>
        <w:t>(6):1121-6.</w:t>
      </w:r>
      <w:bookmarkEnd w:id="19"/>
    </w:p>
    <w:p w14:paraId="7C61FD64" w14:textId="77777777" w:rsidR="00196AAD" w:rsidRPr="00900D6C" w:rsidRDefault="00196AAD" w:rsidP="00EA19BA">
      <w:pPr>
        <w:pStyle w:val="EndNoteBibliography"/>
        <w:ind w:right="-46"/>
        <w:rPr>
          <w:noProof w:val="0"/>
          <w:lang w:val="en-AU"/>
        </w:rPr>
      </w:pPr>
      <w:bookmarkStart w:id="20" w:name="_ENREF_16"/>
      <w:r w:rsidRPr="00900D6C">
        <w:rPr>
          <w:noProof w:val="0"/>
          <w:lang w:val="en-AU"/>
        </w:rPr>
        <w:t>16.</w:t>
      </w:r>
      <w:r w:rsidRPr="00900D6C">
        <w:rPr>
          <w:noProof w:val="0"/>
          <w:lang w:val="en-AU"/>
        </w:rPr>
        <w:tab/>
        <w:t xml:space="preserve">Gonzalez-Escobedo G, Marshall JM, Gunn JS. Chronic and acute infection of the gall bladder by Salmonella </w:t>
      </w:r>
      <w:proofErr w:type="spellStart"/>
      <w:r w:rsidRPr="00900D6C">
        <w:rPr>
          <w:noProof w:val="0"/>
          <w:lang w:val="en-AU"/>
        </w:rPr>
        <w:t>Typhi</w:t>
      </w:r>
      <w:proofErr w:type="spellEnd"/>
      <w:r w:rsidRPr="00900D6C">
        <w:rPr>
          <w:noProof w:val="0"/>
          <w:lang w:val="en-AU"/>
        </w:rPr>
        <w:t xml:space="preserve">: understanding the carrier state. </w:t>
      </w:r>
      <w:proofErr w:type="gramStart"/>
      <w:r w:rsidRPr="00900D6C">
        <w:rPr>
          <w:noProof w:val="0"/>
          <w:lang w:val="en-AU"/>
        </w:rPr>
        <w:t>Nature Reviews Microbiology.</w:t>
      </w:r>
      <w:proofErr w:type="gramEnd"/>
      <w:r w:rsidRPr="00900D6C">
        <w:rPr>
          <w:noProof w:val="0"/>
          <w:lang w:val="en-AU"/>
        </w:rPr>
        <w:t xml:space="preserve"> 2011</w:t>
      </w:r>
      <w:proofErr w:type="gramStart"/>
      <w:r w:rsidRPr="00900D6C">
        <w:rPr>
          <w:noProof w:val="0"/>
          <w:lang w:val="en-AU"/>
        </w:rPr>
        <w:t>;9</w:t>
      </w:r>
      <w:proofErr w:type="gramEnd"/>
      <w:r w:rsidRPr="00900D6C">
        <w:rPr>
          <w:noProof w:val="0"/>
          <w:lang w:val="en-AU"/>
        </w:rPr>
        <w:t>(1):9-14.</w:t>
      </w:r>
      <w:bookmarkEnd w:id="20"/>
    </w:p>
    <w:p w14:paraId="5E5B505D" w14:textId="08FC5D14" w:rsidR="00196AAD" w:rsidRPr="00900D6C" w:rsidRDefault="00196AAD" w:rsidP="00EA19BA">
      <w:pPr>
        <w:pStyle w:val="EndNoteBibliography"/>
        <w:ind w:right="-46"/>
        <w:rPr>
          <w:noProof w:val="0"/>
          <w:lang w:val="en-AU"/>
        </w:rPr>
      </w:pPr>
      <w:bookmarkStart w:id="21" w:name="_ENREF_17"/>
      <w:r w:rsidRPr="00900D6C">
        <w:rPr>
          <w:noProof w:val="0"/>
          <w:lang w:val="en-AU"/>
        </w:rPr>
        <w:t>17.</w:t>
      </w:r>
      <w:r w:rsidRPr="00900D6C">
        <w:rPr>
          <w:noProof w:val="0"/>
          <w:lang w:val="en-AU"/>
        </w:rPr>
        <w:tab/>
        <w:t xml:space="preserve">Parry CM HT, </w:t>
      </w:r>
      <w:proofErr w:type="spellStart"/>
      <w:r w:rsidRPr="00900D6C">
        <w:rPr>
          <w:noProof w:val="0"/>
          <w:lang w:val="en-AU"/>
        </w:rPr>
        <w:t>Dougan</w:t>
      </w:r>
      <w:proofErr w:type="spellEnd"/>
      <w:r w:rsidRPr="00900D6C">
        <w:rPr>
          <w:noProof w:val="0"/>
          <w:lang w:val="en-AU"/>
        </w:rPr>
        <w:t xml:space="preserve"> G, White NJ, Farrar JJ. </w:t>
      </w:r>
      <w:proofErr w:type="gramStart"/>
      <w:r w:rsidRPr="00900D6C">
        <w:rPr>
          <w:noProof w:val="0"/>
          <w:lang w:val="en-AU"/>
        </w:rPr>
        <w:t>Typhoid fever.</w:t>
      </w:r>
      <w:proofErr w:type="gramEnd"/>
      <w:r w:rsidRPr="00900D6C">
        <w:rPr>
          <w:noProof w:val="0"/>
          <w:lang w:val="en-AU"/>
        </w:rPr>
        <w:t xml:space="preserve"> N </w:t>
      </w:r>
      <w:proofErr w:type="spellStart"/>
      <w:r w:rsidRPr="00900D6C">
        <w:rPr>
          <w:noProof w:val="0"/>
          <w:lang w:val="en-AU"/>
        </w:rPr>
        <w:t>Engl</w:t>
      </w:r>
      <w:proofErr w:type="spellEnd"/>
      <w:r w:rsidRPr="00900D6C">
        <w:rPr>
          <w:noProof w:val="0"/>
          <w:lang w:val="en-AU"/>
        </w:rPr>
        <w:t xml:space="preserve"> J Med 2002</w:t>
      </w:r>
      <w:proofErr w:type="gramStart"/>
      <w:r w:rsidRPr="00900D6C">
        <w:rPr>
          <w:noProof w:val="0"/>
          <w:lang w:val="en-AU"/>
        </w:rPr>
        <w:t>;347:1770</w:t>
      </w:r>
      <w:proofErr w:type="gramEnd"/>
      <w:r w:rsidRPr="00900D6C">
        <w:rPr>
          <w:noProof w:val="0"/>
          <w:lang w:val="en-AU"/>
        </w:rPr>
        <w:t>−82.</w:t>
      </w:r>
      <w:bookmarkEnd w:id="21"/>
    </w:p>
    <w:p w14:paraId="369B7EC0" w14:textId="77777777" w:rsidR="00196AAD" w:rsidRPr="00900D6C" w:rsidRDefault="00196AAD" w:rsidP="00EA19BA">
      <w:pPr>
        <w:pStyle w:val="EndNoteBibliography"/>
        <w:ind w:right="-46"/>
        <w:rPr>
          <w:noProof w:val="0"/>
          <w:lang w:val="en-AU"/>
        </w:rPr>
      </w:pPr>
      <w:bookmarkStart w:id="22" w:name="_ENREF_18"/>
      <w:r w:rsidRPr="00900D6C">
        <w:rPr>
          <w:noProof w:val="0"/>
          <w:lang w:val="en-AU"/>
        </w:rPr>
        <w:t>18.</w:t>
      </w:r>
      <w:r w:rsidRPr="00900D6C">
        <w:rPr>
          <w:noProof w:val="0"/>
          <w:lang w:val="en-AU"/>
        </w:rPr>
        <w:tab/>
        <w:t xml:space="preserve">Parry CM, Thompson C, </w:t>
      </w:r>
      <w:proofErr w:type="spellStart"/>
      <w:r w:rsidRPr="00900D6C">
        <w:rPr>
          <w:noProof w:val="0"/>
          <w:lang w:val="en-AU"/>
        </w:rPr>
        <w:t>Vinh</w:t>
      </w:r>
      <w:proofErr w:type="spellEnd"/>
      <w:r w:rsidRPr="00900D6C">
        <w:rPr>
          <w:noProof w:val="0"/>
          <w:lang w:val="en-AU"/>
        </w:rPr>
        <w:t xml:space="preserve"> H, </w:t>
      </w:r>
      <w:proofErr w:type="spellStart"/>
      <w:r w:rsidRPr="00900D6C">
        <w:rPr>
          <w:noProof w:val="0"/>
          <w:lang w:val="en-AU"/>
        </w:rPr>
        <w:t>Chinh</w:t>
      </w:r>
      <w:proofErr w:type="spellEnd"/>
      <w:r w:rsidRPr="00900D6C">
        <w:rPr>
          <w:noProof w:val="0"/>
          <w:lang w:val="en-AU"/>
        </w:rPr>
        <w:t xml:space="preserve"> NT, </w:t>
      </w:r>
      <w:proofErr w:type="spellStart"/>
      <w:r w:rsidRPr="00900D6C">
        <w:rPr>
          <w:noProof w:val="0"/>
          <w:lang w:val="en-AU"/>
        </w:rPr>
        <w:t>Ho</w:t>
      </w:r>
      <w:proofErr w:type="spellEnd"/>
      <w:r w:rsidRPr="00900D6C">
        <w:rPr>
          <w:noProof w:val="0"/>
          <w:lang w:val="en-AU"/>
        </w:rPr>
        <w:t xml:space="preserve"> VA, </w:t>
      </w:r>
      <w:proofErr w:type="spellStart"/>
      <w:r w:rsidRPr="00900D6C">
        <w:rPr>
          <w:noProof w:val="0"/>
          <w:lang w:val="en-AU"/>
        </w:rPr>
        <w:t>Hien</w:t>
      </w:r>
      <w:proofErr w:type="spellEnd"/>
      <w:r w:rsidRPr="00900D6C">
        <w:rPr>
          <w:noProof w:val="0"/>
          <w:lang w:val="en-AU"/>
        </w:rPr>
        <w:t xml:space="preserve"> TT, et al. Risk factors for the development of severe typhoid fever in Vietnam. </w:t>
      </w:r>
      <w:proofErr w:type="gramStart"/>
      <w:r w:rsidRPr="00900D6C">
        <w:rPr>
          <w:noProof w:val="0"/>
          <w:lang w:val="en-AU"/>
        </w:rPr>
        <w:t>BMC infectious diseases.</w:t>
      </w:r>
      <w:proofErr w:type="gramEnd"/>
      <w:r w:rsidRPr="00900D6C">
        <w:rPr>
          <w:noProof w:val="0"/>
          <w:lang w:val="en-AU"/>
        </w:rPr>
        <w:t xml:space="preserve"> 2014</w:t>
      </w:r>
      <w:proofErr w:type="gramStart"/>
      <w:r w:rsidRPr="00900D6C">
        <w:rPr>
          <w:noProof w:val="0"/>
          <w:lang w:val="en-AU"/>
        </w:rPr>
        <w:t>;14</w:t>
      </w:r>
      <w:proofErr w:type="gramEnd"/>
      <w:r w:rsidRPr="00900D6C">
        <w:rPr>
          <w:noProof w:val="0"/>
          <w:lang w:val="en-AU"/>
        </w:rPr>
        <w:t>(1):73.</w:t>
      </w:r>
      <w:bookmarkEnd w:id="22"/>
    </w:p>
    <w:p w14:paraId="54150DBE" w14:textId="77777777" w:rsidR="00196AAD" w:rsidRPr="00900D6C" w:rsidRDefault="00196AAD" w:rsidP="00EA19BA">
      <w:pPr>
        <w:pStyle w:val="EndNoteBibliography"/>
        <w:ind w:right="-46"/>
        <w:rPr>
          <w:noProof w:val="0"/>
          <w:lang w:val="en-AU"/>
        </w:rPr>
      </w:pPr>
      <w:bookmarkStart w:id="23" w:name="_ENREF_19"/>
      <w:r w:rsidRPr="00900D6C">
        <w:rPr>
          <w:noProof w:val="0"/>
          <w:lang w:val="en-AU"/>
        </w:rPr>
        <w:t>19.</w:t>
      </w:r>
      <w:r w:rsidRPr="00900D6C">
        <w:rPr>
          <w:noProof w:val="0"/>
          <w:lang w:val="en-AU"/>
        </w:rPr>
        <w:tab/>
        <w:t xml:space="preserve">Dave J, Millar M, </w:t>
      </w:r>
      <w:proofErr w:type="spellStart"/>
      <w:r w:rsidRPr="00900D6C">
        <w:rPr>
          <w:noProof w:val="0"/>
          <w:lang w:val="en-AU"/>
        </w:rPr>
        <w:t>Maxeiner</w:t>
      </w:r>
      <w:proofErr w:type="spellEnd"/>
      <w:r w:rsidRPr="00900D6C">
        <w:rPr>
          <w:noProof w:val="0"/>
          <w:lang w:val="en-AU"/>
        </w:rPr>
        <w:t xml:space="preserve"> H, Freedman J, Meade R, </w:t>
      </w:r>
      <w:proofErr w:type="spellStart"/>
      <w:r w:rsidRPr="00900D6C">
        <w:rPr>
          <w:noProof w:val="0"/>
          <w:lang w:val="en-AU"/>
        </w:rPr>
        <w:t>Rosmarin</w:t>
      </w:r>
      <w:proofErr w:type="spellEnd"/>
      <w:r w:rsidRPr="00900D6C">
        <w:rPr>
          <w:noProof w:val="0"/>
          <w:lang w:val="en-AU"/>
        </w:rPr>
        <w:t xml:space="preserve"> C, et al. East London experience with enteric fever 2007–2012. </w:t>
      </w:r>
      <w:proofErr w:type="spellStart"/>
      <w:proofErr w:type="gramStart"/>
      <w:r w:rsidRPr="00900D6C">
        <w:rPr>
          <w:noProof w:val="0"/>
          <w:lang w:val="en-AU"/>
        </w:rPr>
        <w:t>PloS</w:t>
      </w:r>
      <w:proofErr w:type="spellEnd"/>
      <w:r w:rsidRPr="00900D6C">
        <w:rPr>
          <w:noProof w:val="0"/>
          <w:lang w:val="en-AU"/>
        </w:rPr>
        <w:t xml:space="preserve"> one.</w:t>
      </w:r>
      <w:proofErr w:type="gramEnd"/>
      <w:r w:rsidRPr="00900D6C">
        <w:rPr>
          <w:noProof w:val="0"/>
          <w:lang w:val="en-AU"/>
        </w:rPr>
        <w:t xml:space="preserve"> 2014.</w:t>
      </w:r>
      <w:bookmarkEnd w:id="23"/>
    </w:p>
    <w:p w14:paraId="49BE89D3" w14:textId="77777777" w:rsidR="00196AAD" w:rsidRPr="00900D6C" w:rsidRDefault="00196AAD" w:rsidP="00EA19BA">
      <w:pPr>
        <w:pStyle w:val="EndNoteBibliography"/>
        <w:ind w:right="-46"/>
        <w:rPr>
          <w:noProof w:val="0"/>
          <w:lang w:val="en-AU"/>
        </w:rPr>
      </w:pPr>
      <w:bookmarkStart w:id="24" w:name="_ENREF_20"/>
      <w:r w:rsidRPr="00900D6C">
        <w:rPr>
          <w:noProof w:val="0"/>
          <w:lang w:val="en-AU"/>
        </w:rPr>
        <w:t>20.</w:t>
      </w:r>
      <w:r w:rsidRPr="00900D6C">
        <w:rPr>
          <w:noProof w:val="0"/>
          <w:lang w:val="en-AU"/>
        </w:rPr>
        <w:tab/>
        <w:t xml:space="preserve">Clark TW, </w:t>
      </w:r>
      <w:proofErr w:type="spellStart"/>
      <w:r w:rsidRPr="00900D6C">
        <w:rPr>
          <w:noProof w:val="0"/>
          <w:lang w:val="en-AU"/>
        </w:rPr>
        <w:t>Daneshvar</w:t>
      </w:r>
      <w:proofErr w:type="spellEnd"/>
      <w:r w:rsidRPr="00900D6C">
        <w:rPr>
          <w:noProof w:val="0"/>
          <w:lang w:val="en-AU"/>
        </w:rPr>
        <w:t xml:space="preserve"> C, </w:t>
      </w:r>
      <w:proofErr w:type="spellStart"/>
      <w:r w:rsidRPr="00900D6C">
        <w:rPr>
          <w:noProof w:val="0"/>
          <w:lang w:val="en-AU"/>
        </w:rPr>
        <w:t>Pareek</w:t>
      </w:r>
      <w:proofErr w:type="spellEnd"/>
      <w:r w:rsidRPr="00900D6C">
        <w:rPr>
          <w:noProof w:val="0"/>
          <w:lang w:val="en-AU"/>
        </w:rPr>
        <w:t xml:space="preserve"> M, </w:t>
      </w:r>
      <w:proofErr w:type="spellStart"/>
      <w:r w:rsidRPr="00900D6C">
        <w:rPr>
          <w:noProof w:val="0"/>
          <w:lang w:val="en-AU"/>
        </w:rPr>
        <w:t>Perera</w:t>
      </w:r>
      <w:proofErr w:type="spellEnd"/>
      <w:r w:rsidRPr="00900D6C">
        <w:rPr>
          <w:noProof w:val="0"/>
          <w:lang w:val="en-AU"/>
        </w:rPr>
        <w:t xml:space="preserve"> N, Stephenson I. Enteric fever in a UK regional infectious diseases unit: a 10 year retrospective review. </w:t>
      </w:r>
      <w:proofErr w:type="gramStart"/>
      <w:r w:rsidRPr="00900D6C">
        <w:rPr>
          <w:noProof w:val="0"/>
          <w:lang w:val="en-AU"/>
        </w:rPr>
        <w:t>Journal of Infection.</w:t>
      </w:r>
      <w:proofErr w:type="gramEnd"/>
      <w:r w:rsidRPr="00900D6C">
        <w:rPr>
          <w:noProof w:val="0"/>
          <w:lang w:val="en-AU"/>
        </w:rPr>
        <w:t xml:space="preserve"> 2010</w:t>
      </w:r>
      <w:proofErr w:type="gramStart"/>
      <w:r w:rsidRPr="00900D6C">
        <w:rPr>
          <w:noProof w:val="0"/>
          <w:lang w:val="en-AU"/>
        </w:rPr>
        <w:t>;60</w:t>
      </w:r>
      <w:proofErr w:type="gramEnd"/>
      <w:r w:rsidRPr="00900D6C">
        <w:rPr>
          <w:noProof w:val="0"/>
          <w:lang w:val="en-AU"/>
        </w:rPr>
        <w:t>(2):91-8.</w:t>
      </w:r>
      <w:bookmarkEnd w:id="24"/>
    </w:p>
    <w:p w14:paraId="155DBEDF" w14:textId="04790C52" w:rsidR="00196AAD" w:rsidRPr="00900D6C" w:rsidRDefault="00196AAD" w:rsidP="00EA19BA">
      <w:pPr>
        <w:pStyle w:val="EndNoteBibliography"/>
        <w:ind w:right="-46"/>
        <w:rPr>
          <w:noProof w:val="0"/>
          <w:lang w:val="en-AU"/>
        </w:rPr>
      </w:pPr>
      <w:bookmarkStart w:id="25" w:name="_ENREF_21"/>
      <w:r w:rsidRPr="00900D6C">
        <w:rPr>
          <w:noProof w:val="0"/>
          <w:lang w:val="en-AU"/>
        </w:rPr>
        <w:t>21.</w:t>
      </w:r>
      <w:r w:rsidRPr="00900D6C">
        <w:rPr>
          <w:noProof w:val="0"/>
          <w:lang w:val="en-AU"/>
        </w:rPr>
        <w:tab/>
        <w:t xml:space="preserve">Crump JA, </w:t>
      </w:r>
      <w:proofErr w:type="spellStart"/>
      <w:r w:rsidRPr="00900D6C">
        <w:rPr>
          <w:noProof w:val="0"/>
          <w:lang w:val="en-AU"/>
        </w:rPr>
        <w:t>Sjölund-Karlsson</w:t>
      </w:r>
      <w:proofErr w:type="spellEnd"/>
      <w:r w:rsidRPr="00900D6C">
        <w:rPr>
          <w:noProof w:val="0"/>
          <w:lang w:val="en-AU"/>
        </w:rPr>
        <w:t xml:space="preserve"> M, Gordon MA, Parry CM. Epidemiology, Clinical Presentation, Laboratory Diagnosis, Antimicrobial Resistance, and Antimicrobial Management of Invasive Salmonella Infections. </w:t>
      </w:r>
      <w:proofErr w:type="gramStart"/>
      <w:r w:rsidRPr="00900D6C">
        <w:rPr>
          <w:noProof w:val="0"/>
          <w:lang w:val="en-AU"/>
        </w:rPr>
        <w:t>Clinical Microbiology Reviews.</w:t>
      </w:r>
      <w:proofErr w:type="gramEnd"/>
      <w:r w:rsidRPr="00900D6C">
        <w:rPr>
          <w:noProof w:val="0"/>
          <w:lang w:val="en-AU"/>
        </w:rPr>
        <w:t xml:space="preserve"> 2015</w:t>
      </w:r>
      <w:proofErr w:type="gramStart"/>
      <w:r w:rsidRPr="00900D6C">
        <w:rPr>
          <w:noProof w:val="0"/>
          <w:lang w:val="en-AU"/>
        </w:rPr>
        <w:t>;28</w:t>
      </w:r>
      <w:proofErr w:type="gramEnd"/>
      <w:r w:rsidRPr="00900D6C">
        <w:rPr>
          <w:noProof w:val="0"/>
          <w:lang w:val="en-AU"/>
        </w:rPr>
        <w:t>(4):901-37.</w:t>
      </w:r>
      <w:bookmarkEnd w:id="25"/>
    </w:p>
    <w:p w14:paraId="6FF4D348" w14:textId="30FB6961" w:rsidR="00196AAD" w:rsidRPr="00900D6C" w:rsidRDefault="00196AAD" w:rsidP="00EA19BA">
      <w:pPr>
        <w:pStyle w:val="EndNoteBibliography"/>
        <w:ind w:right="-46"/>
        <w:rPr>
          <w:noProof w:val="0"/>
          <w:lang w:val="en-AU"/>
        </w:rPr>
      </w:pPr>
      <w:bookmarkStart w:id="26" w:name="_ENREF_22"/>
      <w:r w:rsidRPr="00900D6C">
        <w:rPr>
          <w:noProof w:val="0"/>
          <w:lang w:val="en-AU"/>
        </w:rPr>
        <w:t>22.</w:t>
      </w:r>
      <w:r w:rsidRPr="00900D6C">
        <w:rPr>
          <w:noProof w:val="0"/>
          <w:lang w:val="en-AU"/>
        </w:rPr>
        <w:tab/>
        <w:t xml:space="preserve">Gilman R, </w:t>
      </w:r>
      <w:proofErr w:type="spellStart"/>
      <w:r w:rsidRPr="00900D6C">
        <w:rPr>
          <w:noProof w:val="0"/>
          <w:lang w:val="en-AU"/>
        </w:rPr>
        <w:t>Hornick</w:t>
      </w:r>
      <w:proofErr w:type="spellEnd"/>
      <w:r w:rsidRPr="00900D6C">
        <w:rPr>
          <w:noProof w:val="0"/>
          <w:lang w:val="en-AU"/>
        </w:rPr>
        <w:t xml:space="preserve"> R, Woodward W, DuPont H, Snyder M, Levine M, et al. Evaluation of a UDP-glucose-4-epimeraseless mutant of Salmonella </w:t>
      </w:r>
      <w:proofErr w:type="spellStart"/>
      <w:r w:rsidRPr="00900D6C">
        <w:rPr>
          <w:noProof w:val="0"/>
          <w:lang w:val="en-AU"/>
        </w:rPr>
        <w:t>typhi</w:t>
      </w:r>
      <w:proofErr w:type="spellEnd"/>
      <w:r w:rsidRPr="00900D6C">
        <w:rPr>
          <w:noProof w:val="0"/>
          <w:lang w:val="en-AU"/>
        </w:rPr>
        <w:t xml:space="preserve"> as a live oral vaccine. </w:t>
      </w:r>
      <w:proofErr w:type="gramStart"/>
      <w:r w:rsidRPr="00900D6C">
        <w:rPr>
          <w:noProof w:val="0"/>
          <w:lang w:val="en-AU"/>
        </w:rPr>
        <w:t>Journal of Infectious Diseases.</w:t>
      </w:r>
      <w:proofErr w:type="gramEnd"/>
      <w:r w:rsidRPr="00900D6C">
        <w:rPr>
          <w:noProof w:val="0"/>
          <w:lang w:val="en-AU"/>
        </w:rPr>
        <w:t xml:space="preserve"> 1977</w:t>
      </w:r>
      <w:proofErr w:type="gramStart"/>
      <w:r w:rsidRPr="00900D6C">
        <w:rPr>
          <w:noProof w:val="0"/>
          <w:lang w:val="en-AU"/>
        </w:rPr>
        <w:t>;136</w:t>
      </w:r>
      <w:proofErr w:type="gramEnd"/>
      <w:r w:rsidRPr="00900D6C">
        <w:rPr>
          <w:noProof w:val="0"/>
          <w:lang w:val="en-AU"/>
        </w:rPr>
        <w:t>(6):717-23.</w:t>
      </w:r>
      <w:bookmarkEnd w:id="26"/>
    </w:p>
    <w:p w14:paraId="0E656C0D" w14:textId="49B95B52" w:rsidR="00196AAD" w:rsidRPr="00900D6C" w:rsidRDefault="00196AAD" w:rsidP="00EA19BA">
      <w:pPr>
        <w:pStyle w:val="EndNoteBibliography"/>
        <w:ind w:right="-46"/>
        <w:rPr>
          <w:noProof w:val="0"/>
          <w:lang w:val="en-AU"/>
        </w:rPr>
      </w:pPr>
      <w:bookmarkStart w:id="27" w:name="_ENREF_23"/>
      <w:r w:rsidRPr="00900D6C">
        <w:rPr>
          <w:noProof w:val="0"/>
          <w:lang w:val="en-AU"/>
        </w:rPr>
        <w:t>23.</w:t>
      </w:r>
      <w:r w:rsidRPr="00900D6C">
        <w:rPr>
          <w:noProof w:val="0"/>
          <w:lang w:val="en-AU"/>
        </w:rPr>
        <w:tab/>
      </w:r>
      <w:proofErr w:type="spellStart"/>
      <w:r w:rsidRPr="00900D6C">
        <w:rPr>
          <w:noProof w:val="0"/>
          <w:lang w:val="en-AU"/>
        </w:rPr>
        <w:t>Shpargel</w:t>
      </w:r>
      <w:proofErr w:type="spellEnd"/>
      <w:r w:rsidRPr="00900D6C">
        <w:rPr>
          <w:noProof w:val="0"/>
          <w:lang w:val="en-AU"/>
        </w:rPr>
        <w:t xml:space="preserve"> JS, </w:t>
      </w:r>
      <w:proofErr w:type="spellStart"/>
      <w:r w:rsidRPr="00900D6C">
        <w:rPr>
          <w:noProof w:val="0"/>
          <w:lang w:val="en-AU"/>
        </w:rPr>
        <w:t>Berardi</w:t>
      </w:r>
      <w:proofErr w:type="spellEnd"/>
      <w:r w:rsidRPr="00900D6C">
        <w:rPr>
          <w:noProof w:val="0"/>
          <w:lang w:val="en-AU"/>
        </w:rPr>
        <w:t xml:space="preserve"> RS, Lenz D. Salmonella </w:t>
      </w:r>
      <w:proofErr w:type="spellStart"/>
      <w:r w:rsidRPr="00900D6C">
        <w:rPr>
          <w:noProof w:val="0"/>
          <w:lang w:val="en-AU"/>
        </w:rPr>
        <w:t>Typhi</w:t>
      </w:r>
      <w:proofErr w:type="spellEnd"/>
      <w:r w:rsidRPr="00900D6C">
        <w:rPr>
          <w:noProof w:val="0"/>
          <w:lang w:val="en-AU"/>
        </w:rPr>
        <w:t xml:space="preserve"> carrier state 52 years after illness with typhoid fever: a case study. </w:t>
      </w:r>
      <w:proofErr w:type="gramStart"/>
      <w:r w:rsidRPr="00900D6C">
        <w:rPr>
          <w:noProof w:val="0"/>
          <w:lang w:val="en-AU"/>
        </w:rPr>
        <w:t>American Journal of Infection Control.</w:t>
      </w:r>
      <w:proofErr w:type="gramEnd"/>
      <w:r w:rsidRPr="00900D6C">
        <w:rPr>
          <w:noProof w:val="0"/>
          <w:lang w:val="en-AU"/>
        </w:rPr>
        <w:t xml:space="preserve"> 1985</w:t>
      </w:r>
      <w:proofErr w:type="gramStart"/>
      <w:r w:rsidRPr="00900D6C">
        <w:rPr>
          <w:noProof w:val="0"/>
          <w:lang w:val="en-AU"/>
        </w:rPr>
        <w:t>;13</w:t>
      </w:r>
      <w:proofErr w:type="gramEnd"/>
      <w:r w:rsidRPr="00900D6C">
        <w:rPr>
          <w:noProof w:val="0"/>
          <w:lang w:val="en-AU"/>
        </w:rPr>
        <w:t>(3):122-3.</w:t>
      </w:r>
      <w:bookmarkEnd w:id="27"/>
    </w:p>
    <w:p w14:paraId="01B9F1F2" w14:textId="63787D89" w:rsidR="00196AAD" w:rsidRPr="00900D6C" w:rsidRDefault="00196AAD" w:rsidP="00EA19BA">
      <w:pPr>
        <w:pStyle w:val="EndNoteBibliography"/>
        <w:ind w:right="-46"/>
        <w:rPr>
          <w:noProof w:val="0"/>
          <w:lang w:val="en-AU"/>
        </w:rPr>
      </w:pPr>
      <w:bookmarkStart w:id="28" w:name="_ENREF_24"/>
      <w:r w:rsidRPr="00900D6C">
        <w:rPr>
          <w:noProof w:val="0"/>
          <w:lang w:val="en-AU"/>
        </w:rPr>
        <w:t>24.</w:t>
      </w:r>
      <w:r w:rsidRPr="00900D6C">
        <w:rPr>
          <w:noProof w:val="0"/>
          <w:lang w:val="en-AU"/>
        </w:rPr>
        <w:tab/>
        <w:t xml:space="preserve">Malik AS. Complications of bacteriologically confirmed typhoid fever in children. </w:t>
      </w:r>
      <w:proofErr w:type="gramStart"/>
      <w:r w:rsidRPr="00900D6C">
        <w:rPr>
          <w:noProof w:val="0"/>
          <w:lang w:val="en-AU"/>
        </w:rPr>
        <w:t xml:space="preserve">Journal of Tropical </w:t>
      </w:r>
      <w:proofErr w:type="spellStart"/>
      <w:r w:rsidRPr="00900D6C">
        <w:rPr>
          <w:noProof w:val="0"/>
          <w:lang w:val="en-AU"/>
        </w:rPr>
        <w:t>Pediatrics</w:t>
      </w:r>
      <w:proofErr w:type="spellEnd"/>
      <w:r w:rsidRPr="00900D6C">
        <w:rPr>
          <w:noProof w:val="0"/>
          <w:lang w:val="en-AU"/>
        </w:rPr>
        <w:t>.</w:t>
      </w:r>
      <w:proofErr w:type="gramEnd"/>
      <w:r w:rsidRPr="00900D6C">
        <w:rPr>
          <w:noProof w:val="0"/>
          <w:lang w:val="en-AU"/>
        </w:rPr>
        <w:t xml:space="preserve"> 2002</w:t>
      </w:r>
      <w:proofErr w:type="gramStart"/>
      <w:r w:rsidRPr="00900D6C">
        <w:rPr>
          <w:noProof w:val="0"/>
          <w:lang w:val="en-AU"/>
        </w:rPr>
        <w:t>;48</w:t>
      </w:r>
      <w:proofErr w:type="gramEnd"/>
      <w:r w:rsidRPr="00900D6C">
        <w:rPr>
          <w:noProof w:val="0"/>
          <w:lang w:val="en-AU"/>
        </w:rPr>
        <w:t>(2):102-8.</w:t>
      </w:r>
      <w:bookmarkEnd w:id="28"/>
    </w:p>
    <w:p w14:paraId="5995716A" w14:textId="77777777" w:rsidR="00196AAD" w:rsidRPr="00900D6C" w:rsidRDefault="00196AAD" w:rsidP="00EA19BA">
      <w:pPr>
        <w:pStyle w:val="EndNoteBibliography"/>
        <w:ind w:right="-46"/>
        <w:rPr>
          <w:noProof w:val="0"/>
          <w:lang w:val="en-AU"/>
        </w:rPr>
      </w:pPr>
      <w:bookmarkStart w:id="29" w:name="_ENREF_25"/>
      <w:r w:rsidRPr="00900D6C">
        <w:rPr>
          <w:noProof w:val="0"/>
          <w:lang w:val="en-AU"/>
        </w:rPr>
        <w:t>25.</w:t>
      </w:r>
      <w:r w:rsidRPr="00900D6C">
        <w:rPr>
          <w:noProof w:val="0"/>
          <w:lang w:val="en-AU"/>
        </w:rPr>
        <w:tab/>
        <w:t xml:space="preserve">Samaras V, </w:t>
      </w:r>
      <w:proofErr w:type="spellStart"/>
      <w:r w:rsidRPr="00900D6C">
        <w:rPr>
          <w:noProof w:val="0"/>
          <w:lang w:val="en-AU"/>
        </w:rPr>
        <w:t>Rafailidis</w:t>
      </w:r>
      <w:proofErr w:type="spellEnd"/>
      <w:r w:rsidRPr="00900D6C">
        <w:rPr>
          <w:noProof w:val="0"/>
          <w:lang w:val="en-AU"/>
        </w:rPr>
        <w:t xml:space="preserve"> PI, </w:t>
      </w:r>
      <w:proofErr w:type="spellStart"/>
      <w:r w:rsidRPr="00900D6C">
        <w:rPr>
          <w:noProof w:val="0"/>
          <w:lang w:val="en-AU"/>
        </w:rPr>
        <w:t>Mourtzoukou</w:t>
      </w:r>
      <w:proofErr w:type="spellEnd"/>
      <w:r w:rsidRPr="00900D6C">
        <w:rPr>
          <w:noProof w:val="0"/>
          <w:lang w:val="en-AU"/>
        </w:rPr>
        <w:t xml:space="preserve"> EG, </w:t>
      </w:r>
      <w:proofErr w:type="spellStart"/>
      <w:r w:rsidRPr="00900D6C">
        <w:rPr>
          <w:noProof w:val="0"/>
          <w:lang w:val="en-AU"/>
        </w:rPr>
        <w:t>Peppas</w:t>
      </w:r>
      <w:proofErr w:type="spellEnd"/>
      <w:r w:rsidRPr="00900D6C">
        <w:rPr>
          <w:noProof w:val="0"/>
          <w:lang w:val="en-AU"/>
        </w:rPr>
        <w:t xml:space="preserve"> G, </w:t>
      </w:r>
      <w:proofErr w:type="spellStart"/>
      <w:r w:rsidRPr="00900D6C">
        <w:rPr>
          <w:noProof w:val="0"/>
          <w:lang w:val="en-AU"/>
        </w:rPr>
        <w:t>Falagas</w:t>
      </w:r>
      <w:proofErr w:type="spellEnd"/>
      <w:r w:rsidRPr="00900D6C">
        <w:rPr>
          <w:noProof w:val="0"/>
          <w:lang w:val="en-AU"/>
        </w:rPr>
        <w:t xml:space="preserve"> ME. Chronic bacterial and parasitic infections and cancer: a review. </w:t>
      </w:r>
      <w:proofErr w:type="gramStart"/>
      <w:r w:rsidRPr="00900D6C">
        <w:rPr>
          <w:noProof w:val="0"/>
          <w:lang w:val="en-AU"/>
        </w:rPr>
        <w:t>The Journal of Infection in Developing Countries.</w:t>
      </w:r>
      <w:proofErr w:type="gramEnd"/>
      <w:r w:rsidRPr="00900D6C">
        <w:rPr>
          <w:noProof w:val="0"/>
          <w:lang w:val="en-AU"/>
        </w:rPr>
        <w:t xml:space="preserve"> 2010</w:t>
      </w:r>
      <w:proofErr w:type="gramStart"/>
      <w:r w:rsidRPr="00900D6C">
        <w:rPr>
          <w:noProof w:val="0"/>
          <w:lang w:val="en-AU"/>
        </w:rPr>
        <w:t>;4</w:t>
      </w:r>
      <w:proofErr w:type="gramEnd"/>
      <w:r w:rsidRPr="00900D6C">
        <w:rPr>
          <w:noProof w:val="0"/>
          <w:lang w:val="en-AU"/>
        </w:rPr>
        <w:t>(05):267-81.</w:t>
      </w:r>
      <w:bookmarkEnd w:id="29"/>
    </w:p>
    <w:p w14:paraId="3C51AA1D" w14:textId="768AEEB1" w:rsidR="00196AAD" w:rsidRPr="00900D6C" w:rsidRDefault="00196AAD" w:rsidP="00EA19BA">
      <w:pPr>
        <w:pStyle w:val="EndNoteBibliography"/>
        <w:ind w:right="-46"/>
        <w:rPr>
          <w:noProof w:val="0"/>
          <w:lang w:val="en-AU"/>
        </w:rPr>
      </w:pPr>
      <w:bookmarkStart w:id="30" w:name="_ENREF_26"/>
      <w:r w:rsidRPr="00900D6C">
        <w:rPr>
          <w:noProof w:val="0"/>
          <w:lang w:val="en-AU"/>
        </w:rPr>
        <w:t>26.</w:t>
      </w:r>
      <w:r w:rsidRPr="00900D6C">
        <w:rPr>
          <w:noProof w:val="0"/>
          <w:lang w:val="en-AU"/>
        </w:rPr>
        <w:tab/>
        <w:t xml:space="preserve">Buckle GC, Walker CLF, Black RE. Typhoid fever and paratyphoid fever: Systematic review to estimate global morbidity and mortality for 2010. </w:t>
      </w:r>
      <w:proofErr w:type="gramStart"/>
      <w:r w:rsidRPr="00900D6C">
        <w:rPr>
          <w:noProof w:val="0"/>
          <w:lang w:val="en-AU"/>
        </w:rPr>
        <w:t>Journal of Global Health.</w:t>
      </w:r>
      <w:proofErr w:type="gramEnd"/>
      <w:r w:rsidRPr="00900D6C">
        <w:rPr>
          <w:noProof w:val="0"/>
          <w:lang w:val="en-AU"/>
        </w:rPr>
        <w:t xml:space="preserve"> 2012</w:t>
      </w:r>
      <w:proofErr w:type="gramStart"/>
      <w:r w:rsidRPr="00900D6C">
        <w:rPr>
          <w:noProof w:val="0"/>
          <w:lang w:val="en-AU"/>
        </w:rPr>
        <w:t>;2</w:t>
      </w:r>
      <w:proofErr w:type="gramEnd"/>
      <w:r w:rsidRPr="00900D6C">
        <w:rPr>
          <w:noProof w:val="0"/>
          <w:lang w:val="en-AU"/>
        </w:rPr>
        <w:t>(1).</w:t>
      </w:r>
      <w:bookmarkEnd w:id="30"/>
    </w:p>
    <w:p w14:paraId="778F9943" w14:textId="77777777" w:rsidR="00196AAD" w:rsidRPr="00900D6C" w:rsidRDefault="00196AAD" w:rsidP="00EA19BA">
      <w:pPr>
        <w:pStyle w:val="EndNoteBibliography"/>
        <w:ind w:right="-46"/>
        <w:rPr>
          <w:noProof w:val="0"/>
          <w:lang w:val="en-AU"/>
        </w:rPr>
      </w:pPr>
      <w:bookmarkStart w:id="31" w:name="_ENREF_27"/>
      <w:r w:rsidRPr="00900D6C">
        <w:rPr>
          <w:noProof w:val="0"/>
          <w:lang w:val="en-AU"/>
        </w:rPr>
        <w:t>27.</w:t>
      </w:r>
      <w:r w:rsidRPr="00900D6C">
        <w:rPr>
          <w:noProof w:val="0"/>
          <w:lang w:val="en-AU"/>
        </w:rPr>
        <w:tab/>
        <w:t xml:space="preserve">Connor BA, Schwartz E. Typhoid and paratyphoid fever in travellers. </w:t>
      </w:r>
      <w:proofErr w:type="gramStart"/>
      <w:r w:rsidRPr="00900D6C">
        <w:rPr>
          <w:noProof w:val="0"/>
          <w:lang w:val="en-AU"/>
        </w:rPr>
        <w:t>The Lancet infectious diseases.</w:t>
      </w:r>
      <w:proofErr w:type="gramEnd"/>
      <w:r w:rsidRPr="00900D6C">
        <w:rPr>
          <w:noProof w:val="0"/>
          <w:lang w:val="en-AU"/>
        </w:rPr>
        <w:t xml:space="preserve"> 2005</w:t>
      </w:r>
      <w:proofErr w:type="gramStart"/>
      <w:r w:rsidRPr="00900D6C">
        <w:rPr>
          <w:noProof w:val="0"/>
          <w:lang w:val="en-AU"/>
        </w:rPr>
        <w:t>;5</w:t>
      </w:r>
      <w:proofErr w:type="gramEnd"/>
      <w:r w:rsidRPr="00900D6C">
        <w:rPr>
          <w:noProof w:val="0"/>
          <w:lang w:val="en-AU"/>
        </w:rPr>
        <w:t>(10):623-8.</w:t>
      </w:r>
      <w:bookmarkEnd w:id="31"/>
    </w:p>
    <w:p w14:paraId="702098B7" w14:textId="77777777" w:rsidR="00196AAD" w:rsidRPr="00900D6C" w:rsidRDefault="00196AAD" w:rsidP="00EA19BA">
      <w:pPr>
        <w:pStyle w:val="EndNoteBibliography"/>
        <w:ind w:right="-46"/>
        <w:rPr>
          <w:noProof w:val="0"/>
          <w:lang w:val="en-AU"/>
        </w:rPr>
      </w:pPr>
      <w:bookmarkStart w:id="32" w:name="_ENREF_28"/>
      <w:r w:rsidRPr="00900D6C">
        <w:rPr>
          <w:noProof w:val="0"/>
          <w:lang w:val="en-AU"/>
        </w:rPr>
        <w:t>28.</w:t>
      </w:r>
      <w:r w:rsidRPr="00900D6C">
        <w:rPr>
          <w:noProof w:val="0"/>
          <w:lang w:val="en-AU"/>
        </w:rPr>
        <w:tab/>
      </w:r>
      <w:proofErr w:type="spellStart"/>
      <w:r w:rsidRPr="00900D6C">
        <w:rPr>
          <w:noProof w:val="0"/>
          <w:lang w:val="en-AU"/>
        </w:rPr>
        <w:t>Blackstock</w:t>
      </w:r>
      <w:proofErr w:type="spellEnd"/>
      <w:r w:rsidRPr="00900D6C">
        <w:rPr>
          <w:noProof w:val="0"/>
          <w:lang w:val="en-AU"/>
        </w:rPr>
        <w:t xml:space="preserve"> SJ, </w:t>
      </w:r>
      <w:proofErr w:type="spellStart"/>
      <w:r w:rsidRPr="00900D6C">
        <w:rPr>
          <w:noProof w:val="0"/>
          <w:lang w:val="en-AU"/>
        </w:rPr>
        <w:t>Sheppeard</w:t>
      </w:r>
      <w:proofErr w:type="spellEnd"/>
      <w:r w:rsidRPr="00900D6C">
        <w:rPr>
          <w:noProof w:val="0"/>
          <w:lang w:val="en-AU"/>
        </w:rPr>
        <w:t xml:space="preserve"> VK, Paterson JM, Ralph AP. Typhoid and paratyphoid fever in Western Sydney Local Health District, NSW, January–June 2011. </w:t>
      </w:r>
      <w:proofErr w:type="gramStart"/>
      <w:r w:rsidRPr="00900D6C">
        <w:rPr>
          <w:noProof w:val="0"/>
          <w:lang w:val="en-AU"/>
        </w:rPr>
        <w:t>New South Wales public health bulletin.</w:t>
      </w:r>
      <w:proofErr w:type="gramEnd"/>
      <w:r w:rsidRPr="00900D6C">
        <w:rPr>
          <w:noProof w:val="0"/>
          <w:lang w:val="en-AU"/>
        </w:rPr>
        <w:t xml:space="preserve"> 2012</w:t>
      </w:r>
      <w:proofErr w:type="gramStart"/>
      <w:r w:rsidRPr="00900D6C">
        <w:rPr>
          <w:noProof w:val="0"/>
          <w:lang w:val="en-AU"/>
        </w:rPr>
        <w:t>;23</w:t>
      </w:r>
      <w:proofErr w:type="gramEnd"/>
      <w:r w:rsidRPr="00900D6C">
        <w:rPr>
          <w:noProof w:val="0"/>
          <w:lang w:val="en-AU"/>
        </w:rPr>
        <w:t>(8):148-52.</w:t>
      </w:r>
      <w:bookmarkEnd w:id="32"/>
    </w:p>
    <w:p w14:paraId="3335D39C" w14:textId="7F0E0C8F" w:rsidR="00196AAD" w:rsidRPr="00900D6C" w:rsidRDefault="00196AAD" w:rsidP="00EA19BA">
      <w:pPr>
        <w:pStyle w:val="EndNoteBibliography"/>
        <w:ind w:right="-46"/>
        <w:rPr>
          <w:noProof w:val="0"/>
          <w:lang w:val="en-AU"/>
        </w:rPr>
      </w:pPr>
      <w:bookmarkStart w:id="33" w:name="_ENREF_29"/>
      <w:r w:rsidRPr="00900D6C">
        <w:rPr>
          <w:noProof w:val="0"/>
          <w:lang w:val="en-AU"/>
        </w:rPr>
        <w:t>29.</w:t>
      </w:r>
      <w:r w:rsidRPr="00900D6C">
        <w:rPr>
          <w:noProof w:val="0"/>
          <w:lang w:val="en-AU"/>
        </w:rPr>
        <w:tab/>
      </w:r>
      <w:proofErr w:type="spellStart"/>
      <w:r w:rsidRPr="00900D6C">
        <w:rPr>
          <w:noProof w:val="0"/>
          <w:lang w:val="en-AU"/>
        </w:rPr>
        <w:t>Ackers</w:t>
      </w:r>
      <w:proofErr w:type="spellEnd"/>
      <w:r w:rsidRPr="00900D6C">
        <w:rPr>
          <w:noProof w:val="0"/>
          <w:lang w:val="en-AU"/>
        </w:rPr>
        <w:t xml:space="preserve"> M-L, </w:t>
      </w:r>
      <w:proofErr w:type="spellStart"/>
      <w:r w:rsidRPr="00900D6C">
        <w:rPr>
          <w:noProof w:val="0"/>
          <w:lang w:val="en-AU"/>
        </w:rPr>
        <w:t>Puhr</w:t>
      </w:r>
      <w:proofErr w:type="spellEnd"/>
      <w:r w:rsidRPr="00900D6C">
        <w:rPr>
          <w:noProof w:val="0"/>
          <w:lang w:val="en-AU"/>
        </w:rPr>
        <w:t xml:space="preserve"> ND, </w:t>
      </w:r>
      <w:proofErr w:type="spellStart"/>
      <w:r w:rsidRPr="00900D6C">
        <w:rPr>
          <w:noProof w:val="0"/>
          <w:lang w:val="en-AU"/>
        </w:rPr>
        <w:t>Tauxe</w:t>
      </w:r>
      <w:proofErr w:type="spellEnd"/>
      <w:r w:rsidRPr="00900D6C">
        <w:rPr>
          <w:noProof w:val="0"/>
          <w:lang w:val="en-AU"/>
        </w:rPr>
        <w:t xml:space="preserve"> RV, </w:t>
      </w:r>
      <w:proofErr w:type="spellStart"/>
      <w:r w:rsidRPr="00900D6C">
        <w:rPr>
          <w:noProof w:val="0"/>
          <w:lang w:val="en-AU"/>
        </w:rPr>
        <w:t>Mintz</w:t>
      </w:r>
      <w:proofErr w:type="spellEnd"/>
      <w:r w:rsidRPr="00900D6C">
        <w:rPr>
          <w:noProof w:val="0"/>
          <w:lang w:val="en-AU"/>
        </w:rPr>
        <w:t xml:space="preserve"> ED. Laboratory-based surveillance of Salmonella serotype </w:t>
      </w:r>
      <w:proofErr w:type="spellStart"/>
      <w:r w:rsidRPr="00900D6C">
        <w:rPr>
          <w:noProof w:val="0"/>
          <w:lang w:val="en-AU"/>
        </w:rPr>
        <w:t>Typhi</w:t>
      </w:r>
      <w:proofErr w:type="spellEnd"/>
      <w:r w:rsidRPr="00900D6C">
        <w:rPr>
          <w:noProof w:val="0"/>
          <w:lang w:val="en-AU"/>
        </w:rPr>
        <w:t xml:space="preserve"> infections in the United States: antimicrobial resistance on the rise. </w:t>
      </w:r>
      <w:proofErr w:type="gramStart"/>
      <w:r w:rsidRPr="00900D6C">
        <w:rPr>
          <w:noProof w:val="0"/>
          <w:lang w:val="en-AU"/>
        </w:rPr>
        <w:t>JAMA.</w:t>
      </w:r>
      <w:proofErr w:type="gramEnd"/>
      <w:r w:rsidRPr="00900D6C">
        <w:rPr>
          <w:noProof w:val="0"/>
          <w:lang w:val="en-AU"/>
        </w:rPr>
        <w:t xml:space="preserve"> 2000</w:t>
      </w:r>
      <w:proofErr w:type="gramStart"/>
      <w:r w:rsidRPr="00900D6C">
        <w:rPr>
          <w:noProof w:val="0"/>
          <w:lang w:val="en-AU"/>
        </w:rPr>
        <w:t>;283</w:t>
      </w:r>
      <w:proofErr w:type="gramEnd"/>
      <w:r w:rsidRPr="00900D6C">
        <w:rPr>
          <w:noProof w:val="0"/>
          <w:lang w:val="en-AU"/>
        </w:rPr>
        <w:t>(20):2668-73.</w:t>
      </w:r>
      <w:bookmarkEnd w:id="33"/>
    </w:p>
    <w:p w14:paraId="327CE37A" w14:textId="77777777" w:rsidR="00196AAD" w:rsidRPr="00900D6C" w:rsidRDefault="00196AAD" w:rsidP="00EA19BA">
      <w:pPr>
        <w:pStyle w:val="EndNoteBibliography"/>
        <w:ind w:right="-46"/>
        <w:rPr>
          <w:noProof w:val="0"/>
          <w:lang w:val="en-AU"/>
        </w:rPr>
      </w:pPr>
      <w:bookmarkStart w:id="34" w:name="_ENREF_30"/>
      <w:r w:rsidRPr="00900D6C">
        <w:rPr>
          <w:noProof w:val="0"/>
          <w:lang w:val="en-AU"/>
        </w:rPr>
        <w:t>30.</w:t>
      </w:r>
      <w:r w:rsidRPr="00900D6C">
        <w:rPr>
          <w:noProof w:val="0"/>
          <w:lang w:val="en-AU"/>
        </w:rPr>
        <w:tab/>
      </w:r>
      <w:proofErr w:type="spellStart"/>
      <w:r w:rsidRPr="00900D6C">
        <w:rPr>
          <w:noProof w:val="0"/>
          <w:lang w:val="en-AU"/>
        </w:rPr>
        <w:t>Gunaratnam</w:t>
      </w:r>
      <w:proofErr w:type="spellEnd"/>
      <w:r w:rsidRPr="00900D6C">
        <w:rPr>
          <w:noProof w:val="0"/>
          <w:lang w:val="en-AU"/>
        </w:rPr>
        <w:t xml:space="preserve"> P, Tobin S, Seale H, </w:t>
      </w:r>
      <w:proofErr w:type="spellStart"/>
      <w:r w:rsidRPr="00900D6C">
        <w:rPr>
          <w:noProof w:val="0"/>
          <w:lang w:val="en-AU"/>
        </w:rPr>
        <w:t>Musto</w:t>
      </w:r>
      <w:proofErr w:type="spellEnd"/>
      <w:r w:rsidRPr="00900D6C">
        <w:rPr>
          <w:noProof w:val="0"/>
          <w:lang w:val="en-AU"/>
        </w:rPr>
        <w:t xml:space="preserve"> J. </w:t>
      </w:r>
      <w:proofErr w:type="spellStart"/>
      <w:r w:rsidRPr="00900D6C">
        <w:rPr>
          <w:noProof w:val="0"/>
          <w:lang w:val="en-AU"/>
        </w:rPr>
        <w:t>EpiReview</w:t>
      </w:r>
      <w:proofErr w:type="spellEnd"/>
      <w:r w:rsidRPr="00900D6C">
        <w:rPr>
          <w:noProof w:val="0"/>
          <w:lang w:val="en-AU"/>
        </w:rPr>
        <w:t xml:space="preserve">: Typhoid fever, NSW, 2005–2011. </w:t>
      </w:r>
      <w:proofErr w:type="gramStart"/>
      <w:r w:rsidRPr="00900D6C">
        <w:rPr>
          <w:noProof w:val="0"/>
          <w:lang w:val="en-AU"/>
        </w:rPr>
        <w:t>New South Wales public health bulletin.</w:t>
      </w:r>
      <w:proofErr w:type="gramEnd"/>
      <w:r w:rsidRPr="00900D6C">
        <w:rPr>
          <w:noProof w:val="0"/>
          <w:lang w:val="en-AU"/>
        </w:rPr>
        <w:t xml:space="preserve"> 2013</w:t>
      </w:r>
      <w:proofErr w:type="gramStart"/>
      <w:r w:rsidRPr="00900D6C">
        <w:rPr>
          <w:noProof w:val="0"/>
          <w:lang w:val="en-AU"/>
        </w:rPr>
        <w:t>;24</w:t>
      </w:r>
      <w:proofErr w:type="gramEnd"/>
      <w:r w:rsidRPr="00900D6C">
        <w:rPr>
          <w:noProof w:val="0"/>
          <w:lang w:val="en-AU"/>
        </w:rPr>
        <w:t>(2):87-91.</w:t>
      </w:r>
      <w:bookmarkEnd w:id="34"/>
    </w:p>
    <w:p w14:paraId="4F4DF986" w14:textId="77777777" w:rsidR="00196AAD" w:rsidRPr="00900D6C" w:rsidRDefault="00196AAD" w:rsidP="00EA19BA">
      <w:pPr>
        <w:pStyle w:val="EndNoteBibliography"/>
        <w:ind w:right="-46"/>
        <w:rPr>
          <w:noProof w:val="0"/>
          <w:lang w:val="en-AU"/>
        </w:rPr>
      </w:pPr>
      <w:bookmarkStart w:id="35" w:name="_ENREF_31"/>
      <w:r w:rsidRPr="00900D6C">
        <w:rPr>
          <w:noProof w:val="0"/>
          <w:lang w:val="en-AU"/>
        </w:rPr>
        <w:t>31.</w:t>
      </w:r>
      <w:r w:rsidRPr="00900D6C">
        <w:rPr>
          <w:noProof w:val="0"/>
          <w:lang w:val="en-AU"/>
        </w:rPr>
        <w:tab/>
      </w:r>
      <w:proofErr w:type="spellStart"/>
      <w:r w:rsidRPr="00900D6C">
        <w:rPr>
          <w:noProof w:val="0"/>
          <w:lang w:val="en-AU"/>
        </w:rPr>
        <w:t>Basnyat</w:t>
      </w:r>
      <w:proofErr w:type="spellEnd"/>
      <w:r w:rsidRPr="00900D6C">
        <w:rPr>
          <w:noProof w:val="0"/>
          <w:lang w:val="en-AU"/>
        </w:rPr>
        <w:t xml:space="preserve"> B, </w:t>
      </w:r>
      <w:proofErr w:type="spellStart"/>
      <w:r w:rsidRPr="00900D6C">
        <w:rPr>
          <w:noProof w:val="0"/>
          <w:lang w:val="en-AU"/>
        </w:rPr>
        <w:t>Maskey</w:t>
      </w:r>
      <w:proofErr w:type="spellEnd"/>
      <w:r w:rsidRPr="00900D6C">
        <w:rPr>
          <w:noProof w:val="0"/>
          <w:lang w:val="en-AU"/>
        </w:rPr>
        <w:t xml:space="preserve"> AP, Zimmerman MD, Murdoch DR. Enteric (typhoid) fever in </w:t>
      </w:r>
      <w:proofErr w:type="spellStart"/>
      <w:r w:rsidRPr="00900D6C">
        <w:rPr>
          <w:noProof w:val="0"/>
          <w:lang w:val="en-AU"/>
        </w:rPr>
        <w:t>travelers</w:t>
      </w:r>
      <w:proofErr w:type="spellEnd"/>
      <w:r w:rsidRPr="00900D6C">
        <w:rPr>
          <w:noProof w:val="0"/>
          <w:lang w:val="en-AU"/>
        </w:rPr>
        <w:t xml:space="preserve">. </w:t>
      </w:r>
      <w:proofErr w:type="gramStart"/>
      <w:r w:rsidRPr="00900D6C">
        <w:rPr>
          <w:noProof w:val="0"/>
          <w:lang w:val="en-AU"/>
        </w:rPr>
        <w:t>Clinical Infectious Diseases.</w:t>
      </w:r>
      <w:proofErr w:type="gramEnd"/>
      <w:r w:rsidRPr="00900D6C">
        <w:rPr>
          <w:noProof w:val="0"/>
          <w:lang w:val="en-AU"/>
        </w:rPr>
        <w:t xml:space="preserve"> 2005:1467-72.</w:t>
      </w:r>
      <w:bookmarkEnd w:id="35"/>
    </w:p>
    <w:p w14:paraId="5C199CAD" w14:textId="77777777" w:rsidR="00196AAD" w:rsidRPr="00900D6C" w:rsidRDefault="00196AAD" w:rsidP="00EA19BA">
      <w:pPr>
        <w:pStyle w:val="EndNoteBibliography"/>
        <w:ind w:right="-46"/>
        <w:rPr>
          <w:noProof w:val="0"/>
          <w:lang w:val="en-AU"/>
        </w:rPr>
      </w:pPr>
      <w:bookmarkStart w:id="36" w:name="_ENREF_32"/>
      <w:r w:rsidRPr="00900D6C">
        <w:rPr>
          <w:noProof w:val="0"/>
          <w:lang w:val="en-AU"/>
        </w:rPr>
        <w:t>32.</w:t>
      </w:r>
      <w:r w:rsidRPr="00900D6C">
        <w:rPr>
          <w:noProof w:val="0"/>
          <w:lang w:val="en-AU"/>
        </w:rPr>
        <w:tab/>
        <w:t xml:space="preserve">Lozano R, </w:t>
      </w:r>
      <w:proofErr w:type="spellStart"/>
      <w:r w:rsidRPr="00900D6C">
        <w:rPr>
          <w:noProof w:val="0"/>
          <w:lang w:val="en-AU"/>
        </w:rPr>
        <w:t>Naghavi</w:t>
      </w:r>
      <w:proofErr w:type="spellEnd"/>
      <w:r w:rsidRPr="00900D6C">
        <w:rPr>
          <w:noProof w:val="0"/>
          <w:lang w:val="en-AU"/>
        </w:rPr>
        <w:t xml:space="preserve"> M, Foreman K, Lim S, Shibuya K, </w:t>
      </w:r>
      <w:proofErr w:type="spellStart"/>
      <w:r w:rsidRPr="00900D6C">
        <w:rPr>
          <w:noProof w:val="0"/>
          <w:lang w:val="en-AU"/>
        </w:rPr>
        <w:t>Aboyans</w:t>
      </w:r>
      <w:proofErr w:type="spellEnd"/>
      <w:r w:rsidRPr="00900D6C">
        <w:rPr>
          <w:noProof w:val="0"/>
          <w:lang w:val="en-AU"/>
        </w:rPr>
        <w:t xml:space="preserve"> V, et al. Global and regional mortality from 235 causes of death for 20 age groups in 1990 and 2010: a systematic analysis for the Global Burden of Disease Study 2010. </w:t>
      </w:r>
      <w:proofErr w:type="gramStart"/>
      <w:r w:rsidRPr="00900D6C">
        <w:rPr>
          <w:noProof w:val="0"/>
          <w:lang w:val="en-AU"/>
        </w:rPr>
        <w:t>The Lancet.</w:t>
      </w:r>
      <w:proofErr w:type="gramEnd"/>
      <w:r w:rsidRPr="00900D6C">
        <w:rPr>
          <w:noProof w:val="0"/>
          <w:lang w:val="en-AU"/>
        </w:rPr>
        <w:t xml:space="preserve"> 2013</w:t>
      </w:r>
      <w:proofErr w:type="gramStart"/>
      <w:r w:rsidRPr="00900D6C">
        <w:rPr>
          <w:noProof w:val="0"/>
          <w:lang w:val="en-AU"/>
        </w:rPr>
        <w:t>;380</w:t>
      </w:r>
      <w:proofErr w:type="gramEnd"/>
      <w:r w:rsidRPr="00900D6C">
        <w:rPr>
          <w:noProof w:val="0"/>
          <w:lang w:val="en-AU"/>
        </w:rPr>
        <w:t>(9859):2095-128.</w:t>
      </w:r>
      <w:bookmarkEnd w:id="36"/>
    </w:p>
    <w:p w14:paraId="51372E3A" w14:textId="288403A4" w:rsidR="00196AAD" w:rsidRPr="00900D6C" w:rsidRDefault="00196AAD" w:rsidP="00EA19BA">
      <w:pPr>
        <w:pStyle w:val="EndNoteBibliography"/>
        <w:ind w:right="-46"/>
        <w:rPr>
          <w:noProof w:val="0"/>
          <w:lang w:val="en-AU"/>
        </w:rPr>
      </w:pPr>
      <w:bookmarkStart w:id="37" w:name="_ENREF_33"/>
      <w:r w:rsidRPr="00900D6C">
        <w:rPr>
          <w:noProof w:val="0"/>
          <w:lang w:val="en-AU"/>
        </w:rPr>
        <w:t>33.</w:t>
      </w:r>
      <w:r w:rsidRPr="00900D6C">
        <w:rPr>
          <w:noProof w:val="0"/>
          <w:lang w:val="en-AU"/>
        </w:rPr>
        <w:tab/>
        <w:t xml:space="preserve">Murray CJ, </w:t>
      </w:r>
      <w:proofErr w:type="spellStart"/>
      <w:r w:rsidRPr="00900D6C">
        <w:rPr>
          <w:noProof w:val="0"/>
          <w:lang w:val="en-AU"/>
        </w:rPr>
        <w:t>Vos</w:t>
      </w:r>
      <w:proofErr w:type="spellEnd"/>
      <w:r w:rsidRPr="00900D6C">
        <w:rPr>
          <w:noProof w:val="0"/>
          <w:lang w:val="en-AU"/>
        </w:rPr>
        <w:t xml:space="preserve"> T, Lozano R, </w:t>
      </w:r>
      <w:proofErr w:type="spellStart"/>
      <w:r w:rsidRPr="00900D6C">
        <w:rPr>
          <w:noProof w:val="0"/>
          <w:lang w:val="en-AU"/>
        </w:rPr>
        <w:t>Naghavi</w:t>
      </w:r>
      <w:proofErr w:type="spellEnd"/>
      <w:r w:rsidRPr="00900D6C">
        <w:rPr>
          <w:noProof w:val="0"/>
          <w:lang w:val="en-AU"/>
        </w:rPr>
        <w:t xml:space="preserve"> M, Flaxman AD, Michaud C, et al. Disability-adjusted life years (DALYs) for 291 diseases and injuries in 21 regions, 1990–2010: a systematic analysis for the Global Burden of Disease Study 2010. </w:t>
      </w:r>
      <w:proofErr w:type="gramStart"/>
      <w:r w:rsidRPr="00900D6C">
        <w:rPr>
          <w:noProof w:val="0"/>
          <w:lang w:val="en-AU"/>
        </w:rPr>
        <w:t>The Lancet.</w:t>
      </w:r>
      <w:proofErr w:type="gramEnd"/>
      <w:r w:rsidRPr="00900D6C">
        <w:rPr>
          <w:noProof w:val="0"/>
          <w:lang w:val="en-AU"/>
        </w:rPr>
        <w:t xml:space="preserve"> 2013</w:t>
      </w:r>
      <w:proofErr w:type="gramStart"/>
      <w:r w:rsidRPr="00900D6C">
        <w:rPr>
          <w:noProof w:val="0"/>
          <w:lang w:val="en-AU"/>
        </w:rPr>
        <w:t>;380</w:t>
      </w:r>
      <w:proofErr w:type="gramEnd"/>
      <w:r w:rsidRPr="00900D6C">
        <w:rPr>
          <w:noProof w:val="0"/>
          <w:lang w:val="en-AU"/>
        </w:rPr>
        <w:t>(9859):2197-223.</w:t>
      </w:r>
      <w:bookmarkEnd w:id="37"/>
    </w:p>
    <w:p w14:paraId="7A5FFE70" w14:textId="77777777" w:rsidR="00196AAD" w:rsidRPr="00900D6C" w:rsidRDefault="00196AAD" w:rsidP="00EA19BA">
      <w:pPr>
        <w:pStyle w:val="EndNoteBibliography"/>
        <w:ind w:right="-46"/>
        <w:rPr>
          <w:noProof w:val="0"/>
          <w:lang w:val="en-AU"/>
        </w:rPr>
      </w:pPr>
      <w:bookmarkStart w:id="38" w:name="_ENREF_34"/>
      <w:r w:rsidRPr="00900D6C">
        <w:rPr>
          <w:noProof w:val="0"/>
          <w:lang w:val="en-AU"/>
        </w:rPr>
        <w:t>34.</w:t>
      </w:r>
      <w:r w:rsidRPr="00900D6C">
        <w:rPr>
          <w:noProof w:val="0"/>
          <w:lang w:val="en-AU"/>
        </w:rPr>
        <w:tab/>
      </w:r>
      <w:proofErr w:type="spellStart"/>
      <w:r w:rsidRPr="00900D6C">
        <w:rPr>
          <w:noProof w:val="0"/>
          <w:lang w:val="en-AU"/>
        </w:rPr>
        <w:t>Bennish</w:t>
      </w:r>
      <w:proofErr w:type="spellEnd"/>
      <w:r w:rsidRPr="00900D6C">
        <w:rPr>
          <w:noProof w:val="0"/>
          <w:lang w:val="en-AU"/>
        </w:rPr>
        <w:t xml:space="preserve"> ML. Immunization against Salmonella </w:t>
      </w:r>
      <w:proofErr w:type="spellStart"/>
      <w:r w:rsidRPr="00900D6C">
        <w:rPr>
          <w:noProof w:val="0"/>
          <w:lang w:val="en-AU"/>
        </w:rPr>
        <w:t>typhi</w:t>
      </w:r>
      <w:proofErr w:type="spellEnd"/>
      <w:r w:rsidRPr="00900D6C">
        <w:rPr>
          <w:noProof w:val="0"/>
          <w:lang w:val="en-AU"/>
        </w:rPr>
        <w:t xml:space="preserve">. </w:t>
      </w:r>
      <w:proofErr w:type="gramStart"/>
      <w:r w:rsidRPr="00900D6C">
        <w:rPr>
          <w:noProof w:val="0"/>
          <w:lang w:val="en-AU"/>
        </w:rPr>
        <w:t>Infectious Diseases in Clinical Practice.</w:t>
      </w:r>
      <w:proofErr w:type="gramEnd"/>
      <w:r w:rsidRPr="00900D6C">
        <w:rPr>
          <w:noProof w:val="0"/>
          <w:lang w:val="en-AU"/>
        </w:rPr>
        <w:t xml:space="preserve"> 1995</w:t>
      </w:r>
      <w:proofErr w:type="gramStart"/>
      <w:r w:rsidRPr="00900D6C">
        <w:rPr>
          <w:noProof w:val="0"/>
          <w:lang w:val="en-AU"/>
        </w:rPr>
        <w:t>;4</w:t>
      </w:r>
      <w:proofErr w:type="gramEnd"/>
      <w:r w:rsidRPr="00900D6C">
        <w:rPr>
          <w:noProof w:val="0"/>
          <w:lang w:val="en-AU"/>
        </w:rPr>
        <w:t>(2):114-22.</w:t>
      </w:r>
      <w:bookmarkEnd w:id="38"/>
    </w:p>
    <w:p w14:paraId="066E622A" w14:textId="4D915593" w:rsidR="00196AAD" w:rsidRPr="00900D6C" w:rsidRDefault="00196AAD" w:rsidP="00EA19BA">
      <w:pPr>
        <w:pStyle w:val="EndNoteBibliography"/>
        <w:ind w:right="-46"/>
        <w:rPr>
          <w:noProof w:val="0"/>
          <w:lang w:val="en-AU"/>
        </w:rPr>
      </w:pPr>
      <w:bookmarkStart w:id="39" w:name="_ENREF_35"/>
      <w:r w:rsidRPr="00900D6C">
        <w:rPr>
          <w:noProof w:val="0"/>
          <w:lang w:val="en-AU"/>
        </w:rPr>
        <w:t>35.</w:t>
      </w:r>
      <w:r w:rsidRPr="00900D6C">
        <w:rPr>
          <w:noProof w:val="0"/>
          <w:lang w:val="en-AU"/>
        </w:rPr>
        <w:tab/>
        <w:t xml:space="preserve">NNDSS. Australia’s </w:t>
      </w:r>
      <w:proofErr w:type="spellStart"/>
      <w:r w:rsidRPr="00900D6C">
        <w:rPr>
          <w:noProof w:val="0"/>
          <w:lang w:val="en-AU"/>
        </w:rPr>
        <w:t>notifiable</w:t>
      </w:r>
      <w:proofErr w:type="spellEnd"/>
      <w:r w:rsidRPr="00900D6C">
        <w:rPr>
          <w:noProof w:val="0"/>
          <w:lang w:val="en-AU"/>
        </w:rPr>
        <w:t xml:space="preserve"> disease status, </w:t>
      </w:r>
      <w:r w:rsidR="00742304" w:rsidRPr="00900D6C">
        <w:rPr>
          <w:noProof w:val="0"/>
          <w:lang w:val="en-AU"/>
        </w:rPr>
        <w:t>2014</w:t>
      </w:r>
      <w:r w:rsidRPr="00900D6C">
        <w:rPr>
          <w:noProof w:val="0"/>
          <w:lang w:val="en-AU"/>
        </w:rPr>
        <w:t xml:space="preserve">: Annual report of the National </w:t>
      </w:r>
      <w:proofErr w:type="spellStart"/>
      <w:r w:rsidRPr="00900D6C">
        <w:rPr>
          <w:noProof w:val="0"/>
          <w:lang w:val="en-AU"/>
        </w:rPr>
        <w:t>Notifiable</w:t>
      </w:r>
      <w:proofErr w:type="spellEnd"/>
      <w:r w:rsidRPr="00900D6C">
        <w:rPr>
          <w:noProof w:val="0"/>
          <w:lang w:val="en-AU"/>
        </w:rPr>
        <w:t xml:space="preserve"> Diseases Surveillance System. </w:t>
      </w:r>
      <w:proofErr w:type="gramStart"/>
      <w:r w:rsidRPr="00900D6C">
        <w:rPr>
          <w:noProof w:val="0"/>
          <w:lang w:val="en-AU"/>
        </w:rPr>
        <w:t>NNDSS Annual report.</w:t>
      </w:r>
      <w:proofErr w:type="gramEnd"/>
      <w:r w:rsidRPr="00900D6C">
        <w:rPr>
          <w:noProof w:val="0"/>
          <w:lang w:val="en-AU"/>
        </w:rPr>
        <w:t xml:space="preserve"> </w:t>
      </w:r>
      <w:r w:rsidR="00742304" w:rsidRPr="00900D6C">
        <w:rPr>
          <w:noProof w:val="0"/>
          <w:lang w:val="en-AU"/>
        </w:rPr>
        <w:t>2016</w:t>
      </w:r>
      <w:proofErr w:type="gramStart"/>
      <w:r w:rsidRPr="00900D6C">
        <w:rPr>
          <w:noProof w:val="0"/>
          <w:lang w:val="en-AU"/>
        </w:rPr>
        <w:t>;</w:t>
      </w:r>
      <w:r w:rsidR="00742304" w:rsidRPr="00900D6C">
        <w:rPr>
          <w:noProof w:val="0"/>
          <w:lang w:val="en-AU"/>
        </w:rPr>
        <w:t>40</w:t>
      </w:r>
      <w:proofErr w:type="gramEnd"/>
      <w:r w:rsidRPr="00900D6C">
        <w:rPr>
          <w:noProof w:val="0"/>
          <w:lang w:val="en-AU"/>
        </w:rPr>
        <w:t>(1).</w:t>
      </w:r>
      <w:bookmarkEnd w:id="39"/>
    </w:p>
    <w:p w14:paraId="59BB70C1" w14:textId="778FB171" w:rsidR="00196AAD" w:rsidRPr="00900D6C" w:rsidRDefault="00196AAD" w:rsidP="00EA19BA">
      <w:pPr>
        <w:pStyle w:val="EndNoteBibliography"/>
        <w:ind w:right="-46"/>
        <w:rPr>
          <w:noProof w:val="0"/>
          <w:lang w:val="en-AU"/>
        </w:rPr>
      </w:pPr>
      <w:bookmarkStart w:id="40" w:name="_ENREF_36"/>
      <w:r w:rsidRPr="00900D6C">
        <w:rPr>
          <w:noProof w:val="0"/>
          <w:lang w:val="en-AU"/>
        </w:rPr>
        <w:t>36.</w:t>
      </w:r>
      <w:r w:rsidRPr="00900D6C">
        <w:rPr>
          <w:noProof w:val="0"/>
          <w:lang w:val="en-AU"/>
        </w:rPr>
        <w:tab/>
      </w:r>
      <w:hyperlink r:id="rId9" w:history="1">
        <w:r w:rsidRPr="0098447C">
          <w:rPr>
            <w:rStyle w:val="Hyperlink"/>
            <w:noProof w:val="0"/>
            <w:lang w:val="en-AU"/>
          </w:rPr>
          <w:t>NNDSS. NNDSS Summary tables 2016</w:t>
        </w:r>
      </w:hyperlink>
      <w:r w:rsidRPr="00900D6C">
        <w:rPr>
          <w:noProof w:val="0"/>
          <w:lang w:val="en-AU"/>
        </w:rPr>
        <w:t xml:space="preserve">. </w:t>
      </w:r>
      <w:r w:rsidR="0098447C">
        <w:rPr>
          <w:noProof w:val="0"/>
          <w:lang w:val="en-AU"/>
        </w:rPr>
        <w:t>(</w:t>
      </w:r>
      <w:r w:rsidRPr="0098447C">
        <w:rPr>
          <w:noProof w:val="0"/>
          <w:lang w:val="en-AU"/>
        </w:rPr>
        <w:t>http://www9.health.gov.au/cda/source/cda-index.cfm;jsessionid=BC0CB9439D6ABE3285BA8895969D6A67.instance2?CFID=708046&amp;CFTOKEN=b8c0538ba169a7f7-C63907C3-AEAD-D23E-5446577BD62D10CC</w:t>
      </w:r>
      <w:r w:rsidR="0098447C">
        <w:rPr>
          <w:noProof w:val="0"/>
          <w:lang w:val="en-AU"/>
        </w:rPr>
        <w:t>)</w:t>
      </w:r>
      <w:r w:rsidRPr="00900D6C">
        <w:rPr>
          <w:noProof w:val="0"/>
          <w:lang w:val="en-AU"/>
        </w:rPr>
        <w:t>.</w:t>
      </w:r>
      <w:bookmarkEnd w:id="40"/>
    </w:p>
    <w:p w14:paraId="328565D3" w14:textId="77777777" w:rsidR="00196AAD" w:rsidRPr="00900D6C" w:rsidRDefault="00196AAD" w:rsidP="00EA19BA">
      <w:pPr>
        <w:pStyle w:val="EndNoteBibliography"/>
        <w:ind w:right="-46"/>
        <w:rPr>
          <w:noProof w:val="0"/>
          <w:lang w:val="en-AU"/>
        </w:rPr>
      </w:pPr>
      <w:bookmarkStart w:id="41" w:name="_ENREF_37"/>
      <w:r w:rsidRPr="00900D6C">
        <w:rPr>
          <w:noProof w:val="0"/>
          <w:lang w:val="en-AU"/>
        </w:rPr>
        <w:t>37.</w:t>
      </w:r>
      <w:r w:rsidRPr="00900D6C">
        <w:rPr>
          <w:noProof w:val="0"/>
          <w:lang w:val="en-AU"/>
        </w:rPr>
        <w:tab/>
        <w:t xml:space="preserve">Arndt MB, </w:t>
      </w:r>
      <w:proofErr w:type="spellStart"/>
      <w:r w:rsidRPr="00900D6C">
        <w:rPr>
          <w:noProof w:val="0"/>
          <w:lang w:val="en-AU"/>
        </w:rPr>
        <w:t>Mosites</w:t>
      </w:r>
      <w:proofErr w:type="spellEnd"/>
      <w:r w:rsidRPr="00900D6C">
        <w:rPr>
          <w:noProof w:val="0"/>
          <w:lang w:val="en-AU"/>
        </w:rPr>
        <w:t xml:space="preserve"> EM, </w:t>
      </w:r>
      <w:proofErr w:type="spellStart"/>
      <w:r w:rsidRPr="00900D6C">
        <w:rPr>
          <w:noProof w:val="0"/>
          <w:lang w:val="en-AU"/>
        </w:rPr>
        <w:t>Tian</w:t>
      </w:r>
      <w:proofErr w:type="spellEnd"/>
      <w:r w:rsidRPr="00900D6C">
        <w:rPr>
          <w:noProof w:val="0"/>
          <w:lang w:val="en-AU"/>
        </w:rPr>
        <w:t xml:space="preserve"> M, </w:t>
      </w:r>
      <w:proofErr w:type="spellStart"/>
      <w:r w:rsidRPr="00900D6C">
        <w:rPr>
          <w:noProof w:val="0"/>
          <w:lang w:val="en-AU"/>
        </w:rPr>
        <w:t>Forouzanfar</w:t>
      </w:r>
      <w:proofErr w:type="spellEnd"/>
      <w:r w:rsidRPr="00900D6C">
        <w:rPr>
          <w:noProof w:val="0"/>
          <w:lang w:val="en-AU"/>
        </w:rPr>
        <w:t xml:space="preserve"> MH, </w:t>
      </w:r>
      <w:proofErr w:type="spellStart"/>
      <w:r w:rsidRPr="00900D6C">
        <w:rPr>
          <w:noProof w:val="0"/>
          <w:lang w:val="en-AU"/>
        </w:rPr>
        <w:t>Mokhdad</w:t>
      </w:r>
      <w:proofErr w:type="spellEnd"/>
      <w:r w:rsidRPr="00900D6C">
        <w:rPr>
          <w:noProof w:val="0"/>
          <w:lang w:val="en-AU"/>
        </w:rPr>
        <w:t xml:space="preserve"> AH, </w:t>
      </w:r>
      <w:proofErr w:type="spellStart"/>
      <w:r w:rsidRPr="00900D6C">
        <w:rPr>
          <w:noProof w:val="0"/>
          <w:lang w:val="en-AU"/>
        </w:rPr>
        <w:t>Meller</w:t>
      </w:r>
      <w:proofErr w:type="spellEnd"/>
      <w:r w:rsidRPr="00900D6C">
        <w:rPr>
          <w:noProof w:val="0"/>
          <w:lang w:val="en-AU"/>
        </w:rPr>
        <w:t xml:space="preserve"> M, et al. Estimating the burden of paratyphoid a in Asia and Africa. </w:t>
      </w:r>
      <w:proofErr w:type="spellStart"/>
      <w:r w:rsidRPr="00900D6C">
        <w:rPr>
          <w:noProof w:val="0"/>
          <w:lang w:val="en-AU"/>
        </w:rPr>
        <w:t>PLoS</w:t>
      </w:r>
      <w:proofErr w:type="spellEnd"/>
      <w:r w:rsidRPr="00900D6C">
        <w:rPr>
          <w:noProof w:val="0"/>
          <w:lang w:val="en-AU"/>
        </w:rPr>
        <w:t xml:space="preserve"> neglected tropical diseases. 2014</w:t>
      </w:r>
      <w:proofErr w:type="gramStart"/>
      <w:r w:rsidRPr="00900D6C">
        <w:rPr>
          <w:noProof w:val="0"/>
          <w:lang w:val="en-AU"/>
        </w:rPr>
        <w:t>;8</w:t>
      </w:r>
      <w:proofErr w:type="gramEnd"/>
      <w:r w:rsidRPr="00900D6C">
        <w:rPr>
          <w:noProof w:val="0"/>
          <w:lang w:val="en-AU"/>
        </w:rPr>
        <w:t>(6):e2925.</w:t>
      </w:r>
      <w:bookmarkEnd w:id="41"/>
    </w:p>
    <w:p w14:paraId="119EC3E7" w14:textId="3683170B" w:rsidR="00196AAD" w:rsidRPr="00900D6C" w:rsidRDefault="00196AAD" w:rsidP="00EA19BA">
      <w:pPr>
        <w:pStyle w:val="EndNoteBibliography"/>
        <w:ind w:right="-46"/>
        <w:rPr>
          <w:noProof w:val="0"/>
          <w:lang w:val="en-AU"/>
        </w:rPr>
      </w:pPr>
      <w:bookmarkStart w:id="42" w:name="_ENREF_38"/>
      <w:r w:rsidRPr="00900D6C">
        <w:rPr>
          <w:noProof w:val="0"/>
          <w:lang w:val="en-AU"/>
        </w:rPr>
        <w:t>38.</w:t>
      </w:r>
      <w:r w:rsidRPr="00900D6C">
        <w:rPr>
          <w:noProof w:val="0"/>
          <w:lang w:val="en-AU"/>
        </w:rPr>
        <w:tab/>
      </w:r>
      <w:proofErr w:type="spellStart"/>
      <w:r w:rsidRPr="00900D6C">
        <w:rPr>
          <w:noProof w:val="0"/>
          <w:lang w:val="en-AU"/>
        </w:rPr>
        <w:t>Ochiai</w:t>
      </w:r>
      <w:proofErr w:type="spellEnd"/>
      <w:r w:rsidRPr="00900D6C">
        <w:rPr>
          <w:noProof w:val="0"/>
          <w:lang w:val="en-AU"/>
        </w:rPr>
        <w:t xml:space="preserve"> RL, Wang X, Von </w:t>
      </w:r>
      <w:proofErr w:type="spellStart"/>
      <w:r w:rsidRPr="00900D6C">
        <w:rPr>
          <w:noProof w:val="0"/>
          <w:lang w:val="en-AU"/>
        </w:rPr>
        <w:t>Seidlein</w:t>
      </w:r>
      <w:proofErr w:type="spellEnd"/>
      <w:r w:rsidRPr="00900D6C">
        <w:rPr>
          <w:noProof w:val="0"/>
          <w:lang w:val="en-AU"/>
        </w:rPr>
        <w:t xml:space="preserve"> L, Yang J, </w:t>
      </w:r>
      <w:proofErr w:type="spellStart"/>
      <w:r w:rsidRPr="00900D6C">
        <w:rPr>
          <w:noProof w:val="0"/>
          <w:lang w:val="en-AU"/>
        </w:rPr>
        <w:t>Bhutta</w:t>
      </w:r>
      <w:proofErr w:type="spellEnd"/>
      <w:r w:rsidRPr="00900D6C">
        <w:rPr>
          <w:noProof w:val="0"/>
          <w:lang w:val="en-AU"/>
        </w:rPr>
        <w:t xml:space="preserve"> ZA, Bhattacharya SK, et al. Salmonella </w:t>
      </w:r>
      <w:proofErr w:type="spellStart"/>
      <w:r w:rsidRPr="00900D6C">
        <w:rPr>
          <w:noProof w:val="0"/>
          <w:lang w:val="en-AU"/>
        </w:rPr>
        <w:t>paratyphi</w:t>
      </w:r>
      <w:proofErr w:type="spellEnd"/>
      <w:r w:rsidRPr="00900D6C">
        <w:rPr>
          <w:noProof w:val="0"/>
          <w:lang w:val="en-AU"/>
        </w:rPr>
        <w:t xml:space="preserve"> A rates, Asia. </w:t>
      </w:r>
      <w:proofErr w:type="gramStart"/>
      <w:r w:rsidRPr="00900D6C">
        <w:rPr>
          <w:noProof w:val="0"/>
          <w:lang w:val="en-AU"/>
        </w:rPr>
        <w:t>Emerging Infectious Diseases.</w:t>
      </w:r>
      <w:proofErr w:type="gramEnd"/>
      <w:r w:rsidRPr="00900D6C">
        <w:rPr>
          <w:noProof w:val="0"/>
          <w:lang w:val="en-AU"/>
        </w:rPr>
        <w:t xml:space="preserve"> 2005</w:t>
      </w:r>
      <w:proofErr w:type="gramStart"/>
      <w:r w:rsidRPr="00900D6C">
        <w:rPr>
          <w:noProof w:val="0"/>
          <w:lang w:val="en-AU"/>
        </w:rPr>
        <w:t>;11</w:t>
      </w:r>
      <w:proofErr w:type="gramEnd"/>
      <w:r w:rsidRPr="00900D6C">
        <w:rPr>
          <w:noProof w:val="0"/>
          <w:lang w:val="en-AU"/>
        </w:rPr>
        <w:t>(11):1764-6.</w:t>
      </w:r>
      <w:bookmarkEnd w:id="42"/>
    </w:p>
    <w:p w14:paraId="016D3496" w14:textId="77777777" w:rsidR="00196AAD" w:rsidRPr="00900D6C" w:rsidRDefault="00196AAD" w:rsidP="00EA19BA">
      <w:pPr>
        <w:pStyle w:val="EndNoteBibliography"/>
        <w:ind w:right="-46"/>
        <w:rPr>
          <w:noProof w:val="0"/>
          <w:lang w:val="en-AU"/>
        </w:rPr>
      </w:pPr>
      <w:bookmarkStart w:id="43" w:name="_ENREF_39"/>
      <w:r w:rsidRPr="00900D6C">
        <w:rPr>
          <w:noProof w:val="0"/>
          <w:lang w:val="en-AU"/>
        </w:rPr>
        <w:t>39.</w:t>
      </w:r>
      <w:r w:rsidRPr="00900D6C">
        <w:rPr>
          <w:noProof w:val="0"/>
          <w:lang w:val="en-AU"/>
        </w:rPr>
        <w:tab/>
        <w:t xml:space="preserve">Islam A, Butler T, Ward LR. </w:t>
      </w:r>
      <w:proofErr w:type="gramStart"/>
      <w:r w:rsidRPr="00900D6C">
        <w:rPr>
          <w:noProof w:val="0"/>
          <w:lang w:val="en-AU"/>
        </w:rPr>
        <w:t xml:space="preserve">Reinfection with a different Vi-phage type of Salmonella </w:t>
      </w:r>
      <w:proofErr w:type="spellStart"/>
      <w:r w:rsidRPr="00900D6C">
        <w:rPr>
          <w:noProof w:val="0"/>
          <w:lang w:val="en-AU"/>
        </w:rPr>
        <w:t>typhi</w:t>
      </w:r>
      <w:proofErr w:type="spellEnd"/>
      <w:r w:rsidRPr="00900D6C">
        <w:rPr>
          <w:noProof w:val="0"/>
          <w:lang w:val="en-AU"/>
        </w:rPr>
        <w:t xml:space="preserve"> in an endemic area.</w:t>
      </w:r>
      <w:proofErr w:type="gramEnd"/>
      <w:r w:rsidRPr="00900D6C">
        <w:rPr>
          <w:noProof w:val="0"/>
          <w:lang w:val="en-AU"/>
        </w:rPr>
        <w:t xml:space="preserve"> </w:t>
      </w:r>
      <w:proofErr w:type="gramStart"/>
      <w:r w:rsidRPr="00900D6C">
        <w:rPr>
          <w:noProof w:val="0"/>
          <w:lang w:val="en-AU"/>
        </w:rPr>
        <w:t>Journal of Infectious Diseases.</w:t>
      </w:r>
      <w:proofErr w:type="gramEnd"/>
      <w:r w:rsidRPr="00900D6C">
        <w:rPr>
          <w:noProof w:val="0"/>
          <w:lang w:val="en-AU"/>
        </w:rPr>
        <w:t xml:space="preserve"> 1987</w:t>
      </w:r>
      <w:proofErr w:type="gramStart"/>
      <w:r w:rsidRPr="00900D6C">
        <w:rPr>
          <w:noProof w:val="0"/>
          <w:lang w:val="en-AU"/>
        </w:rPr>
        <w:t>;155</w:t>
      </w:r>
      <w:proofErr w:type="gramEnd"/>
      <w:r w:rsidRPr="00900D6C">
        <w:rPr>
          <w:noProof w:val="0"/>
          <w:lang w:val="en-AU"/>
        </w:rPr>
        <w:t>(1):155-6.</w:t>
      </w:r>
      <w:bookmarkEnd w:id="43"/>
    </w:p>
    <w:p w14:paraId="264E8C0C" w14:textId="77777777" w:rsidR="00196AAD" w:rsidRPr="00900D6C" w:rsidRDefault="00196AAD" w:rsidP="00EA19BA">
      <w:pPr>
        <w:pStyle w:val="EndNoteBibliography"/>
        <w:ind w:right="-46"/>
        <w:rPr>
          <w:noProof w:val="0"/>
          <w:lang w:val="en-AU"/>
        </w:rPr>
      </w:pPr>
      <w:bookmarkStart w:id="44" w:name="_ENREF_40"/>
      <w:r w:rsidRPr="00900D6C">
        <w:rPr>
          <w:noProof w:val="0"/>
          <w:lang w:val="en-AU"/>
        </w:rPr>
        <w:t>40.</w:t>
      </w:r>
      <w:r w:rsidRPr="00900D6C">
        <w:rPr>
          <w:noProof w:val="0"/>
          <w:lang w:val="en-AU"/>
        </w:rPr>
        <w:tab/>
        <w:t xml:space="preserve">Zhou L, Pollard AJ. A novel method of selective removal of human DNA improves PCR sensitivity for detection of Salmonella </w:t>
      </w:r>
      <w:proofErr w:type="spellStart"/>
      <w:r w:rsidRPr="00900D6C">
        <w:rPr>
          <w:noProof w:val="0"/>
          <w:lang w:val="en-AU"/>
        </w:rPr>
        <w:t>Typhi</w:t>
      </w:r>
      <w:proofErr w:type="spellEnd"/>
      <w:r w:rsidRPr="00900D6C">
        <w:rPr>
          <w:noProof w:val="0"/>
          <w:lang w:val="en-AU"/>
        </w:rPr>
        <w:t xml:space="preserve"> in blood samples. </w:t>
      </w:r>
      <w:proofErr w:type="gramStart"/>
      <w:r w:rsidRPr="00900D6C">
        <w:rPr>
          <w:noProof w:val="0"/>
          <w:lang w:val="en-AU"/>
        </w:rPr>
        <w:t>BMC infectious diseases.</w:t>
      </w:r>
      <w:proofErr w:type="gramEnd"/>
      <w:r w:rsidRPr="00900D6C">
        <w:rPr>
          <w:noProof w:val="0"/>
          <w:lang w:val="en-AU"/>
        </w:rPr>
        <w:t xml:space="preserve"> 2012</w:t>
      </w:r>
      <w:proofErr w:type="gramStart"/>
      <w:r w:rsidRPr="00900D6C">
        <w:rPr>
          <w:noProof w:val="0"/>
          <w:lang w:val="en-AU"/>
        </w:rPr>
        <w:t>;12</w:t>
      </w:r>
      <w:proofErr w:type="gramEnd"/>
      <w:r w:rsidRPr="00900D6C">
        <w:rPr>
          <w:noProof w:val="0"/>
          <w:lang w:val="en-AU"/>
        </w:rPr>
        <w:t>(1):164.</w:t>
      </w:r>
      <w:bookmarkEnd w:id="44"/>
    </w:p>
    <w:p w14:paraId="1B7850BC" w14:textId="6E56DD57" w:rsidR="00196AAD" w:rsidRPr="00900D6C" w:rsidRDefault="00196AAD" w:rsidP="00EA19BA">
      <w:pPr>
        <w:pStyle w:val="EndNoteBibliography"/>
        <w:ind w:right="-46"/>
        <w:rPr>
          <w:noProof w:val="0"/>
          <w:lang w:val="en-AU"/>
        </w:rPr>
      </w:pPr>
      <w:bookmarkStart w:id="45" w:name="_ENREF_41"/>
      <w:r w:rsidRPr="00900D6C">
        <w:rPr>
          <w:noProof w:val="0"/>
          <w:lang w:val="en-AU"/>
        </w:rPr>
        <w:t>41.</w:t>
      </w:r>
      <w:r w:rsidRPr="00900D6C">
        <w:rPr>
          <w:noProof w:val="0"/>
          <w:lang w:val="en-AU"/>
        </w:rPr>
        <w:tab/>
        <w:t xml:space="preserve">PHLN. </w:t>
      </w:r>
      <w:proofErr w:type="gramStart"/>
      <w:r w:rsidRPr="00900D6C">
        <w:rPr>
          <w:noProof w:val="0"/>
          <w:lang w:val="en-AU"/>
        </w:rPr>
        <w:t>Salmonella Laboratory Case Definition (LCD) 2000.</w:t>
      </w:r>
      <w:proofErr w:type="gramEnd"/>
      <w:r w:rsidRPr="00900D6C">
        <w:rPr>
          <w:noProof w:val="0"/>
          <w:lang w:val="en-AU"/>
        </w:rPr>
        <w:t xml:space="preserve"> Available from: </w:t>
      </w:r>
      <w:r w:rsidRPr="0098447C">
        <w:rPr>
          <w:noProof w:val="0"/>
          <w:lang w:val="en-AU"/>
        </w:rPr>
        <w:t>http://www.health.gov.au/internet/main/publishing.nsf/Content/cda-phlncd-salmonella.htm</w:t>
      </w:r>
      <w:r w:rsidRPr="00900D6C">
        <w:rPr>
          <w:noProof w:val="0"/>
          <w:lang w:val="en-AU"/>
        </w:rPr>
        <w:t>.</w:t>
      </w:r>
      <w:bookmarkEnd w:id="45"/>
    </w:p>
    <w:p w14:paraId="260C5248" w14:textId="2E4FDA39" w:rsidR="00196AAD" w:rsidRPr="00900D6C" w:rsidRDefault="00196AAD" w:rsidP="00EA19BA">
      <w:pPr>
        <w:pStyle w:val="EndNoteBibliography"/>
        <w:ind w:right="-46"/>
        <w:rPr>
          <w:noProof w:val="0"/>
          <w:lang w:val="en-AU"/>
        </w:rPr>
      </w:pPr>
      <w:bookmarkStart w:id="46" w:name="_ENREF_42"/>
      <w:r w:rsidRPr="00900D6C">
        <w:rPr>
          <w:noProof w:val="0"/>
          <w:lang w:val="en-AU"/>
        </w:rPr>
        <w:t>42.</w:t>
      </w:r>
      <w:r w:rsidRPr="00900D6C">
        <w:rPr>
          <w:noProof w:val="0"/>
          <w:lang w:val="en-AU"/>
        </w:rPr>
        <w:tab/>
      </w:r>
      <w:proofErr w:type="spellStart"/>
      <w:r w:rsidRPr="00900D6C">
        <w:rPr>
          <w:noProof w:val="0"/>
          <w:lang w:val="en-AU"/>
        </w:rPr>
        <w:t>Prager</w:t>
      </w:r>
      <w:proofErr w:type="spellEnd"/>
      <w:r w:rsidRPr="00900D6C">
        <w:rPr>
          <w:noProof w:val="0"/>
          <w:lang w:val="en-AU"/>
        </w:rPr>
        <w:t xml:space="preserve"> R, </w:t>
      </w:r>
      <w:proofErr w:type="spellStart"/>
      <w:r w:rsidRPr="00900D6C">
        <w:rPr>
          <w:noProof w:val="0"/>
          <w:lang w:val="en-AU"/>
        </w:rPr>
        <w:t>Rabsch</w:t>
      </w:r>
      <w:proofErr w:type="spellEnd"/>
      <w:r w:rsidRPr="00900D6C">
        <w:rPr>
          <w:noProof w:val="0"/>
          <w:lang w:val="en-AU"/>
        </w:rPr>
        <w:t xml:space="preserve"> W, </w:t>
      </w:r>
      <w:proofErr w:type="spellStart"/>
      <w:r w:rsidRPr="00900D6C">
        <w:rPr>
          <w:noProof w:val="0"/>
          <w:lang w:val="en-AU"/>
        </w:rPr>
        <w:t>Streckel</w:t>
      </w:r>
      <w:proofErr w:type="spellEnd"/>
      <w:r w:rsidRPr="00900D6C">
        <w:rPr>
          <w:noProof w:val="0"/>
          <w:lang w:val="en-AU"/>
        </w:rPr>
        <w:t xml:space="preserve"> W, Voigt W, </w:t>
      </w:r>
      <w:proofErr w:type="spellStart"/>
      <w:r w:rsidRPr="00900D6C">
        <w:rPr>
          <w:noProof w:val="0"/>
          <w:lang w:val="en-AU"/>
        </w:rPr>
        <w:t>Tietze</w:t>
      </w:r>
      <w:proofErr w:type="spellEnd"/>
      <w:r w:rsidRPr="00900D6C">
        <w:rPr>
          <w:noProof w:val="0"/>
          <w:lang w:val="en-AU"/>
        </w:rPr>
        <w:t xml:space="preserve"> E, </w:t>
      </w:r>
      <w:proofErr w:type="spellStart"/>
      <w:r w:rsidRPr="00900D6C">
        <w:rPr>
          <w:noProof w:val="0"/>
          <w:lang w:val="en-AU"/>
        </w:rPr>
        <w:t>Tschäpe</w:t>
      </w:r>
      <w:proofErr w:type="spellEnd"/>
      <w:r w:rsidRPr="00900D6C">
        <w:rPr>
          <w:noProof w:val="0"/>
          <w:lang w:val="en-AU"/>
        </w:rPr>
        <w:t xml:space="preserve"> H. Molecular properties of Salmonella </w:t>
      </w:r>
      <w:proofErr w:type="spellStart"/>
      <w:r w:rsidRPr="00900D6C">
        <w:rPr>
          <w:noProof w:val="0"/>
          <w:lang w:val="en-AU"/>
        </w:rPr>
        <w:t>enterica</w:t>
      </w:r>
      <w:proofErr w:type="spellEnd"/>
      <w:r w:rsidRPr="00900D6C">
        <w:rPr>
          <w:noProof w:val="0"/>
          <w:lang w:val="en-AU"/>
        </w:rPr>
        <w:t xml:space="preserve"> serotype </w:t>
      </w:r>
      <w:proofErr w:type="spellStart"/>
      <w:r w:rsidRPr="00900D6C">
        <w:rPr>
          <w:noProof w:val="0"/>
          <w:lang w:val="en-AU"/>
        </w:rPr>
        <w:t>Paratyphi</w:t>
      </w:r>
      <w:proofErr w:type="spellEnd"/>
      <w:r w:rsidRPr="00900D6C">
        <w:rPr>
          <w:noProof w:val="0"/>
          <w:lang w:val="en-AU"/>
        </w:rPr>
        <w:t xml:space="preserve"> B distinguish between its systemic and its enteric </w:t>
      </w:r>
      <w:proofErr w:type="spellStart"/>
      <w:r w:rsidRPr="00900D6C">
        <w:rPr>
          <w:noProof w:val="0"/>
          <w:lang w:val="en-AU"/>
        </w:rPr>
        <w:t>pathovars</w:t>
      </w:r>
      <w:proofErr w:type="spellEnd"/>
      <w:r w:rsidRPr="00900D6C">
        <w:rPr>
          <w:noProof w:val="0"/>
          <w:lang w:val="en-AU"/>
        </w:rPr>
        <w:t xml:space="preserve">. </w:t>
      </w:r>
      <w:proofErr w:type="gramStart"/>
      <w:r w:rsidRPr="00900D6C">
        <w:rPr>
          <w:noProof w:val="0"/>
          <w:lang w:val="en-AU"/>
        </w:rPr>
        <w:t>Journal of Clinical Microbiology.</w:t>
      </w:r>
      <w:proofErr w:type="gramEnd"/>
      <w:r w:rsidRPr="00900D6C">
        <w:rPr>
          <w:noProof w:val="0"/>
          <w:lang w:val="en-AU"/>
        </w:rPr>
        <w:t xml:space="preserve"> 2003</w:t>
      </w:r>
      <w:proofErr w:type="gramStart"/>
      <w:r w:rsidRPr="00900D6C">
        <w:rPr>
          <w:noProof w:val="0"/>
          <w:lang w:val="en-AU"/>
        </w:rPr>
        <w:t>;41</w:t>
      </w:r>
      <w:proofErr w:type="gramEnd"/>
      <w:r w:rsidRPr="00900D6C">
        <w:rPr>
          <w:noProof w:val="0"/>
          <w:lang w:val="en-AU"/>
        </w:rPr>
        <w:t>(9):4270-8.</w:t>
      </w:r>
      <w:bookmarkEnd w:id="46"/>
    </w:p>
    <w:p w14:paraId="1931D82B" w14:textId="77777777" w:rsidR="00196AAD" w:rsidRPr="00900D6C" w:rsidRDefault="00196AAD" w:rsidP="00EA19BA">
      <w:pPr>
        <w:pStyle w:val="EndNoteBibliography"/>
        <w:ind w:right="-46"/>
        <w:rPr>
          <w:noProof w:val="0"/>
          <w:lang w:val="en-AU"/>
        </w:rPr>
      </w:pPr>
      <w:bookmarkStart w:id="47" w:name="_ENREF_43"/>
      <w:r w:rsidRPr="00900D6C">
        <w:rPr>
          <w:noProof w:val="0"/>
          <w:lang w:val="en-AU"/>
        </w:rPr>
        <w:t>43.</w:t>
      </w:r>
      <w:r w:rsidRPr="00900D6C">
        <w:rPr>
          <w:noProof w:val="0"/>
          <w:lang w:val="en-AU"/>
        </w:rPr>
        <w:tab/>
        <w:t xml:space="preserve">Skull SA, </w:t>
      </w:r>
      <w:proofErr w:type="spellStart"/>
      <w:r w:rsidRPr="00900D6C">
        <w:rPr>
          <w:noProof w:val="0"/>
          <w:lang w:val="en-AU"/>
        </w:rPr>
        <w:t>Tallis</w:t>
      </w:r>
      <w:proofErr w:type="spellEnd"/>
      <w:r w:rsidRPr="00900D6C">
        <w:rPr>
          <w:noProof w:val="0"/>
          <w:lang w:val="en-AU"/>
        </w:rPr>
        <w:t xml:space="preserve"> G. An evidence</w:t>
      </w:r>
      <w:r w:rsidRPr="00900D6C">
        <w:rPr>
          <w:rFonts w:ascii="Cambria Math" w:hAnsi="Cambria Math" w:cs="Cambria Math"/>
          <w:noProof w:val="0"/>
          <w:lang w:val="en-AU"/>
        </w:rPr>
        <w:t>‐</w:t>
      </w:r>
      <w:r w:rsidRPr="00900D6C">
        <w:rPr>
          <w:noProof w:val="0"/>
          <w:lang w:val="en-AU"/>
        </w:rPr>
        <w:t xml:space="preserve">based review of current guidelines for the public health control of typhoid in Australia: a case for simplification and resource savings. </w:t>
      </w:r>
      <w:proofErr w:type="gramStart"/>
      <w:r w:rsidRPr="00900D6C">
        <w:rPr>
          <w:noProof w:val="0"/>
          <w:lang w:val="en-AU"/>
        </w:rPr>
        <w:t>Australian and New Zealand journal of public health.</w:t>
      </w:r>
      <w:proofErr w:type="gramEnd"/>
      <w:r w:rsidRPr="00900D6C">
        <w:rPr>
          <w:noProof w:val="0"/>
          <w:lang w:val="en-AU"/>
        </w:rPr>
        <w:t xml:space="preserve"> 2001</w:t>
      </w:r>
      <w:proofErr w:type="gramStart"/>
      <w:r w:rsidRPr="00900D6C">
        <w:rPr>
          <w:noProof w:val="0"/>
          <w:lang w:val="en-AU"/>
        </w:rPr>
        <w:t>;25</w:t>
      </w:r>
      <w:proofErr w:type="gramEnd"/>
      <w:r w:rsidRPr="00900D6C">
        <w:rPr>
          <w:noProof w:val="0"/>
          <w:lang w:val="en-AU"/>
        </w:rPr>
        <w:t>(6):539-42.</w:t>
      </w:r>
      <w:bookmarkEnd w:id="47"/>
    </w:p>
    <w:p w14:paraId="5FAC5CD8" w14:textId="142718C3" w:rsidR="00196AAD" w:rsidRPr="00900D6C" w:rsidRDefault="00196AAD" w:rsidP="00EA19BA">
      <w:pPr>
        <w:pStyle w:val="EndNoteBibliography"/>
        <w:ind w:right="-46"/>
        <w:rPr>
          <w:noProof w:val="0"/>
          <w:lang w:val="en-AU"/>
        </w:rPr>
      </w:pPr>
      <w:bookmarkStart w:id="48" w:name="_ENREF_44"/>
      <w:r w:rsidRPr="00900D6C">
        <w:rPr>
          <w:noProof w:val="0"/>
          <w:lang w:val="en-AU"/>
        </w:rPr>
        <w:t>44.</w:t>
      </w:r>
      <w:r w:rsidRPr="00900D6C">
        <w:rPr>
          <w:noProof w:val="0"/>
          <w:lang w:val="en-AU"/>
        </w:rPr>
        <w:tab/>
      </w:r>
      <w:proofErr w:type="spellStart"/>
      <w:r w:rsidRPr="00900D6C">
        <w:rPr>
          <w:noProof w:val="0"/>
          <w:lang w:val="en-AU"/>
        </w:rPr>
        <w:t>McFeters</w:t>
      </w:r>
      <w:proofErr w:type="spellEnd"/>
      <w:r w:rsidRPr="00900D6C">
        <w:rPr>
          <w:noProof w:val="0"/>
          <w:lang w:val="en-AU"/>
        </w:rPr>
        <w:t xml:space="preserve"> GA, </w:t>
      </w:r>
      <w:proofErr w:type="spellStart"/>
      <w:r w:rsidRPr="00900D6C">
        <w:rPr>
          <w:noProof w:val="0"/>
          <w:lang w:val="en-AU"/>
        </w:rPr>
        <w:t>Bissonnette</w:t>
      </w:r>
      <w:proofErr w:type="spellEnd"/>
      <w:r w:rsidRPr="00900D6C">
        <w:rPr>
          <w:noProof w:val="0"/>
          <w:lang w:val="en-AU"/>
        </w:rPr>
        <w:t xml:space="preserve"> GK, </w:t>
      </w:r>
      <w:proofErr w:type="spellStart"/>
      <w:r w:rsidRPr="00900D6C">
        <w:rPr>
          <w:noProof w:val="0"/>
          <w:lang w:val="en-AU"/>
        </w:rPr>
        <w:t>Jezeski</w:t>
      </w:r>
      <w:proofErr w:type="spellEnd"/>
      <w:r w:rsidRPr="00900D6C">
        <w:rPr>
          <w:noProof w:val="0"/>
          <w:lang w:val="en-AU"/>
        </w:rPr>
        <w:t xml:space="preserve"> JJ, Thomson CA, Stuart DG. </w:t>
      </w:r>
      <w:proofErr w:type="gramStart"/>
      <w:r w:rsidRPr="00900D6C">
        <w:rPr>
          <w:noProof w:val="0"/>
          <w:lang w:val="en-AU"/>
        </w:rPr>
        <w:t>Comparative survival of indicator bacteria and enteric pathogens in well water.</w:t>
      </w:r>
      <w:proofErr w:type="gramEnd"/>
      <w:r w:rsidRPr="00900D6C">
        <w:rPr>
          <w:noProof w:val="0"/>
          <w:lang w:val="en-AU"/>
        </w:rPr>
        <w:t xml:space="preserve"> </w:t>
      </w:r>
      <w:proofErr w:type="gramStart"/>
      <w:r w:rsidRPr="00900D6C">
        <w:rPr>
          <w:noProof w:val="0"/>
          <w:lang w:val="en-AU"/>
        </w:rPr>
        <w:t>Applied Microbiology.</w:t>
      </w:r>
      <w:proofErr w:type="gramEnd"/>
      <w:r w:rsidRPr="00900D6C">
        <w:rPr>
          <w:noProof w:val="0"/>
          <w:lang w:val="en-AU"/>
        </w:rPr>
        <w:t xml:space="preserve"> 1974</w:t>
      </w:r>
      <w:proofErr w:type="gramStart"/>
      <w:r w:rsidRPr="00900D6C">
        <w:rPr>
          <w:noProof w:val="0"/>
          <w:lang w:val="en-AU"/>
        </w:rPr>
        <w:t>;27</w:t>
      </w:r>
      <w:proofErr w:type="gramEnd"/>
      <w:r w:rsidRPr="00900D6C">
        <w:rPr>
          <w:noProof w:val="0"/>
          <w:lang w:val="en-AU"/>
        </w:rPr>
        <w:t>(5):823-9.</w:t>
      </w:r>
      <w:bookmarkEnd w:id="48"/>
    </w:p>
    <w:p w14:paraId="538498A6" w14:textId="6B02AF95" w:rsidR="00196AAD" w:rsidRPr="00900D6C" w:rsidRDefault="00196AAD" w:rsidP="00EA19BA">
      <w:pPr>
        <w:pStyle w:val="EndNoteBibliography"/>
        <w:ind w:right="-46"/>
        <w:rPr>
          <w:noProof w:val="0"/>
          <w:lang w:val="en-AU"/>
        </w:rPr>
      </w:pPr>
      <w:bookmarkStart w:id="49" w:name="_ENREF_45"/>
      <w:r w:rsidRPr="00900D6C">
        <w:rPr>
          <w:noProof w:val="0"/>
          <w:lang w:val="en-AU"/>
        </w:rPr>
        <w:t>45.</w:t>
      </w:r>
      <w:r w:rsidRPr="00900D6C">
        <w:rPr>
          <w:noProof w:val="0"/>
          <w:lang w:val="en-AU"/>
        </w:rPr>
        <w:tab/>
      </w:r>
      <w:proofErr w:type="spellStart"/>
      <w:r w:rsidRPr="00900D6C">
        <w:rPr>
          <w:noProof w:val="0"/>
          <w:lang w:val="en-AU"/>
        </w:rPr>
        <w:t>Chandran</w:t>
      </w:r>
      <w:proofErr w:type="spellEnd"/>
      <w:r w:rsidRPr="00900D6C">
        <w:rPr>
          <w:noProof w:val="0"/>
          <w:lang w:val="en-AU"/>
        </w:rPr>
        <w:t xml:space="preserve"> A, Varghese S, </w:t>
      </w:r>
      <w:proofErr w:type="spellStart"/>
      <w:r w:rsidRPr="00900D6C">
        <w:rPr>
          <w:noProof w:val="0"/>
          <w:lang w:val="en-AU"/>
        </w:rPr>
        <w:t>Kandeler</w:t>
      </w:r>
      <w:proofErr w:type="spellEnd"/>
      <w:r w:rsidRPr="00900D6C">
        <w:rPr>
          <w:noProof w:val="0"/>
          <w:lang w:val="en-AU"/>
        </w:rPr>
        <w:t xml:space="preserve"> E, Thomas A, Hatha M, </w:t>
      </w:r>
      <w:proofErr w:type="spellStart"/>
      <w:r w:rsidRPr="00900D6C">
        <w:rPr>
          <w:noProof w:val="0"/>
          <w:lang w:val="en-AU"/>
        </w:rPr>
        <w:t>Mazumder</w:t>
      </w:r>
      <w:proofErr w:type="spellEnd"/>
      <w:r w:rsidRPr="00900D6C">
        <w:rPr>
          <w:noProof w:val="0"/>
          <w:lang w:val="en-AU"/>
        </w:rPr>
        <w:t xml:space="preserve"> A. An assessment of potential public health risk associated with the extended survival of indicator and pathogenic bacteria in freshwater lake sediments. </w:t>
      </w:r>
      <w:proofErr w:type="gramStart"/>
      <w:r w:rsidRPr="00900D6C">
        <w:rPr>
          <w:noProof w:val="0"/>
          <w:lang w:val="en-AU"/>
        </w:rPr>
        <w:t>International Journal of Hygiene and Environmental Health.</w:t>
      </w:r>
      <w:proofErr w:type="gramEnd"/>
      <w:r w:rsidRPr="00900D6C">
        <w:rPr>
          <w:noProof w:val="0"/>
          <w:lang w:val="en-AU"/>
        </w:rPr>
        <w:t xml:space="preserve"> 2011</w:t>
      </w:r>
      <w:proofErr w:type="gramStart"/>
      <w:r w:rsidRPr="00900D6C">
        <w:rPr>
          <w:noProof w:val="0"/>
          <w:lang w:val="en-AU"/>
        </w:rPr>
        <w:t>;214</w:t>
      </w:r>
      <w:proofErr w:type="gramEnd"/>
      <w:r w:rsidRPr="00900D6C">
        <w:rPr>
          <w:noProof w:val="0"/>
          <w:lang w:val="en-AU"/>
        </w:rPr>
        <w:t>(3):258-64.</w:t>
      </w:r>
      <w:bookmarkEnd w:id="49"/>
    </w:p>
    <w:p w14:paraId="34E9E914" w14:textId="0117E58D" w:rsidR="00196AAD" w:rsidRPr="00900D6C" w:rsidRDefault="00196AAD" w:rsidP="00EA19BA">
      <w:pPr>
        <w:pStyle w:val="EndNoteBibliography"/>
        <w:ind w:right="-46"/>
        <w:rPr>
          <w:noProof w:val="0"/>
          <w:lang w:val="en-AU"/>
        </w:rPr>
      </w:pPr>
      <w:bookmarkStart w:id="50" w:name="_ENREF_46"/>
      <w:r w:rsidRPr="00900D6C">
        <w:rPr>
          <w:noProof w:val="0"/>
          <w:lang w:val="en-AU"/>
        </w:rPr>
        <w:t>46.</w:t>
      </w:r>
      <w:r w:rsidRPr="00900D6C">
        <w:rPr>
          <w:noProof w:val="0"/>
          <w:lang w:val="en-AU"/>
        </w:rPr>
        <w:tab/>
      </w:r>
      <w:proofErr w:type="spellStart"/>
      <w:r w:rsidRPr="00900D6C">
        <w:rPr>
          <w:noProof w:val="0"/>
          <w:lang w:val="en-AU"/>
        </w:rPr>
        <w:t>Imanishi</w:t>
      </w:r>
      <w:proofErr w:type="spellEnd"/>
      <w:r w:rsidRPr="00900D6C">
        <w:rPr>
          <w:noProof w:val="0"/>
          <w:lang w:val="en-AU"/>
        </w:rPr>
        <w:t xml:space="preserve"> M, Newton A, Vieira A, Gonzalez-Aviles G, Kendall SM, </w:t>
      </w:r>
      <w:proofErr w:type="spellStart"/>
      <w:r w:rsidRPr="00900D6C">
        <w:rPr>
          <w:noProof w:val="0"/>
          <w:lang w:val="en-AU"/>
        </w:rPr>
        <w:t>Manikonda</w:t>
      </w:r>
      <w:proofErr w:type="spellEnd"/>
      <w:r w:rsidRPr="00900D6C">
        <w:rPr>
          <w:noProof w:val="0"/>
          <w:lang w:val="en-AU"/>
        </w:rPr>
        <w:t xml:space="preserve"> K, et al. Typhoid fever acquired in the United States, 1999–2010: epidemiology, microbiology, and use of a space–time scan statistic for outbreak detection. </w:t>
      </w:r>
      <w:proofErr w:type="gramStart"/>
      <w:r w:rsidRPr="00900D6C">
        <w:rPr>
          <w:noProof w:val="0"/>
          <w:lang w:val="en-AU"/>
        </w:rPr>
        <w:t>Epidemiology and Infection.</w:t>
      </w:r>
      <w:proofErr w:type="gramEnd"/>
      <w:r w:rsidRPr="00900D6C">
        <w:rPr>
          <w:noProof w:val="0"/>
          <w:lang w:val="en-AU"/>
        </w:rPr>
        <w:t xml:space="preserve"> 2014:1-12.</w:t>
      </w:r>
      <w:bookmarkEnd w:id="50"/>
    </w:p>
    <w:p w14:paraId="0B2F7A80" w14:textId="77777777" w:rsidR="00196AAD" w:rsidRPr="00900D6C" w:rsidRDefault="00196AAD" w:rsidP="00EA19BA">
      <w:pPr>
        <w:pStyle w:val="EndNoteBibliography"/>
        <w:ind w:right="-46"/>
        <w:rPr>
          <w:noProof w:val="0"/>
          <w:lang w:val="en-AU"/>
        </w:rPr>
      </w:pPr>
      <w:bookmarkStart w:id="51" w:name="_ENREF_47"/>
      <w:r w:rsidRPr="00900D6C">
        <w:rPr>
          <w:noProof w:val="0"/>
          <w:lang w:val="en-AU"/>
        </w:rPr>
        <w:t>47.</w:t>
      </w:r>
      <w:r w:rsidRPr="00900D6C">
        <w:rPr>
          <w:noProof w:val="0"/>
          <w:lang w:val="en-AU"/>
        </w:rPr>
        <w:tab/>
        <w:t xml:space="preserve">Forsyth JR, Bennett NM, </w:t>
      </w:r>
      <w:proofErr w:type="spellStart"/>
      <w:r w:rsidRPr="00900D6C">
        <w:rPr>
          <w:noProof w:val="0"/>
          <w:lang w:val="en-AU"/>
        </w:rPr>
        <w:t>Hogben</w:t>
      </w:r>
      <w:proofErr w:type="spellEnd"/>
      <w:r w:rsidRPr="00900D6C">
        <w:rPr>
          <w:noProof w:val="0"/>
          <w:lang w:val="en-AU"/>
        </w:rPr>
        <w:t xml:space="preserve"> S, Hutchinson E, </w:t>
      </w:r>
      <w:proofErr w:type="spellStart"/>
      <w:r w:rsidRPr="00900D6C">
        <w:rPr>
          <w:noProof w:val="0"/>
          <w:lang w:val="en-AU"/>
        </w:rPr>
        <w:t>Rouch</w:t>
      </w:r>
      <w:proofErr w:type="spellEnd"/>
      <w:r w:rsidRPr="00900D6C">
        <w:rPr>
          <w:noProof w:val="0"/>
          <w:lang w:val="en-AU"/>
        </w:rPr>
        <w:t xml:space="preserve"> G, Tan A, et al. </w:t>
      </w:r>
      <w:proofErr w:type="gramStart"/>
      <w:r w:rsidRPr="00900D6C">
        <w:rPr>
          <w:noProof w:val="0"/>
          <w:lang w:val="en-AU"/>
        </w:rPr>
        <w:t>The year of the Salmonella seekers—1977.</w:t>
      </w:r>
      <w:proofErr w:type="gramEnd"/>
      <w:r w:rsidRPr="00900D6C">
        <w:rPr>
          <w:noProof w:val="0"/>
          <w:lang w:val="en-AU"/>
        </w:rPr>
        <w:t xml:space="preserve"> </w:t>
      </w:r>
      <w:proofErr w:type="gramStart"/>
      <w:r w:rsidRPr="00900D6C">
        <w:rPr>
          <w:noProof w:val="0"/>
          <w:lang w:val="en-AU"/>
        </w:rPr>
        <w:t>Australian and New Zealand journal of public health.</w:t>
      </w:r>
      <w:proofErr w:type="gramEnd"/>
      <w:r w:rsidRPr="00900D6C">
        <w:rPr>
          <w:noProof w:val="0"/>
          <w:lang w:val="en-AU"/>
        </w:rPr>
        <w:t xml:space="preserve"> 2003</w:t>
      </w:r>
      <w:proofErr w:type="gramStart"/>
      <w:r w:rsidRPr="00900D6C">
        <w:rPr>
          <w:noProof w:val="0"/>
          <w:lang w:val="en-AU"/>
        </w:rPr>
        <w:t>;27</w:t>
      </w:r>
      <w:proofErr w:type="gramEnd"/>
      <w:r w:rsidRPr="00900D6C">
        <w:rPr>
          <w:noProof w:val="0"/>
          <w:lang w:val="en-AU"/>
        </w:rPr>
        <w:t>(4):385-9.</w:t>
      </w:r>
      <w:bookmarkEnd w:id="51"/>
    </w:p>
    <w:p w14:paraId="0F968C31" w14:textId="1E0373C3" w:rsidR="00196AAD" w:rsidRPr="00900D6C" w:rsidRDefault="00196AAD" w:rsidP="00EA19BA">
      <w:pPr>
        <w:pStyle w:val="EndNoteBibliography"/>
        <w:ind w:right="-46"/>
        <w:rPr>
          <w:noProof w:val="0"/>
          <w:lang w:val="en-AU"/>
        </w:rPr>
      </w:pPr>
      <w:bookmarkStart w:id="52" w:name="_ENREF_48"/>
      <w:r w:rsidRPr="00900D6C">
        <w:rPr>
          <w:noProof w:val="0"/>
          <w:lang w:val="en-AU"/>
        </w:rPr>
        <w:t>48.</w:t>
      </w:r>
      <w:r w:rsidRPr="00900D6C">
        <w:rPr>
          <w:noProof w:val="0"/>
          <w:lang w:val="en-AU"/>
        </w:rPr>
        <w:tab/>
      </w:r>
      <w:proofErr w:type="spellStart"/>
      <w:r w:rsidR="00CD54FC" w:rsidRPr="00900D6C">
        <w:rPr>
          <w:noProof w:val="0"/>
          <w:lang w:val="en-AU"/>
        </w:rPr>
        <w:t>Tallis</w:t>
      </w:r>
      <w:proofErr w:type="spellEnd"/>
      <w:r w:rsidR="00CD54FC" w:rsidRPr="00900D6C">
        <w:rPr>
          <w:noProof w:val="0"/>
          <w:lang w:val="en-AU"/>
        </w:rPr>
        <w:t xml:space="preserve"> </w:t>
      </w:r>
      <w:r w:rsidRPr="00900D6C">
        <w:rPr>
          <w:noProof w:val="0"/>
          <w:lang w:val="en-AU"/>
        </w:rPr>
        <w:t>G</w:t>
      </w:r>
      <w:r w:rsidR="00CD54FC" w:rsidRPr="00900D6C">
        <w:rPr>
          <w:noProof w:val="0"/>
          <w:lang w:val="en-AU"/>
        </w:rPr>
        <w:t xml:space="preserve"> and Lawrence </w:t>
      </w:r>
      <w:r w:rsidRPr="00900D6C">
        <w:rPr>
          <w:noProof w:val="0"/>
          <w:lang w:val="en-AU"/>
        </w:rPr>
        <w:t>G. Outbreak of Typhoid Fever among Passengers on a Cruise Ship Victorian Infectious Diseases Bulletin 1999</w:t>
      </w:r>
      <w:proofErr w:type="gramStart"/>
      <w:r w:rsidRPr="00900D6C">
        <w:rPr>
          <w:noProof w:val="0"/>
          <w:lang w:val="en-AU"/>
        </w:rPr>
        <w:t>;2</w:t>
      </w:r>
      <w:proofErr w:type="gramEnd"/>
      <w:r w:rsidRPr="00900D6C">
        <w:rPr>
          <w:noProof w:val="0"/>
          <w:lang w:val="en-AU"/>
        </w:rPr>
        <w:t>(3):45-6.</w:t>
      </w:r>
      <w:bookmarkEnd w:id="52"/>
    </w:p>
    <w:p w14:paraId="7B98FF88" w14:textId="77777777" w:rsidR="00196AAD" w:rsidRPr="00900D6C" w:rsidRDefault="00196AAD" w:rsidP="00EA19BA">
      <w:pPr>
        <w:pStyle w:val="EndNoteBibliography"/>
        <w:ind w:right="-46"/>
        <w:rPr>
          <w:noProof w:val="0"/>
          <w:lang w:val="en-AU"/>
        </w:rPr>
      </w:pPr>
      <w:bookmarkStart w:id="53" w:name="_ENREF_49"/>
      <w:r w:rsidRPr="00900D6C">
        <w:rPr>
          <w:noProof w:val="0"/>
          <w:lang w:val="en-AU"/>
        </w:rPr>
        <w:t>49.</w:t>
      </w:r>
      <w:r w:rsidRPr="00900D6C">
        <w:rPr>
          <w:noProof w:val="0"/>
          <w:lang w:val="en-AU"/>
        </w:rPr>
        <w:tab/>
        <w:t xml:space="preserve">Scott NS, Paterson JM, Seale H, Truman G. Chronic carriage and familial transmission of typhoid in western Sydney. </w:t>
      </w:r>
      <w:proofErr w:type="spellStart"/>
      <w:proofErr w:type="gramStart"/>
      <w:r w:rsidRPr="00900D6C">
        <w:rPr>
          <w:noProof w:val="0"/>
          <w:lang w:val="en-AU"/>
        </w:rPr>
        <w:t>Commun</w:t>
      </w:r>
      <w:proofErr w:type="spellEnd"/>
      <w:r w:rsidRPr="00900D6C">
        <w:rPr>
          <w:noProof w:val="0"/>
          <w:lang w:val="en-AU"/>
        </w:rPr>
        <w:t xml:space="preserve"> Dis </w:t>
      </w:r>
      <w:proofErr w:type="spellStart"/>
      <w:r w:rsidRPr="00900D6C">
        <w:rPr>
          <w:noProof w:val="0"/>
          <w:lang w:val="en-AU"/>
        </w:rPr>
        <w:t>Intell</w:t>
      </w:r>
      <w:proofErr w:type="spellEnd"/>
      <w:r w:rsidRPr="00900D6C">
        <w:rPr>
          <w:noProof w:val="0"/>
          <w:lang w:val="en-AU"/>
        </w:rPr>
        <w:t>.</w:t>
      </w:r>
      <w:proofErr w:type="gramEnd"/>
      <w:r w:rsidRPr="00900D6C">
        <w:rPr>
          <w:noProof w:val="0"/>
          <w:lang w:val="en-AU"/>
        </w:rPr>
        <w:t xml:space="preserve"> 2014</w:t>
      </w:r>
      <w:proofErr w:type="gramStart"/>
      <w:r w:rsidRPr="00900D6C">
        <w:rPr>
          <w:noProof w:val="0"/>
          <w:lang w:val="en-AU"/>
        </w:rPr>
        <w:t>;38</w:t>
      </w:r>
      <w:proofErr w:type="gramEnd"/>
      <w:r w:rsidRPr="00900D6C">
        <w:rPr>
          <w:noProof w:val="0"/>
          <w:lang w:val="en-AU"/>
        </w:rPr>
        <w:t>(1):E24-E5.</w:t>
      </w:r>
      <w:bookmarkEnd w:id="53"/>
    </w:p>
    <w:p w14:paraId="138F1062" w14:textId="48ABC8ED" w:rsidR="00B2750F" w:rsidRPr="00193BD1" w:rsidRDefault="002A4B69" w:rsidP="00193BD1">
      <w:pPr>
        <w:pStyle w:val="Heading1"/>
      </w:pPr>
      <w:r w:rsidRPr="00193BD1">
        <w:t>14. Appendices</w:t>
      </w:r>
    </w:p>
    <w:p w14:paraId="39148D29" w14:textId="5DE7FE89" w:rsidR="00F93F7F" w:rsidRPr="00900D6C" w:rsidRDefault="00935BEA" w:rsidP="00EA19BA">
      <w:pPr>
        <w:ind w:right="-46"/>
      </w:pPr>
      <w:r w:rsidRPr="00900D6C">
        <w:t xml:space="preserve">Appendix 1: </w:t>
      </w:r>
      <w:r w:rsidRPr="00900D6C">
        <w:rPr>
          <w:szCs w:val="28"/>
        </w:rPr>
        <w:t>Case Investigation Check List</w:t>
      </w:r>
    </w:p>
    <w:p w14:paraId="71ED2958" w14:textId="54059E01" w:rsidR="00DE74B3" w:rsidRPr="00900D6C" w:rsidRDefault="00935BEA" w:rsidP="00EA19BA">
      <w:pPr>
        <w:ind w:right="-46"/>
      </w:pPr>
      <w:r w:rsidRPr="00900D6C">
        <w:t>Appendix 2: Typhoid and Paratyphoid Investigation form</w:t>
      </w:r>
    </w:p>
    <w:p w14:paraId="746E15FA" w14:textId="65C68F23" w:rsidR="00DE74B3" w:rsidRPr="00900D6C" w:rsidRDefault="00935BEA" w:rsidP="00EA19BA">
      <w:pPr>
        <w:ind w:right="-46"/>
      </w:pPr>
      <w:r w:rsidRPr="00900D6C">
        <w:t>Appendix 3: Sample fact sheet for typhoid and paratyphoid fevers (enteric fever)</w:t>
      </w:r>
    </w:p>
    <w:p w14:paraId="54D71188" w14:textId="6B54B814" w:rsidR="00DE74B3" w:rsidRPr="00900D6C" w:rsidRDefault="00935BEA" w:rsidP="00EA19BA">
      <w:pPr>
        <w:ind w:right="-46"/>
      </w:pPr>
      <w:r w:rsidRPr="00900D6C">
        <w:t>Appendix 4: Sample letters</w:t>
      </w:r>
    </w:p>
    <w:p w14:paraId="7A8A5114" w14:textId="17682815" w:rsidR="00DE74B3" w:rsidRPr="00900D6C" w:rsidRDefault="00935BEA" w:rsidP="00EA19BA">
      <w:pPr>
        <w:ind w:right="-46"/>
      </w:pPr>
      <w:r w:rsidRPr="00900D6C">
        <w:t>Appendix 5: Public Health Management of cases of enteric fever flow diagram</w:t>
      </w:r>
    </w:p>
    <w:p w14:paraId="5209FB15" w14:textId="5CD7EF05" w:rsidR="00DE74B3" w:rsidRPr="00900D6C" w:rsidRDefault="00935BEA" w:rsidP="00EA19BA">
      <w:pPr>
        <w:ind w:right="-46"/>
      </w:pPr>
      <w:r w:rsidRPr="00900D6C">
        <w:t>Appendix 6: Public Health Management of contacts of enteric fever flow diagram</w:t>
      </w:r>
    </w:p>
    <w:p w14:paraId="1560D6E2" w14:textId="77777777" w:rsidR="00A52082" w:rsidRPr="00193BD1" w:rsidRDefault="00A52082" w:rsidP="00A52082">
      <w:pPr>
        <w:pStyle w:val="Heading1"/>
      </w:pPr>
      <w:r w:rsidRPr="00193BD1">
        <w:t>15. Jurisdiction specific issues</w:t>
      </w:r>
    </w:p>
    <w:p w14:paraId="3F206382" w14:textId="261BB896" w:rsidR="00A52082" w:rsidRPr="00900D6C" w:rsidRDefault="00A52082" w:rsidP="00A52082">
      <w:pPr>
        <w:pStyle w:val="BodyText"/>
        <w:ind w:right="-46"/>
        <w:rPr>
          <w:rStyle w:val="Hyperlink"/>
          <w:lang w:val="en-AU"/>
        </w:rPr>
      </w:pPr>
      <w:proofErr w:type="gramStart"/>
      <w:r w:rsidRPr="0098447C">
        <w:rPr>
          <w:rFonts w:ascii="Arial" w:hAnsi="Arial"/>
          <w:lang w:val="en-AU"/>
        </w:rPr>
        <w:t>Links to State and Territory Public Health Legislation, the Biosecurity Act 2015 and the National Health Security Act 2007.</w:t>
      </w:r>
      <w:proofErr w:type="gramEnd"/>
    </w:p>
    <w:p w14:paraId="23E21AF5" w14:textId="77777777" w:rsidR="00F05EC6" w:rsidRDefault="00F05EC6" w:rsidP="00EA19BA">
      <w:pPr>
        <w:ind w:right="-46"/>
      </w:pPr>
    </w:p>
    <w:p w14:paraId="66885E32" w14:textId="77777777" w:rsidR="00A52082" w:rsidRPr="00900D6C" w:rsidRDefault="00A52082" w:rsidP="00EA19BA">
      <w:pPr>
        <w:ind w:right="-46"/>
        <w:sectPr w:rsidR="00A52082" w:rsidRPr="00900D6C" w:rsidSect="00AF2C52">
          <w:headerReference w:type="even" r:id="rId10"/>
          <w:headerReference w:type="default" r:id="rId11"/>
          <w:footerReference w:type="even" r:id="rId12"/>
          <w:footerReference w:type="default" r:id="rId13"/>
          <w:headerReference w:type="first" r:id="rId14"/>
          <w:footerReference w:type="first" r:id="rId15"/>
          <w:pgSz w:w="11907" w:h="16840" w:code="9"/>
          <w:pgMar w:top="821" w:right="992" w:bottom="567" w:left="1134" w:header="426" w:footer="639" w:gutter="0"/>
          <w:cols w:space="709"/>
          <w:titlePg/>
        </w:sectPr>
      </w:pPr>
    </w:p>
    <w:p w14:paraId="7C539092" w14:textId="5F08435D" w:rsidR="00D33DC3" w:rsidRPr="00193BD1" w:rsidRDefault="00DE74B3" w:rsidP="00193BD1">
      <w:pPr>
        <w:pStyle w:val="Heading1"/>
      </w:pPr>
      <w:bookmarkStart w:id="54" w:name="_Ref472427424"/>
      <w:r w:rsidRPr="00193BD1">
        <w:t xml:space="preserve">Appendix </w:t>
      </w:r>
      <w:r w:rsidR="00935BEA" w:rsidRPr="00193BD1">
        <w:t>1</w:t>
      </w:r>
      <w:r w:rsidRPr="00193BD1">
        <w:t xml:space="preserve">: </w:t>
      </w:r>
      <w:r w:rsidR="00B53893" w:rsidRPr="00193BD1">
        <w:t>Case Investigation Check L</w:t>
      </w:r>
      <w:r w:rsidR="00D33DC3" w:rsidRPr="00193BD1">
        <w:t>ist</w:t>
      </w:r>
      <w:bookmarkEnd w:id="54"/>
    </w:p>
    <w:p w14:paraId="6064E81A" w14:textId="5B8CC5E9" w:rsidR="00D33DC3" w:rsidRPr="00900D6C" w:rsidRDefault="00D33DC3" w:rsidP="00193BD1">
      <w:pPr>
        <w:pStyle w:val="Heading2"/>
      </w:pPr>
      <w:r w:rsidRPr="00900D6C">
        <w:t xml:space="preserve">Contact the patient’s </w:t>
      </w:r>
      <w:r w:rsidR="00D94E1F" w:rsidRPr="00900D6C">
        <w:t>doctor</w:t>
      </w:r>
      <w:r w:rsidRPr="00900D6C">
        <w:t xml:space="preserve"> to:</w:t>
      </w:r>
    </w:p>
    <w:p w14:paraId="1A2920B0" w14:textId="219C1C4E" w:rsidR="00D33DC3" w:rsidRPr="00900D6C" w:rsidRDefault="00D33DC3" w:rsidP="00EA19BA">
      <w:pPr>
        <w:pStyle w:val="ListParagraph"/>
        <w:numPr>
          <w:ilvl w:val="0"/>
          <w:numId w:val="7"/>
        </w:numPr>
        <w:ind w:right="-46"/>
        <w:rPr>
          <w:lang w:val="en-AU" w:eastAsia="en-AU"/>
        </w:rPr>
      </w:pPr>
      <w:r w:rsidRPr="00900D6C">
        <w:rPr>
          <w:lang w:val="en-AU" w:eastAsia="en-AU"/>
        </w:rPr>
        <w:t>Obtain patient’s history</w:t>
      </w:r>
      <w:r w:rsidR="00BC2A86" w:rsidRPr="00900D6C">
        <w:rPr>
          <w:lang w:val="en-AU" w:eastAsia="en-AU"/>
        </w:rPr>
        <w:t xml:space="preserve">, particularly </w:t>
      </w:r>
      <w:r w:rsidR="00C8258D" w:rsidRPr="00900D6C">
        <w:rPr>
          <w:lang w:val="en-AU" w:eastAsia="en-AU"/>
        </w:rPr>
        <w:t xml:space="preserve">about </w:t>
      </w:r>
      <w:r w:rsidR="00BC2A86" w:rsidRPr="00900D6C">
        <w:rPr>
          <w:lang w:val="en-AU" w:eastAsia="en-AU"/>
        </w:rPr>
        <w:t>overseas travel</w:t>
      </w:r>
      <w:r w:rsidR="00C8258D" w:rsidRPr="00900D6C">
        <w:rPr>
          <w:lang w:val="en-AU" w:eastAsia="en-AU"/>
        </w:rPr>
        <w:t>;</w:t>
      </w:r>
    </w:p>
    <w:p w14:paraId="36D7C15A" w14:textId="42916FDC" w:rsidR="00D33DC3" w:rsidRPr="00900D6C" w:rsidRDefault="00D33DC3" w:rsidP="00EA19BA">
      <w:pPr>
        <w:pStyle w:val="ListParagraph"/>
        <w:numPr>
          <w:ilvl w:val="0"/>
          <w:numId w:val="7"/>
        </w:numPr>
        <w:ind w:right="-46"/>
        <w:rPr>
          <w:lang w:val="en-AU" w:eastAsia="en-AU"/>
        </w:rPr>
      </w:pPr>
      <w:r w:rsidRPr="00900D6C">
        <w:rPr>
          <w:lang w:val="en-AU" w:eastAsia="en-AU"/>
        </w:rPr>
        <w:t>Confirm results of relevant laboratory tests</w:t>
      </w:r>
      <w:r w:rsidR="00C8258D" w:rsidRPr="00900D6C">
        <w:rPr>
          <w:lang w:val="en-AU" w:eastAsia="en-AU"/>
        </w:rPr>
        <w:t>;</w:t>
      </w:r>
    </w:p>
    <w:p w14:paraId="0E216321" w14:textId="533F906B" w:rsidR="00D94E1F" w:rsidRPr="00900D6C" w:rsidRDefault="00D94E1F" w:rsidP="00EA19BA">
      <w:pPr>
        <w:pStyle w:val="ListParagraph"/>
        <w:numPr>
          <w:ilvl w:val="0"/>
          <w:numId w:val="7"/>
        </w:numPr>
        <w:ind w:right="-46"/>
        <w:rPr>
          <w:lang w:val="en-AU" w:eastAsia="en-AU"/>
        </w:rPr>
      </w:pPr>
      <w:r w:rsidRPr="00900D6C">
        <w:rPr>
          <w:lang w:val="en-AU" w:eastAsia="en-AU"/>
        </w:rPr>
        <w:t>Confirm what treatment the patient has been given and its duration</w:t>
      </w:r>
      <w:r w:rsidR="00C8258D" w:rsidRPr="00900D6C">
        <w:rPr>
          <w:lang w:val="en-AU" w:eastAsia="en-AU"/>
        </w:rPr>
        <w:t>;</w:t>
      </w:r>
    </w:p>
    <w:p w14:paraId="31E49CC4" w14:textId="48942B24" w:rsidR="00D94E1F" w:rsidRPr="00900D6C" w:rsidRDefault="00D94E1F" w:rsidP="00EA19BA">
      <w:pPr>
        <w:pStyle w:val="ListParagraph"/>
        <w:numPr>
          <w:ilvl w:val="0"/>
          <w:numId w:val="7"/>
        </w:numPr>
        <w:ind w:right="-46"/>
        <w:rPr>
          <w:lang w:val="en-AU" w:eastAsia="en-AU"/>
        </w:rPr>
      </w:pPr>
      <w:r w:rsidRPr="00900D6C">
        <w:rPr>
          <w:lang w:val="en-AU" w:eastAsia="en-AU"/>
        </w:rPr>
        <w:t>Seek the doctor’s permission to contact the case or relevant care-giver (where possible)</w:t>
      </w:r>
      <w:r w:rsidR="00C8258D" w:rsidRPr="00900D6C">
        <w:rPr>
          <w:lang w:val="en-AU" w:eastAsia="en-AU"/>
        </w:rPr>
        <w:t>.</w:t>
      </w:r>
    </w:p>
    <w:p w14:paraId="12B9E8E0" w14:textId="607D1A32" w:rsidR="00D33DC3" w:rsidRPr="00900D6C" w:rsidRDefault="00D94E1F" w:rsidP="00193BD1">
      <w:pPr>
        <w:pStyle w:val="Heading2"/>
      </w:pPr>
      <w:r w:rsidRPr="00900D6C">
        <w:t>C</w:t>
      </w:r>
      <w:r w:rsidR="00D33DC3" w:rsidRPr="00900D6C">
        <w:t xml:space="preserve">ontact the </w:t>
      </w:r>
      <w:r w:rsidR="00494737" w:rsidRPr="00900D6C">
        <w:t>case</w:t>
      </w:r>
      <w:r w:rsidR="00D33DC3" w:rsidRPr="00900D6C">
        <w:t xml:space="preserve"> to:</w:t>
      </w:r>
    </w:p>
    <w:p w14:paraId="012782BD" w14:textId="3A62D0BF" w:rsidR="00D33DC3" w:rsidRPr="00900D6C" w:rsidRDefault="00D33DC3" w:rsidP="00EA19BA">
      <w:pPr>
        <w:pStyle w:val="NoSpacing"/>
        <w:numPr>
          <w:ilvl w:val="0"/>
          <w:numId w:val="6"/>
        </w:numPr>
        <w:ind w:right="-46"/>
        <w:rPr>
          <w:lang w:eastAsia="en-AU"/>
        </w:rPr>
      </w:pPr>
      <w:r w:rsidRPr="00900D6C">
        <w:rPr>
          <w:lang w:eastAsia="en-AU"/>
        </w:rPr>
        <w:t>Confirm onset date and symptoms of the illness</w:t>
      </w:r>
      <w:r w:rsidR="00C8258D" w:rsidRPr="00900D6C">
        <w:rPr>
          <w:lang w:eastAsia="en-AU"/>
        </w:rPr>
        <w:t>;</w:t>
      </w:r>
    </w:p>
    <w:p w14:paraId="413D6FE2" w14:textId="37A3F691" w:rsidR="00BA01D7" w:rsidRDefault="00D33DC3" w:rsidP="00EA19BA">
      <w:pPr>
        <w:pStyle w:val="NoSpacing"/>
        <w:numPr>
          <w:ilvl w:val="0"/>
          <w:numId w:val="6"/>
        </w:numPr>
        <w:ind w:right="-46"/>
        <w:rPr>
          <w:i/>
          <w:iCs/>
          <w:lang w:eastAsia="en-AU"/>
        </w:rPr>
      </w:pPr>
      <w:r w:rsidRPr="00900D6C">
        <w:rPr>
          <w:lang w:eastAsia="en-AU"/>
        </w:rPr>
        <w:t xml:space="preserve">Complete </w:t>
      </w:r>
      <w:r w:rsidR="00935BEA" w:rsidRPr="00900D6C">
        <w:t>Appendix 2: Typhoid and Paratyphoid Investigation form</w:t>
      </w:r>
      <w:r w:rsidR="00C8258D" w:rsidRPr="00900D6C">
        <w:rPr>
          <w:iCs/>
          <w:lang w:eastAsia="en-AU"/>
        </w:rPr>
        <w:t>;</w:t>
      </w:r>
    </w:p>
    <w:p w14:paraId="22633ECD" w14:textId="387FE22C" w:rsidR="00D33DC3" w:rsidRPr="00900D6C" w:rsidRDefault="00D33DC3" w:rsidP="00EA19BA">
      <w:pPr>
        <w:pStyle w:val="NoSpacing"/>
        <w:numPr>
          <w:ilvl w:val="0"/>
          <w:numId w:val="6"/>
        </w:numPr>
        <w:ind w:right="-46"/>
        <w:rPr>
          <w:lang w:eastAsia="en-AU"/>
        </w:rPr>
      </w:pPr>
      <w:r w:rsidRPr="00900D6C">
        <w:rPr>
          <w:lang w:eastAsia="en-AU"/>
        </w:rPr>
        <w:t xml:space="preserve">Provide </w:t>
      </w:r>
      <w:proofErr w:type="spellStart"/>
      <w:r w:rsidR="003763DF" w:rsidRPr="00900D6C">
        <w:rPr>
          <w:lang w:eastAsia="en-AU"/>
        </w:rPr>
        <w:t>a</w:t>
      </w:r>
      <w:proofErr w:type="spellEnd"/>
      <w:r w:rsidR="003763DF" w:rsidRPr="00900D6C">
        <w:rPr>
          <w:lang w:eastAsia="en-AU"/>
        </w:rPr>
        <w:t xml:space="preserve"> </w:t>
      </w:r>
      <w:r w:rsidR="00935BEA" w:rsidRPr="00900D6C">
        <w:t>Appendix 3: Sample fact sheet for typhoid and paratyphoid fevers (enteric fever)</w:t>
      </w:r>
      <w:r w:rsidR="00C8258D" w:rsidRPr="00900D6C">
        <w:rPr>
          <w:iCs/>
          <w:lang w:eastAsia="en-AU"/>
        </w:rPr>
        <w:t>;</w:t>
      </w:r>
    </w:p>
    <w:p w14:paraId="546D0BF3" w14:textId="2603F704" w:rsidR="00D33DC3" w:rsidRPr="00900D6C" w:rsidRDefault="00156C20" w:rsidP="00EA19BA">
      <w:pPr>
        <w:pStyle w:val="NoSpacing"/>
        <w:numPr>
          <w:ilvl w:val="0"/>
          <w:numId w:val="6"/>
        </w:numPr>
        <w:ind w:right="-46"/>
      </w:pPr>
      <w:r w:rsidRPr="00900D6C">
        <w:t>Investigate the likely source of infection</w:t>
      </w:r>
      <w:r w:rsidR="00C8258D" w:rsidRPr="00900D6C">
        <w:t>;</w:t>
      </w:r>
    </w:p>
    <w:p w14:paraId="76703C12" w14:textId="012829F3" w:rsidR="003763DF" w:rsidRPr="00900D6C" w:rsidRDefault="003763DF" w:rsidP="00EA19BA">
      <w:pPr>
        <w:pStyle w:val="NoSpacing"/>
        <w:numPr>
          <w:ilvl w:val="0"/>
          <w:numId w:val="6"/>
        </w:numPr>
        <w:ind w:right="-46"/>
        <w:rPr>
          <w:lang w:eastAsia="en-AU"/>
        </w:rPr>
      </w:pPr>
      <w:r w:rsidRPr="00900D6C">
        <w:rPr>
          <w:lang w:eastAsia="en-AU"/>
        </w:rPr>
        <w:t xml:space="preserve">Recommend exclusions and restrictions </w:t>
      </w:r>
      <w:r w:rsidR="003C2978" w:rsidRPr="00900D6C">
        <w:rPr>
          <w:lang w:eastAsia="en-AU"/>
        </w:rPr>
        <w:t>as appropriate</w:t>
      </w:r>
      <w:r w:rsidR="00C8258D" w:rsidRPr="00900D6C">
        <w:rPr>
          <w:lang w:eastAsia="en-AU"/>
        </w:rPr>
        <w:t>;</w:t>
      </w:r>
    </w:p>
    <w:p w14:paraId="4ABD73BA" w14:textId="1D081ED2" w:rsidR="003C2978" w:rsidRPr="00900D6C" w:rsidRDefault="003C2978" w:rsidP="00EA19BA">
      <w:pPr>
        <w:pStyle w:val="NoSpacing"/>
        <w:numPr>
          <w:ilvl w:val="0"/>
          <w:numId w:val="6"/>
        </w:numPr>
        <w:ind w:right="-46"/>
        <w:rPr>
          <w:lang w:eastAsia="en-AU"/>
        </w:rPr>
      </w:pPr>
      <w:r w:rsidRPr="00900D6C">
        <w:rPr>
          <w:lang w:eastAsia="en-AU"/>
        </w:rPr>
        <w:t>Recommend and arrange faeces</w:t>
      </w:r>
      <w:r w:rsidR="00201668" w:rsidRPr="00900D6C">
        <w:rPr>
          <w:lang w:eastAsia="en-AU"/>
        </w:rPr>
        <w:t>/urine</w:t>
      </w:r>
      <w:r w:rsidRPr="00900D6C">
        <w:rPr>
          <w:lang w:eastAsia="en-AU"/>
        </w:rPr>
        <w:t xml:space="preserve"> clearance specimens as appropriate</w:t>
      </w:r>
      <w:r w:rsidR="00C8258D" w:rsidRPr="00900D6C">
        <w:rPr>
          <w:lang w:eastAsia="en-AU"/>
        </w:rPr>
        <w:t>;</w:t>
      </w:r>
    </w:p>
    <w:p w14:paraId="610D83B4" w14:textId="5B9327F1" w:rsidR="003763DF" w:rsidRPr="00900D6C" w:rsidRDefault="003763DF" w:rsidP="00EA19BA">
      <w:pPr>
        <w:pStyle w:val="NoSpacing"/>
        <w:numPr>
          <w:ilvl w:val="0"/>
          <w:numId w:val="6"/>
        </w:numPr>
        <w:ind w:right="-46"/>
        <w:rPr>
          <w:lang w:eastAsia="en-AU"/>
        </w:rPr>
      </w:pPr>
      <w:r w:rsidRPr="00900D6C">
        <w:rPr>
          <w:lang w:eastAsia="en-AU"/>
        </w:rPr>
        <w:t>Identify contacts and obtain contact details</w:t>
      </w:r>
      <w:r w:rsidR="00C8258D" w:rsidRPr="00900D6C">
        <w:rPr>
          <w:lang w:eastAsia="en-AU"/>
        </w:rPr>
        <w:t>;</w:t>
      </w:r>
    </w:p>
    <w:p w14:paraId="5E828820" w14:textId="43824D86" w:rsidR="00D33DC3" w:rsidRPr="00900D6C" w:rsidRDefault="003763DF" w:rsidP="00193BD1">
      <w:pPr>
        <w:pStyle w:val="NoSpacing"/>
        <w:numPr>
          <w:ilvl w:val="0"/>
          <w:numId w:val="6"/>
        </w:numPr>
        <w:spacing w:after="240"/>
        <w:ind w:right="-43"/>
        <w:rPr>
          <w:lang w:eastAsia="en-AU"/>
        </w:rPr>
      </w:pPr>
      <w:r w:rsidRPr="00900D6C">
        <w:rPr>
          <w:lang w:eastAsia="en-AU"/>
        </w:rPr>
        <w:t>Review vaccination status</w:t>
      </w:r>
      <w:r w:rsidR="00C8258D" w:rsidRPr="00900D6C">
        <w:rPr>
          <w:lang w:eastAsia="en-AU"/>
        </w:rPr>
        <w:t>.</w:t>
      </w:r>
    </w:p>
    <w:p w14:paraId="1B6B8E93" w14:textId="77777777" w:rsidR="004A42B1" w:rsidRPr="00900D6C" w:rsidRDefault="004A42B1" w:rsidP="00193BD1">
      <w:pPr>
        <w:pStyle w:val="Heading2"/>
      </w:pPr>
      <w:r w:rsidRPr="00900D6C">
        <w:t xml:space="preserve">Contact the </w:t>
      </w:r>
      <w:r w:rsidR="00494737" w:rsidRPr="00900D6C">
        <w:t>case</w:t>
      </w:r>
      <w:r w:rsidRPr="00900D6C">
        <w:t>’s contacts to:</w:t>
      </w:r>
    </w:p>
    <w:p w14:paraId="084967A9" w14:textId="35E58EE2" w:rsidR="004A42B1" w:rsidRPr="00900D6C" w:rsidRDefault="004A42B1" w:rsidP="00EA19BA">
      <w:pPr>
        <w:pStyle w:val="ListParagraph"/>
        <w:numPr>
          <w:ilvl w:val="0"/>
          <w:numId w:val="9"/>
        </w:numPr>
        <w:ind w:right="-46"/>
        <w:rPr>
          <w:lang w:val="en-AU" w:eastAsia="en-AU"/>
        </w:rPr>
      </w:pPr>
      <w:r w:rsidRPr="00900D6C">
        <w:rPr>
          <w:lang w:val="en-AU" w:eastAsia="en-AU"/>
        </w:rPr>
        <w:t>Enquire as to symptoms and recommend and arrange testing as appropriate</w:t>
      </w:r>
      <w:r w:rsidR="00C8258D" w:rsidRPr="00900D6C">
        <w:rPr>
          <w:lang w:val="en-AU" w:eastAsia="en-AU"/>
        </w:rPr>
        <w:t>;</w:t>
      </w:r>
    </w:p>
    <w:p w14:paraId="031A7219" w14:textId="0327CD3F" w:rsidR="004A42B1" w:rsidRPr="00900D6C" w:rsidRDefault="004A42B1" w:rsidP="00EA19BA">
      <w:pPr>
        <w:pStyle w:val="ListParagraph"/>
        <w:numPr>
          <w:ilvl w:val="0"/>
          <w:numId w:val="9"/>
        </w:numPr>
        <w:ind w:right="-46"/>
        <w:rPr>
          <w:lang w:val="en-AU" w:eastAsia="en-AU"/>
        </w:rPr>
      </w:pPr>
      <w:r w:rsidRPr="00900D6C">
        <w:rPr>
          <w:lang w:val="en-AU" w:eastAsia="en-AU"/>
        </w:rPr>
        <w:t>Recommend and arrange screening faeces specimens as appropriate</w:t>
      </w:r>
      <w:r w:rsidR="00C8258D" w:rsidRPr="00900D6C">
        <w:rPr>
          <w:lang w:val="en-AU" w:eastAsia="en-AU"/>
        </w:rPr>
        <w:t>;</w:t>
      </w:r>
    </w:p>
    <w:p w14:paraId="2897E94C" w14:textId="28F9A827" w:rsidR="004A42B1" w:rsidRPr="00900D6C" w:rsidRDefault="004A42B1" w:rsidP="00EA19BA">
      <w:pPr>
        <w:pStyle w:val="ListParagraph"/>
        <w:numPr>
          <w:ilvl w:val="0"/>
          <w:numId w:val="9"/>
        </w:numPr>
        <w:ind w:right="-46"/>
        <w:rPr>
          <w:lang w:val="en-AU" w:eastAsia="en-AU"/>
        </w:rPr>
      </w:pPr>
      <w:r w:rsidRPr="00900D6C">
        <w:rPr>
          <w:lang w:val="en-AU" w:eastAsia="en-AU"/>
        </w:rPr>
        <w:t>Recommend exclusions and restrictions</w:t>
      </w:r>
      <w:r w:rsidR="003C2978" w:rsidRPr="00900D6C">
        <w:rPr>
          <w:lang w:val="en-AU" w:eastAsia="en-AU"/>
        </w:rPr>
        <w:t xml:space="preserve"> as appropriate</w:t>
      </w:r>
      <w:r w:rsidR="00C8258D" w:rsidRPr="00900D6C">
        <w:rPr>
          <w:lang w:val="en-AU" w:eastAsia="en-AU"/>
        </w:rPr>
        <w:t>;</w:t>
      </w:r>
    </w:p>
    <w:p w14:paraId="66DDD5A3" w14:textId="0CB4B7D7" w:rsidR="004A42B1" w:rsidRPr="00900D6C" w:rsidRDefault="004A42B1" w:rsidP="00EA19BA">
      <w:pPr>
        <w:pStyle w:val="ListParagraph"/>
        <w:numPr>
          <w:ilvl w:val="0"/>
          <w:numId w:val="9"/>
        </w:numPr>
        <w:ind w:right="-46"/>
        <w:rPr>
          <w:lang w:val="en-AU" w:eastAsia="en-AU"/>
        </w:rPr>
      </w:pPr>
      <w:r w:rsidRPr="00900D6C">
        <w:rPr>
          <w:lang w:val="en-AU" w:eastAsia="en-AU"/>
        </w:rPr>
        <w:t xml:space="preserve">Provide with </w:t>
      </w:r>
      <w:r w:rsidRPr="00900D6C">
        <w:rPr>
          <w:i/>
          <w:lang w:val="en-AU" w:eastAsia="en-AU"/>
        </w:rPr>
        <w:t xml:space="preserve">Typhoid </w:t>
      </w:r>
      <w:r w:rsidR="00437314" w:rsidRPr="00900D6C">
        <w:rPr>
          <w:i/>
          <w:lang w:val="en-AU" w:eastAsia="en-AU"/>
        </w:rPr>
        <w:t xml:space="preserve">and Paratyphoid </w:t>
      </w:r>
      <w:r w:rsidRPr="00900D6C">
        <w:rPr>
          <w:i/>
          <w:lang w:val="en-AU" w:eastAsia="en-AU"/>
        </w:rPr>
        <w:t>Disease Factsheet</w:t>
      </w:r>
      <w:r w:rsidR="00C8258D" w:rsidRPr="00900D6C">
        <w:rPr>
          <w:i/>
          <w:lang w:val="en-AU" w:eastAsia="en-AU"/>
        </w:rPr>
        <w:t>.</w:t>
      </w:r>
    </w:p>
    <w:p w14:paraId="7770FD28" w14:textId="3987CEEF" w:rsidR="00D33DC3" w:rsidRPr="00900D6C" w:rsidRDefault="00D33DC3" w:rsidP="00193BD1">
      <w:pPr>
        <w:pStyle w:val="Heading2"/>
      </w:pPr>
      <w:r w:rsidRPr="00900D6C">
        <w:t>Other issues</w:t>
      </w:r>
      <w:r w:rsidR="0059437E" w:rsidRPr="00900D6C">
        <w:t>:</w:t>
      </w:r>
    </w:p>
    <w:p w14:paraId="44ACE99B" w14:textId="14048BEA" w:rsidR="00D33DC3" w:rsidRPr="00900D6C" w:rsidRDefault="003C2978" w:rsidP="00EA19BA">
      <w:pPr>
        <w:pStyle w:val="ListParagraph"/>
        <w:numPr>
          <w:ilvl w:val="0"/>
          <w:numId w:val="8"/>
        </w:numPr>
        <w:ind w:right="-46"/>
        <w:rPr>
          <w:lang w:val="en-AU" w:eastAsia="en-AU"/>
        </w:rPr>
      </w:pPr>
      <w:r w:rsidRPr="00900D6C">
        <w:rPr>
          <w:lang w:val="en-AU"/>
        </w:rPr>
        <w:t>Provide</w:t>
      </w:r>
      <w:r w:rsidR="00D33DC3" w:rsidRPr="00900D6C">
        <w:rPr>
          <w:lang w:val="en-AU"/>
        </w:rPr>
        <w:t xml:space="preserve"> </w:t>
      </w:r>
      <w:proofErr w:type="spellStart"/>
      <w:r w:rsidR="00D33DC3" w:rsidRPr="00900D6C">
        <w:rPr>
          <w:lang w:val="en-AU"/>
        </w:rPr>
        <w:t>Ozfoodnet</w:t>
      </w:r>
      <w:proofErr w:type="spellEnd"/>
      <w:r w:rsidR="00D33DC3" w:rsidRPr="00900D6C">
        <w:rPr>
          <w:lang w:val="en-AU"/>
        </w:rPr>
        <w:t xml:space="preserve"> </w:t>
      </w:r>
      <w:r w:rsidRPr="00900D6C">
        <w:rPr>
          <w:lang w:val="en-AU"/>
        </w:rPr>
        <w:t xml:space="preserve">with a copy of the </w:t>
      </w:r>
      <w:r w:rsidR="00987E38" w:rsidRPr="00900D6C">
        <w:rPr>
          <w:lang w:val="en-AU"/>
        </w:rPr>
        <w:t xml:space="preserve">completed </w:t>
      </w:r>
      <w:r w:rsidRPr="00900D6C">
        <w:rPr>
          <w:i/>
          <w:lang w:val="en-AU"/>
        </w:rPr>
        <w:t>Case Investigation Form</w:t>
      </w:r>
      <w:r w:rsidR="00C8258D" w:rsidRPr="00900D6C">
        <w:rPr>
          <w:lang w:val="en-AU"/>
        </w:rPr>
        <w:t>;</w:t>
      </w:r>
    </w:p>
    <w:p w14:paraId="388AC5BD" w14:textId="5B70836E" w:rsidR="00D33DC3" w:rsidRPr="00900D6C" w:rsidRDefault="00D33DC3" w:rsidP="00EA19BA">
      <w:pPr>
        <w:pStyle w:val="ListParagraph"/>
        <w:numPr>
          <w:ilvl w:val="0"/>
          <w:numId w:val="8"/>
        </w:numPr>
        <w:ind w:right="-46"/>
        <w:rPr>
          <w:lang w:val="en-AU" w:eastAsia="en-AU"/>
        </w:rPr>
      </w:pPr>
      <w:r w:rsidRPr="00900D6C">
        <w:rPr>
          <w:lang w:val="en-AU" w:eastAsia="en-AU"/>
        </w:rPr>
        <w:t>For a death, report details to state/territory communicable disease</w:t>
      </w:r>
      <w:r w:rsidR="00D81A61" w:rsidRPr="00900D6C">
        <w:rPr>
          <w:lang w:val="en-AU" w:eastAsia="en-AU"/>
        </w:rPr>
        <w:t>s</w:t>
      </w:r>
      <w:r w:rsidRPr="00900D6C">
        <w:rPr>
          <w:lang w:val="en-AU" w:eastAsia="en-AU"/>
        </w:rPr>
        <w:t xml:space="preserve"> branch</w:t>
      </w:r>
      <w:r w:rsidR="00C8258D" w:rsidRPr="00900D6C">
        <w:rPr>
          <w:lang w:val="en-AU" w:eastAsia="en-AU"/>
        </w:rPr>
        <w:t>;</w:t>
      </w:r>
    </w:p>
    <w:p w14:paraId="3ED0A2C0" w14:textId="2AB67073" w:rsidR="00D33DC3" w:rsidRPr="00900D6C" w:rsidRDefault="00D33DC3" w:rsidP="00EA19BA">
      <w:pPr>
        <w:pStyle w:val="ListParagraph"/>
        <w:numPr>
          <w:ilvl w:val="0"/>
          <w:numId w:val="8"/>
        </w:numPr>
        <w:ind w:right="-46"/>
        <w:rPr>
          <w:lang w:val="en-AU" w:eastAsia="en-AU"/>
        </w:rPr>
      </w:pPr>
      <w:r w:rsidRPr="00900D6C">
        <w:rPr>
          <w:lang w:val="en-AU" w:eastAsia="en-AU"/>
        </w:rPr>
        <w:t xml:space="preserve">Enter case data onto </w:t>
      </w:r>
      <w:proofErr w:type="spellStart"/>
      <w:r w:rsidRPr="00900D6C">
        <w:rPr>
          <w:lang w:val="en-AU" w:eastAsia="en-AU"/>
        </w:rPr>
        <w:t>notifiable</w:t>
      </w:r>
      <w:proofErr w:type="spellEnd"/>
      <w:r w:rsidRPr="00900D6C">
        <w:rPr>
          <w:lang w:val="en-AU" w:eastAsia="en-AU"/>
        </w:rPr>
        <w:t xml:space="preserve"> diseases database</w:t>
      </w:r>
      <w:r w:rsidR="00C8258D" w:rsidRPr="00900D6C">
        <w:rPr>
          <w:lang w:val="en-AU" w:eastAsia="en-AU"/>
        </w:rPr>
        <w:t>;</w:t>
      </w:r>
    </w:p>
    <w:p w14:paraId="65007757" w14:textId="5671321B" w:rsidR="00D33DC3" w:rsidRPr="00900D6C" w:rsidRDefault="00D33DC3" w:rsidP="00EA19BA">
      <w:pPr>
        <w:pStyle w:val="ListParagraph"/>
        <w:numPr>
          <w:ilvl w:val="0"/>
          <w:numId w:val="8"/>
        </w:numPr>
        <w:ind w:right="-46"/>
        <w:rPr>
          <w:lang w:val="en-AU"/>
        </w:rPr>
      </w:pPr>
      <w:r w:rsidRPr="00900D6C">
        <w:rPr>
          <w:lang w:val="en-AU"/>
        </w:rPr>
        <w:t xml:space="preserve">Ensure case isolates are forwarded to the appropriate </w:t>
      </w:r>
      <w:r w:rsidR="00C8258D" w:rsidRPr="00900D6C">
        <w:rPr>
          <w:lang w:val="en-AU"/>
        </w:rPr>
        <w:t>s</w:t>
      </w:r>
      <w:r w:rsidRPr="00900D6C">
        <w:rPr>
          <w:lang w:val="en-AU"/>
        </w:rPr>
        <w:t>tate/</w:t>
      </w:r>
      <w:r w:rsidR="00C8258D" w:rsidRPr="00900D6C">
        <w:rPr>
          <w:lang w:val="en-AU"/>
        </w:rPr>
        <w:t>t</w:t>
      </w:r>
      <w:r w:rsidRPr="00900D6C">
        <w:rPr>
          <w:lang w:val="en-AU"/>
        </w:rPr>
        <w:t xml:space="preserve">erritory Public Health Microbiology Laboratory for </w:t>
      </w:r>
      <w:r w:rsidR="00BC2A86" w:rsidRPr="00900D6C">
        <w:rPr>
          <w:lang w:val="en-AU"/>
        </w:rPr>
        <w:t>further</w:t>
      </w:r>
      <w:r w:rsidR="00F24936" w:rsidRPr="00900D6C">
        <w:rPr>
          <w:lang w:val="en-AU"/>
        </w:rPr>
        <w:t xml:space="preserve"> </w:t>
      </w:r>
      <w:r w:rsidRPr="00900D6C">
        <w:rPr>
          <w:lang w:val="en-AU"/>
        </w:rPr>
        <w:t>typing</w:t>
      </w:r>
      <w:r w:rsidR="00C8258D" w:rsidRPr="00900D6C">
        <w:rPr>
          <w:lang w:val="en-AU"/>
        </w:rPr>
        <w:t>;</w:t>
      </w:r>
    </w:p>
    <w:p w14:paraId="5DEF2B68" w14:textId="4F9C0FB9" w:rsidR="00D33DC3" w:rsidRPr="00900D6C" w:rsidRDefault="00D33DC3" w:rsidP="00EA19BA">
      <w:pPr>
        <w:pStyle w:val="ListParagraph"/>
        <w:numPr>
          <w:ilvl w:val="0"/>
          <w:numId w:val="8"/>
        </w:numPr>
        <w:ind w:right="-46"/>
        <w:rPr>
          <w:lang w:val="en-AU"/>
        </w:rPr>
      </w:pPr>
      <w:r w:rsidRPr="00900D6C">
        <w:rPr>
          <w:lang w:val="en-AU"/>
        </w:rPr>
        <w:t>Assess the possibility of a common source outbreak if there is a cluster of cases</w:t>
      </w:r>
      <w:r w:rsidR="00C8258D" w:rsidRPr="00900D6C">
        <w:rPr>
          <w:lang w:val="en-AU"/>
        </w:rPr>
        <w:t>;</w:t>
      </w:r>
    </w:p>
    <w:p w14:paraId="3B6116B7" w14:textId="4B800022" w:rsidR="00D33DC3" w:rsidRPr="00900D6C" w:rsidRDefault="00D33DC3" w:rsidP="00EA19BA">
      <w:pPr>
        <w:pStyle w:val="ListParagraph"/>
        <w:numPr>
          <w:ilvl w:val="0"/>
          <w:numId w:val="8"/>
        </w:numPr>
        <w:ind w:right="-46"/>
        <w:rPr>
          <w:lang w:val="en-AU"/>
        </w:rPr>
      </w:pPr>
      <w:r w:rsidRPr="00900D6C">
        <w:rPr>
          <w:lang w:val="en-AU"/>
        </w:rPr>
        <w:t>Maintain surveillance for further cases</w:t>
      </w:r>
      <w:r w:rsidR="00C8258D" w:rsidRPr="00900D6C">
        <w:rPr>
          <w:lang w:val="en-AU"/>
        </w:rPr>
        <w:t>;</w:t>
      </w:r>
    </w:p>
    <w:p w14:paraId="689ECF45" w14:textId="77777777" w:rsidR="007E67A3" w:rsidRPr="00900D6C" w:rsidRDefault="003C2978" w:rsidP="00EA19BA">
      <w:pPr>
        <w:pStyle w:val="ListParagraph"/>
        <w:numPr>
          <w:ilvl w:val="0"/>
          <w:numId w:val="8"/>
        </w:numPr>
        <w:ind w:right="-46"/>
        <w:rPr>
          <w:lang w:val="en-AU"/>
        </w:rPr>
      </w:pPr>
      <w:r w:rsidRPr="00900D6C">
        <w:rPr>
          <w:lang w:val="en-AU"/>
        </w:rPr>
        <w:t>Further i</w:t>
      </w:r>
      <w:r w:rsidR="00D33DC3" w:rsidRPr="00900D6C">
        <w:rPr>
          <w:lang w:val="en-AU"/>
        </w:rPr>
        <w:t>nvestigate the source of infection</w:t>
      </w:r>
      <w:r w:rsidRPr="00900D6C">
        <w:rPr>
          <w:lang w:val="en-AU"/>
        </w:rPr>
        <w:t xml:space="preserve"> if case has not travelled overseas</w:t>
      </w:r>
      <w:r w:rsidR="007E67A3" w:rsidRPr="00900D6C">
        <w:rPr>
          <w:lang w:val="en-AU"/>
        </w:rPr>
        <w:t>;</w:t>
      </w:r>
    </w:p>
    <w:p w14:paraId="262A16E8" w14:textId="04131133" w:rsidR="00D33DC3" w:rsidRPr="00900D6C" w:rsidRDefault="007E67A3" w:rsidP="00EA19BA">
      <w:pPr>
        <w:pStyle w:val="ListParagraph"/>
        <w:numPr>
          <w:ilvl w:val="0"/>
          <w:numId w:val="10"/>
        </w:numPr>
        <w:ind w:right="-46"/>
        <w:rPr>
          <w:lang w:val="en-AU"/>
        </w:rPr>
      </w:pPr>
      <w:r w:rsidRPr="00900D6C">
        <w:rPr>
          <w:lang w:val="en-AU"/>
        </w:rPr>
        <w:t>E</w:t>
      </w:r>
      <w:r w:rsidR="00D33DC3" w:rsidRPr="00900D6C">
        <w:rPr>
          <w:lang w:val="en-AU"/>
        </w:rPr>
        <w:t xml:space="preserve">nsure appropriate investigations are undertaken to determine the source </w:t>
      </w:r>
      <w:r w:rsidR="003C2978" w:rsidRPr="00900D6C">
        <w:rPr>
          <w:lang w:val="en-AU"/>
        </w:rPr>
        <w:t xml:space="preserve">of infection </w:t>
      </w:r>
      <w:r w:rsidR="00D33DC3" w:rsidRPr="00900D6C">
        <w:rPr>
          <w:lang w:val="en-AU"/>
        </w:rPr>
        <w:t>for cases who haven’t travelled overseas</w:t>
      </w:r>
      <w:r w:rsidR="003C2978" w:rsidRPr="00900D6C">
        <w:rPr>
          <w:lang w:val="en-AU"/>
        </w:rPr>
        <w:t xml:space="preserve"> – consider household contacts, food and water as potential sources</w:t>
      </w:r>
      <w:r w:rsidR="00C8258D" w:rsidRPr="00900D6C">
        <w:rPr>
          <w:lang w:val="en-AU"/>
        </w:rPr>
        <w:t>;</w:t>
      </w:r>
    </w:p>
    <w:p w14:paraId="37BD929B" w14:textId="589CC1E5" w:rsidR="00D33DC3" w:rsidRPr="00900D6C" w:rsidRDefault="007E67A3" w:rsidP="00EA19BA">
      <w:pPr>
        <w:pStyle w:val="ListParagraph"/>
        <w:numPr>
          <w:ilvl w:val="0"/>
          <w:numId w:val="10"/>
        </w:numPr>
        <w:ind w:right="-46"/>
        <w:rPr>
          <w:lang w:val="en-AU"/>
        </w:rPr>
      </w:pPr>
      <w:r w:rsidRPr="00900D6C">
        <w:rPr>
          <w:lang w:val="en-AU"/>
        </w:rPr>
        <w:t>I</w:t>
      </w:r>
      <w:r w:rsidR="00D33DC3" w:rsidRPr="00900D6C">
        <w:rPr>
          <w:lang w:val="en-AU"/>
        </w:rPr>
        <w:t xml:space="preserve">f a food source is suspected/identified, inform </w:t>
      </w:r>
      <w:proofErr w:type="spellStart"/>
      <w:r w:rsidR="00193BD1">
        <w:rPr>
          <w:lang w:val="en-AU"/>
        </w:rPr>
        <w:t>OzFoodN</w:t>
      </w:r>
      <w:r w:rsidR="005E6A1F" w:rsidRPr="00900D6C">
        <w:rPr>
          <w:lang w:val="en-AU"/>
        </w:rPr>
        <w:t>et</w:t>
      </w:r>
      <w:proofErr w:type="spellEnd"/>
      <w:r w:rsidR="00C8258D" w:rsidRPr="00900D6C">
        <w:rPr>
          <w:lang w:val="en-AU"/>
        </w:rPr>
        <w:t>;</w:t>
      </w:r>
    </w:p>
    <w:p w14:paraId="7EAE135B" w14:textId="1464E6C2" w:rsidR="00D33DC3" w:rsidRPr="00900D6C" w:rsidRDefault="007E67A3" w:rsidP="00EA19BA">
      <w:pPr>
        <w:pStyle w:val="ListParagraph"/>
        <w:numPr>
          <w:ilvl w:val="0"/>
          <w:numId w:val="10"/>
        </w:numPr>
        <w:ind w:right="-46"/>
        <w:rPr>
          <w:lang w:val="en-AU"/>
        </w:rPr>
      </w:pPr>
      <w:r w:rsidRPr="00900D6C">
        <w:rPr>
          <w:lang w:val="en-AU"/>
        </w:rPr>
        <w:t>E</w:t>
      </w:r>
      <w:r w:rsidR="00D33DC3" w:rsidRPr="00900D6C">
        <w:rPr>
          <w:lang w:val="en-AU"/>
        </w:rPr>
        <w:t>nsure all relevant contacts who may have been exposed to the same source as the case are alerted that they may develop symptoms</w:t>
      </w:r>
      <w:r w:rsidR="00C8258D" w:rsidRPr="00900D6C">
        <w:rPr>
          <w:lang w:val="en-AU"/>
        </w:rPr>
        <w:t>;</w:t>
      </w:r>
    </w:p>
    <w:p w14:paraId="77297C19" w14:textId="64B47EC7" w:rsidR="00D33DC3" w:rsidRPr="00900D6C" w:rsidRDefault="007E67A3" w:rsidP="00EA19BA">
      <w:pPr>
        <w:pStyle w:val="ListParagraph"/>
        <w:numPr>
          <w:ilvl w:val="0"/>
          <w:numId w:val="10"/>
        </w:numPr>
        <w:ind w:right="-46"/>
        <w:rPr>
          <w:b/>
          <w:lang w:val="en-AU"/>
        </w:rPr>
      </w:pPr>
      <w:r w:rsidRPr="00900D6C">
        <w:rPr>
          <w:lang w:val="en-AU"/>
        </w:rPr>
        <w:t>E</w:t>
      </w:r>
      <w:r w:rsidR="00D33DC3" w:rsidRPr="00900D6C">
        <w:rPr>
          <w:lang w:val="en-AU"/>
        </w:rPr>
        <w:t>nsur</w:t>
      </w:r>
      <w:r w:rsidR="005E6A1F" w:rsidRPr="00900D6C">
        <w:rPr>
          <w:lang w:val="en-AU"/>
        </w:rPr>
        <w:t>e</w:t>
      </w:r>
      <w:r w:rsidR="00D33DC3" w:rsidRPr="00900D6C">
        <w:rPr>
          <w:lang w:val="en-AU"/>
        </w:rPr>
        <w:t xml:space="preserve"> relevant </w:t>
      </w:r>
      <w:r w:rsidR="003C2978" w:rsidRPr="00900D6C">
        <w:rPr>
          <w:lang w:val="en-AU"/>
        </w:rPr>
        <w:t xml:space="preserve">clearance, </w:t>
      </w:r>
      <w:r w:rsidR="005E6A1F" w:rsidRPr="00900D6C">
        <w:rPr>
          <w:lang w:val="en-AU"/>
        </w:rPr>
        <w:t xml:space="preserve">screening and </w:t>
      </w:r>
      <w:r w:rsidR="00D33DC3" w:rsidRPr="00900D6C">
        <w:rPr>
          <w:lang w:val="en-AU"/>
        </w:rPr>
        <w:t>exclusions have been made</w:t>
      </w:r>
      <w:r w:rsidR="004B3E5B" w:rsidRPr="00900D6C">
        <w:rPr>
          <w:lang w:val="en-AU"/>
        </w:rPr>
        <w:t>.</w:t>
      </w:r>
    </w:p>
    <w:p w14:paraId="1D8C24F6" w14:textId="77777777" w:rsidR="007774C3" w:rsidRPr="00900D6C" w:rsidRDefault="007774C3" w:rsidP="00EA19BA">
      <w:pPr>
        <w:spacing w:after="200" w:line="276" w:lineRule="auto"/>
        <w:ind w:right="-46"/>
        <w:rPr>
          <w:rFonts w:ascii="Tahoma" w:hAnsi="Tahoma"/>
          <w:b/>
          <w:sz w:val="28"/>
          <w:szCs w:val="28"/>
        </w:rPr>
      </w:pPr>
      <w:r w:rsidRPr="00900D6C">
        <w:rPr>
          <w:b/>
          <w:sz w:val="28"/>
          <w:szCs w:val="28"/>
        </w:rPr>
        <w:br w:type="page"/>
      </w:r>
    </w:p>
    <w:p w14:paraId="2472C43D" w14:textId="41D515A5" w:rsidR="0092728B" w:rsidRPr="00193BD1" w:rsidRDefault="00DE74B3" w:rsidP="00193BD1">
      <w:pPr>
        <w:pStyle w:val="Heading1"/>
      </w:pPr>
      <w:bookmarkStart w:id="55" w:name="_Ref472427781"/>
      <w:r w:rsidRPr="00193BD1">
        <w:t xml:space="preserve">Appendix </w:t>
      </w:r>
      <w:r w:rsidR="00935BEA" w:rsidRPr="00193BD1">
        <w:t>2</w:t>
      </w:r>
      <w:r w:rsidRPr="00193BD1">
        <w:t xml:space="preserve">: </w:t>
      </w:r>
      <w:r w:rsidR="007774C3" w:rsidRPr="00193BD1">
        <w:t xml:space="preserve">Typhoid </w:t>
      </w:r>
      <w:r w:rsidR="00437314" w:rsidRPr="00193BD1">
        <w:t xml:space="preserve">and Paratyphoid </w:t>
      </w:r>
      <w:r w:rsidR="002A4B69" w:rsidRPr="00193BD1">
        <w:t>Investigation form</w:t>
      </w:r>
      <w:bookmarkEnd w:id="55"/>
    </w:p>
    <w:p w14:paraId="254B3C3F" w14:textId="45EDDCCB" w:rsidR="00EA19BA" w:rsidRDefault="00516EF3" w:rsidP="00EA19BA">
      <w:hyperlink r:id="rId16" w:history="1">
        <w:r w:rsidR="004A57BC" w:rsidRPr="004A57BC">
          <w:rPr>
            <w:rStyle w:val="Hyperlink"/>
          </w:rPr>
          <w:t>Typhoid and Paratyphoid investigation form can be accessed via the Typhoid and Paratyphoid Fevers SoNG webpage</w:t>
        </w:r>
      </w:hyperlink>
      <w:r w:rsidR="004A57BC" w:rsidRPr="004A57BC">
        <w:t xml:space="preserve"> (www.health.gov.au/internet/main/publishing.nsf/Content/cdna-song-typhoid-paratyphoid.htm).</w:t>
      </w:r>
    </w:p>
    <w:p w14:paraId="13ACD4F2" w14:textId="51E454D8" w:rsidR="004A57BC" w:rsidRPr="00900D6C" w:rsidRDefault="00516EF3" w:rsidP="00EA19BA">
      <w:pPr>
        <w:sectPr w:rsidR="004A57BC" w:rsidRPr="00900D6C" w:rsidSect="002C4A6B">
          <w:headerReference w:type="even" r:id="rId17"/>
          <w:headerReference w:type="default" r:id="rId18"/>
          <w:footerReference w:type="even" r:id="rId19"/>
          <w:headerReference w:type="first" r:id="rId20"/>
          <w:pgSz w:w="11906" w:h="16838" w:code="9"/>
          <w:pgMar w:top="1440" w:right="1440" w:bottom="1440" w:left="1440" w:header="720" w:footer="720" w:gutter="0"/>
          <w:cols w:space="720"/>
          <w:titlePg/>
          <w:docGrid w:linePitch="326"/>
        </w:sectPr>
      </w:pPr>
      <w:r>
        <w:rPr>
          <w:rFonts w:ascii="Calibri" w:hAnsi="Calibri"/>
          <w:i/>
          <w:iCs/>
          <w:color w:val="000000"/>
        </w:rPr>
        <w:t xml:space="preserve">(This page contains form/s that are intended to be paper based that you can download and complete. If you are using any assistive technology and are unable to use the form please contact us using the </w:t>
      </w:r>
      <w:hyperlink r:id="rId21" w:history="1">
        <w:proofErr w:type="gramStart"/>
        <w:r w:rsidRPr="0076534D">
          <w:rPr>
            <w:rStyle w:val="Hyperlink"/>
            <w:rFonts w:ascii="Calibri" w:hAnsi="Calibri"/>
            <w:i/>
            <w:iCs/>
          </w:rPr>
          <w:t>Online</w:t>
        </w:r>
        <w:proofErr w:type="gramEnd"/>
        <w:r w:rsidRPr="0076534D">
          <w:rPr>
            <w:rStyle w:val="Hyperlink"/>
            <w:rFonts w:ascii="Calibri" w:hAnsi="Calibri"/>
            <w:i/>
            <w:iCs/>
          </w:rPr>
          <w:t xml:space="preserve"> form</w:t>
        </w:r>
      </w:hyperlink>
      <w:r>
        <w:rPr>
          <w:rFonts w:ascii="Calibri" w:hAnsi="Calibri"/>
          <w:i/>
          <w:iCs/>
          <w:color w:val="000000"/>
        </w:rPr>
        <w:t xml:space="preserve"> and feedback)</w:t>
      </w:r>
      <w:bookmarkStart w:id="56" w:name="_GoBack"/>
      <w:bookmarkEnd w:id="56"/>
    </w:p>
    <w:p w14:paraId="5F7E7A35" w14:textId="4A2CD91E" w:rsidR="00DE31AE" w:rsidRPr="00193BD1" w:rsidRDefault="00DE74B3" w:rsidP="00193BD1">
      <w:pPr>
        <w:pStyle w:val="Heading1"/>
      </w:pPr>
      <w:bookmarkStart w:id="57" w:name="_Ref472427785"/>
      <w:r w:rsidRPr="00193BD1">
        <w:t xml:space="preserve">Appendix </w:t>
      </w:r>
      <w:r w:rsidR="00935BEA" w:rsidRPr="00193BD1">
        <w:t>3</w:t>
      </w:r>
      <w:r w:rsidRPr="00193BD1">
        <w:t xml:space="preserve">: </w:t>
      </w:r>
      <w:r w:rsidR="00DE31AE" w:rsidRPr="00193BD1">
        <w:t>Sample fact sheet for typhoid and paratyphoid fevers (enteric fever)</w:t>
      </w:r>
      <w:bookmarkEnd w:id="57"/>
    </w:p>
    <w:p w14:paraId="1223282F" w14:textId="5AF0FCF7" w:rsidR="00DE31AE" w:rsidRPr="00900D6C" w:rsidRDefault="00DE31AE" w:rsidP="00EA19BA">
      <w:pPr>
        <w:ind w:right="-46"/>
      </w:pPr>
      <w:r w:rsidRPr="00900D6C">
        <w:t xml:space="preserve">Typhoid (also known as typhoid fever) is caused by infection with bacteria called </w:t>
      </w:r>
      <w:r w:rsidRPr="00900D6C">
        <w:rPr>
          <w:i/>
        </w:rPr>
        <w:t>Salmonella</w:t>
      </w:r>
      <w:r w:rsidRPr="00900D6C">
        <w:t xml:space="preserve"> </w:t>
      </w:r>
      <w:proofErr w:type="spellStart"/>
      <w:r w:rsidRPr="00900D6C">
        <w:t>Typhi</w:t>
      </w:r>
      <w:proofErr w:type="spellEnd"/>
      <w:r w:rsidRPr="00900D6C">
        <w:t xml:space="preserve">. Paratyphoid (also known as paratyphoid fever) is caused by infection with bacteria called </w:t>
      </w:r>
      <w:r w:rsidRPr="00900D6C">
        <w:rPr>
          <w:i/>
        </w:rPr>
        <w:t>Salmonella</w:t>
      </w:r>
      <w:r w:rsidRPr="00900D6C">
        <w:t xml:space="preserve"> </w:t>
      </w:r>
      <w:proofErr w:type="spellStart"/>
      <w:r w:rsidRPr="00900D6C">
        <w:t>Paratyphi</w:t>
      </w:r>
      <w:proofErr w:type="spellEnd"/>
      <w:r w:rsidRPr="00900D6C">
        <w:t xml:space="preserve">. These diseases are rare in Australia and </w:t>
      </w:r>
      <w:r w:rsidR="00E90F87" w:rsidRPr="00900D6C">
        <w:t xml:space="preserve">are </w:t>
      </w:r>
      <w:r w:rsidRPr="00900D6C">
        <w:t>often grouped together and called ‘enteric fever’. Most infections diagnosed in Australia are acquired during overseas travel.</w:t>
      </w:r>
    </w:p>
    <w:p w14:paraId="6D7E5489" w14:textId="77777777" w:rsidR="00DE31AE" w:rsidRPr="00900D6C" w:rsidRDefault="00DE31AE" w:rsidP="00193BD1">
      <w:pPr>
        <w:pStyle w:val="Heading2"/>
      </w:pPr>
      <w:r w:rsidRPr="00900D6C">
        <w:t>Symptoms</w:t>
      </w:r>
    </w:p>
    <w:p w14:paraId="227DEB15" w14:textId="77777777" w:rsidR="00DE31AE" w:rsidRPr="00900D6C" w:rsidRDefault="00DE31AE" w:rsidP="00EA19BA">
      <w:pPr>
        <w:ind w:right="-46"/>
        <w:rPr>
          <w:rFonts w:ascii="Tahoma" w:hAnsi="Tahoma" w:cs="Tahoma"/>
        </w:rPr>
      </w:pPr>
      <w:r w:rsidRPr="00900D6C">
        <w:rPr>
          <w:rFonts w:ascii="Tahoma" w:hAnsi="Tahoma" w:cs="Tahoma"/>
        </w:rPr>
        <w:t>People with enteric fever may experience mild or severe symptoms. The symptoms may include:</w:t>
      </w:r>
    </w:p>
    <w:p w14:paraId="53B039E7" w14:textId="6A2565D2" w:rsidR="00DE31AE" w:rsidRPr="00900D6C" w:rsidRDefault="00DE31AE" w:rsidP="00EA19BA">
      <w:pPr>
        <w:pStyle w:val="ListParagraph"/>
        <w:numPr>
          <w:ilvl w:val="0"/>
          <w:numId w:val="30"/>
        </w:numPr>
        <w:ind w:right="-46"/>
        <w:rPr>
          <w:lang w:val="en-AU"/>
        </w:rPr>
      </w:pPr>
      <w:r w:rsidRPr="00900D6C">
        <w:rPr>
          <w:lang w:val="en-AU"/>
        </w:rPr>
        <w:t>prolonged fever</w:t>
      </w:r>
      <w:r w:rsidR="00E90F87" w:rsidRPr="00900D6C">
        <w:rPr>
          <w:lang w:val="en-AU"/>
        </w:rPr>
        <w:t>;</w:t>
      </w:r>
    </w:p>
    <w:p w14:paraId="2AAA3261" w14:textId="5DB65E65" w:rsidR="00DE31AE" w:rsidRPr="00900D6C" w:rsidRDefault="00DE31AE" w:rsidP="00EA19BA">
      <w:pPr>
        <w:pStyle w:val="ListParagraph"/>
        <w:numPr>
          <w:ilvl w:val="0"/>
          <w:numId w:val="30"/>
        </w:numPr>
        <w:ind w:right="-46"/>
        <w:rPr>
          <w:lang w:val="en-AU"/>
        </w:rPr>
      </w:pPr>
      <w:r w:rsidRPr="00900D6C">
        <w:rPr>
          <w:lang w:val="en-AU"/>
        </w:rPr>
        <w:t>sweating</w:t>
      </w:r>
      <w:r w:rsidR="00E90F87" w:rsidRPr="00900D6C">
        <w:rPr>
          <w:lang w:val="en-AU"/>
        </w:rPr>
        <w:t>;</w:t>
      </w:r>
    </w:p>
    <w:p w14:paraId="5E5B7673" w14:textId="37C01E2E" w:rsidR="00DE31AE" w:rsidRPr="00900D6C" w:rsidRDefault="00DE31AE" w:rsidP="00EA19BA">
      <w:pPr>
        <w:pStyle w:val="ListParagraph"/>
        <w:numPr>
          <w:ilvl w:val="0"/>
          <w:numId w:val="30"/>
        </w:numPr>
        <w:ind w:right="-46"/>
        <w:rPr>
          <w:lang w:val="en-AU"/>
        </w:rPr>
      </w:pPr>
      <w:r w:rsidRPr="00900D6C">
        <w:rPr>
          <w:lang w:val="en-AU"/>
        </w:rPr>
        <w:t>severe headache</w:t>
      </w:r>
      <w:r w:rsidR="00E90F87" w:rsidRPr="00900D6C">
        <w:rPr>
          <w:lang w:val="en-AU"/>
        </w:rPr>
        <w:t>;</w:t>
      </w:r>
    </w:p>
    <w:p w14:paraId="75DBF0FE" w14:textId="60528BF9" w:rsidR="00DE31AE" w:rsidRPr="00900D6C" w:rsidRDefault="00DE31AE" w:rsidP="00EA19BA">
      <w:pPr>
        <w:pStyle w:val="ListParagraph"/>
        <w:numPr>
          <w:ilvl w:val="0"/>
          <w:numId w:val="30"/>
        </w:numPr>
        <w:ind w:right="-46"/>
        <w:rPr>
          <w:lang w:val="en-AU"/>
        </w:rPr>
      </w:pPr>
      <w:r w:rsidRPr="00900D6C">
        <w:rPr>
          <w:lang w:val="en-AU"/>
        </w:rPr>
        <w:t>feeling generally unwell</w:t>
      </w:r>
      <w:r w:rsidR="00E90F87" w:rsidRPr="00900D6C">
        <w:rPr>
          <w:lang w:val="en-AU"/>
        </w:rPr>
        <w:t>;</w:t>
      </w:r>
    </w:p>
    <w:p w14:paraId="11B92A9A" w14:textId="15844073" w:rsidR="00DE31AE" w:rsidRPr="00900D6C" w:rsidRDefault="00DE31AE" w:rsidP="00EA19BA">
      <w:pPr>
        <w:pStyle w:val="ListParagraph"/>
        <w:numPr>
          <w:ilvl w:val="0"/>
          <w:numId w:val="30"/>
        </w:numPr>
        <w:ind w:right="-46"/>
        <w:rPr>
          <w:lang w:val="en-AU"/>
        </w:rPr>
      </w:pPr>
      <w:r w:rsidRPr="00900D6C">
        <w:rPr>
          <w:lang w:val="en-AU"/>
        </w:rPr>
        <w:t>abdominal pains</w:t>
      </w:r>
      <w:r w:rsidR="00E90F87" w:rsidRPr="00900D6C">
        <w:rPr>
          <w:lang w:val="en-AU"/>
        </w:rPr>
        <w:t>;</w:t>
      </w:r>
    </w:p>
    <w:p w14:paraId="07A3FFD6" w14:textId="0DA943C9" w:rsidR="00DE31AE" w:rsidRPr="00900D6C" w:rsidRDefault="00DE31AE" w:rsidP="00EA19BA">
      <w:pPr>
        <w:pStyle w:val="ListParagraph"/>
        <w:numPr>
          <w:ilvl w:val="0"/>
          <w:numId w:val="30"/>
        </w:numPr>
        <w:ind w:right="-46"/>
        <w:rPr>
          <w:lang w:val="en-AU"/>
        </w:rPr>
      </w:pPr>
      <w:r w:rsidRPr="00900D6C">
        <w:rPr>
          <w:lang w:val="en-AU"/>
        </w:rPr>
        <w:t>diarrhoea or constipation</w:t>
      </w:r>
      <w:r w:rsidR="00E90F87" w:rsidRPr="00900D6C">
        <w:rPr>
          <w:lang w:val="en-AU"/>
        </w:rPr>
        <w:t>;</w:t>
      </w:r>
    </w:p>
    <w:p w14:paraId="399A5676" w14:textId="77777777" w:rsidR="00DE31AE" w:rsidRPr="00900D6C" w:rsidRDefault="00DE31AE" w:rsidP="00EA19BA">
      <w:pPr>
        <w:pStyle w:val="ListParagraph"/>
        <w:numPr>
          <w:ilvl w:val="0"/>
          <w:numId w:val="30"/>
        </w:numPr>
        <w:ind w:right="-46"/>
        <w:rPr>
          <w:lang w:val="en-AU"/>
        </w:rPr>
      </w:pPr>
      <w:proofErr w:type="gramStart"/>
      <w:r w:rsidRPr="00900D6C">
        <w:rPr>
          <w:lang w:val="en-AU"/>
        </w:rPr>
        <w:t>lack</w:t>
      </w:r>
      <w:proofErr w:type="gramEnd"/>
      <w:r w:rsidRPr="00900D6C">
        <w:rPr>
          <w:lang w:val="en-AU"/>
        </w:rPr>
        <w:t xml:space="preserve"> of appetite and weight loss.</w:t>
      </w:r>
    </w:p>
    <w:p w14:paraId="5199B0C1" w14:textId="77777777" w:rsidR="00DE31AE" w:rsidRPr="00900D6C" w:rsidRDefault="00DE31AE" w:rsidP="00EA19BA">
      <w:pPr>
        <w:ind w:right="-46"/>
      </w:pPr>
      <w:r w:rsidRPr="00900D6C">
        <w:t>The onset of symptoms is usually slow, gradually worsening over about three or four days. Untreated, the illness can be fatal. Most people recover fully over several weeks with appropriate treatment; symptoms usually clearing within a week. A few people, despite having no symptoms of illness, continue to have bacteria in their faeces and/or urine for more than a year (chronic carriers), and can infect others.</w:t>
      </w:r>
    </w:p>
    <w:p w14:paraId="101EC4A4" w14:textId="77777777" w:rsidR="00DE31AE" w:rsidRPr="00900D6C" w:rsidRDefault="00DE31AE" w:rsidP="00EA19BA">
      <w:pPr>
        <w:ind w:right="-46"/>
        <w:rPr>
          <w:rFonts w:cs="Tahoma"/>
        </w:rPr>
      </w:pPr>
      <w:r w:rsidRPr="00900D6C">
        <w:rPr>
          <w:rFonts w:cs="Tahoma"/>
        </w:rPr>
        <w:t>The time from contact with the typhoid bacteria to the start of symptoms (</w:t>
      </w:r>
      <w:r w:rsidRPr="00900D6C">
        <w:t xml:space="preserve">incubation period) </w:t>
      </w:r>
      <w:r w:rsidRPr="00900D6C">
        <w:rPr>
          <w:rFonts w:cs="Tahoma"/>
        </w:rPr>
        <w:t xml:space="preserve">is usually 8-14 days but can be as early as 3 days or as late as 60 days after infection. </w:t>
      </w:r>
      <w:r w:rsidRPr="00900D6C">
        <w:t>The incubation period for paratyphoid is shorter than for typhoid, usually 1-10 days.</w:t>
      </w:r>
    </w:p>
    <w:p w14:paraId="1D3BA006" w14:textId="0074C85B" w:rsidR="00DE31AE" w:rsidRPr="00900D6C" w:rsidRDefault="00DE31AE" w:rsidP="00193BD1">
      <w:pPr>
        <w:pStyle w:val="Heading2"/>
      </w:pPr>
      <w:r w:rsidRPr="00900D6C">
        <w:t>Transmission</w:t>
      </w:r>
    </w:p>
    <w:p w14:paraId="1376D11C" w14:textId="516BB5A7" w:rsidR="00DE31AE" w:rsidRPr="00900D6C" w:rsidRDefault="00DE31AE" w:rsidP="00EA19BA">
      <w:pPr>
        <w:ind w:right="-46"/>
      </w:pPr>
      <w:r w:rsidRPr="00900D6C">
        <w:t xml:space="preserve">An infected person sheds the bacteria in their faeces and sometimes in their urine. Typhoid and paratyphoid are usually spread when faeces or urine from an infected person contaminates something that is then transferred to another person’s mouth. This can happen if the person with the infection is not treated and does not carefully wash their hands after going to the toilet and handles food </w:t>
      </w:r>
      <w:r w:rsidR="00F7019B" w:rsidRPr="00900D6C">
        <w:t xml:space="preserve">that </w:t>
      </w:r>
      <w:r w:rsidRPr="00900D6C">
        <w:t>others will eat.</w:t>
      </w:r>
    </w:p>
    <w:p w14:paraId="658CD18E" w14:textId="77777777" w:rsidR="00DE31AE" w:rsidRPr="00900D6C" w:rsidRDefault="00DE31AE" w:rsidP="00193BD1">
      <w:pPr>
        <w:pStyle w:val="Heading2"/>
      </w:pPr>
      <w:r w:rsidRPr="00900D6C">
        <w:t>People at increased risk of catching typhoid and paratyphoid</w:t>
      </w:r>
    </w:p>
    <w:p w14:paraId="66502B58" w14:textId="77777777" w:rsidR="00DE31AE" w:rsidRPr="00900D6C" w:rsidRDefault="00DE31AE" w:rsidP="00EA19BA">
      <w:pPr>
        <w:ind w:right="-46"/>
      </w:pPr>
      <w:r w:rsidRPr="00900D6C">
        <w:t>People who travel to areas where enteric fever is common are most at risk.</w:t>
      </w:r>
    </w:p>
    <w:p w14:paraId="6FD50340" w14:textId="77777777" w:rsidR="00DE31AE" w:rsidRPr="00900D6C" w:rsidRDefault="00DE31AE" w:rsidP="00193BD1">
      <w:pPr>
        <w:pStyle w:val="Heading2"/>
      </w:pPr>
      <w:r w:rsidRPr="00900D6C">
        <w:t>Diagnosis of typhoid or paratyphoid</w:t>
      </w:r>
    </w:p>
    <w:p w14:paraId="59EA99FF" w14:textId="77777777" w:rsidR="00DE31AE" w:rsidRPr="00900D6C" w:rsidRDefault="00DE31AE" w:rsidP="00EA19BA">
      <w:pPr>
        <w:ind w:right="-46"/>
      </w:pPr>
      <w:r w:rsidRPr="00900D6C">
        <w:t>To diagnose typhoid or paratyphoid, your general practitioner or local hospital will send a blood or stool (faeces) sample to a laboratory for testing.</w:t>
      </w:r>
    </w:p>
    <w:p w14:paraId="05583DCE" w14:textId="77777777" w:rsidR="00DE31AE" w:rsidRPr="00900D6C" w:rsidRDefault="00DE31AE" w:rsidP="00193BD1">
      <w:pPr>
        <w:pStyle w:val="Heading2"/>
      </w:pPr>
      <w:r w:rsidRPr="00900D6C">
        <w:t>Treatment</w:t>
      </w:r>
    </w:p>
    <w:p w14:paraId="2547BC83" w14:textId="77777777" w:rsidR="00DE31AE" w:rsidRPr="00900D6C" w:rsidRDefault="00DE31AE" w:rsidP="00EA19BA">
      <w:pPr>
        <w:ind w:right="-46"/>
      </w:pPr>
      <w:r w:rsidRPr="00900D6C">
        <w:t>Enteric fever is treated with antibiotics. Antibiotic treatment is required to treat carriers also. If symptoms are severe, hospitalisation may be needed.</w:t>
      </w:r>
    </w:p>
    <w:p w14:paraId="45874CF0" w14:textId="77777777" w:rsidR="00DE31AE" w:rsidRPr="00900D6C" w:rsidRDefault="00DE31AE" w:rsidP="00193BD1">
      <w:pPr>
        <w:pStyle w:val="Heading2"/>
      </w:pPr>
      <w:r w:rsidRPr="00900D6C">
        <w:t>Prevention</w:t>
      </w:r>
    </w:p>
    <w:p w14:paraId="35174CA5" w14:textId="146041D2" w:rsidR="00DE31AE" w:rsidRPr="00900D6C" w:rsidRDefault="00DE31AE" w:rsidP="00EA19BA">
      <w:pPr>
        <w:ind w:right="-46"/>
      </w:pPr>
      <w:r w:rsidRPr="00900D6C">
        <w:t>Good hygiene is the single most effective way of reducing spread of the disease, particularly</w:t>
      </w:r>
      <w:r w:rsidR="00E34BD6" w:rsidRPr="00900D6C">
        <w:t xml:space="preserve"> </w:t>
      </w:r>
      <w:r w:rsidRPr="00900D6C">
        <w:t>effective hand washing. Hand washing is especially important after using the toilet and before</w:t>
      </w:r>
      <w:r w:rsidR="00E34BD6" w:rsidRPr="00900D6C">
        <w:t xml:space="preserve"> </w:t>
      </w:r>
      <w:r w:rsidRPr="00900D6C">
        <w:t>preparing or handling food.</w:t>
      </w:r>
    </w:p>
    <w:p w14:paraId="22E173A1" w14:textId="77777777" w:rsidR="00DE31AE" w:rsidRPr="00900D6C" w:rsidRDefault="00DE31AE" w:rsidP="00193BD1">
      <w:pPr>
        <w:pStyle w:val="Heading2"/>
      </w:pPr>
      <w:proofErr w:type="spellStart"/>
      <w:r w:rsidRPr="00900D6C">
        <w:t>Travellers</w:t>
      </w:r>
      <w:proofErr w:type="spellEnd"/>
    </w:p>
    <w:p w14:paraId="5E520C8B" w14:textId="106112E6" w:rsidR="00A6123D" w:rsidRPr="00900D6C" w:rsidRDefault="00DE31AE" w:rsidP="00EA19BA">
      <w:pPr>
        <w:ind w:right="-46"/>
      </w:pPr>
      <w:r w:rsidRPr="00900D6C">
        <w:t>Overseas travellers visiting high risk areas should</w:t>
      </w:r>
      <w:r w:rsidR="007C26BE" w:rsidRPr="00900D6C">
        <w:t>:</w:t>
      </w:r>
    </w:p>
    <w:p w14:paraId="3E1DBEB5" w14:textId="771EC97C" w:rsidR="00DE31AE" w:rsidRPr="00900D6C" w:rsidRDefault="007C26BE" w:rsidP="00EA19BA">
      <w:pPr>
        <w:pStyle w:val="ListParagraph"/>
        <w:numPr>
          <w:ilvl w:val="0"/>
          <w:numId w:val="31"/>
        </w:numPr>
        <w:ind w:right="-46"/>
        <w:rPr>
          <w:lang w:val="en-AU"/>
        </w:rPr>
      </w:pPr>
      <w:r w:rsidRPr="00900D6C">
        <w:rPr>
          <w:lang w:val="en-AU"/>
        </w:rPr>
        <w:t xml:space="preserve">avoid </w:t>
      </w:r>
      <w:r w:rsidR="00A746AC" w:rsidRPr="00900D6C">
        <w:rPr>
          <w:lang w:val="en-AU"/>
        </w:rPr>
        <w:t>p</w:t>
      </w:r>
      <w:r w:rsidR="00DE31AE" w:rsidRPr="00900D6C">
        <w:rPr>
          <w:lang w:val="en-AU"/>
        </w:rPr>
        <w:t>otentially</w:t>
      </w:r>
      <w:r w:rsidR="00A6123D" w:rsidRPr="00900D6C">
        <w:rPr>
          <w:lang w:val="en-AU"/>
        </w:rPr>
        <w:t>-</w:t>
      </w:r>
      <w:r w:rsidR="00DE31AE" w:rsidRPr="00900D6C">
        <w:rPr>
          <w:lang w:val="en-AU"/>
        </w:rPr>
        <w:t>contaminated water and food</w:t>
      </w:r>
      <w:r w:rsidR="00A6123D" w:rsidRPr="00900D6C">
        <w:rPr>
          <w:lang w:val="en-AU"/>
        </w:rPr>
        <w:t>;</w:t>
      </w:r>
    </w:p>
    <w:p w14:paraId="1629E9B7" w14:textId="1C861E3B" w:rsidR="00DE31AE" w:rsidRPr="00900D6C" w:rsidRDefault="00A6123D" w:rsidP="00EA19BA">
      <w:pPr>
        <w:pStyle w:val="ListParagraph"/>
        <w:numPr>
          <w:ilvl w:val="0"/>
          <w:numId w:val="31"/>
        </w:numPr>
        <w:ind w:right="-46"/>
        <w:rPr>
          <w:lang w:val="en-AU"/>
        </w:rPr>
      </w:pPr>
      <w:r w:rsidRPr="00900D6C">
        <w:rPr>
          <w:lang w:val="en-AU"/>
        </w:rPr>
        <w:t>d</w:t>
      </w:r>
      <w:r w:rsidR="00DE31AE" w:rsidRPr="00900D6C">
        <w:rPr>
          <w:lang w:val="en-AU"/>
        </w:rPr>
        <w:t>rink only bottled or boiled water (even when brushing teeth)</w:t>
      </w:r>
      <w:r w:rsidRPr="00900D6C">
        <w:rPr>
          <w:lang w:val="en-AU"/>
        </w:rPr>
        <w:t>;</w:t>
      </w:r>
    </w:p>
    <w:p w14:paraId="60F7E1A7" w14:textId="6042775A" w:rsidR="00DE31AE" w:rsidRPr="00900D6C" w:rsidRDefault="00A6123D" w:rsidP="00EA19BA">
      <w:pPr>
        <w:pStyle w:val="ListParagraph"/>
        <w:numPr>
          <w:ilvl w:val="0"/>
          <w:numId w:val="31"/>
        </w:numPr>
        <w:ind w:right="-46"/>
        <w:rPr>
          <w:lang w:val="en-AU"/>
        </w:rPr>
      </w:pPr>
      <w:r w:rsidRPr="00900D6C">
        <w:rPr>
          <w:lang w:val="en-AU"/>
        </w:rPr>
        <w:t>a</w:t>
      </w:r>
      <w:r w:rsidR="00DE31AE" w:rsidRPr="00900D6C">
        <w:rPr>
          <w:lang w:val="en-AU"/>
        </w:rPr>
        <w:t>sk for drinks without ice and avoid ice-blocks that may have been made with contaminated water</w:t>
      </w:r>
      <w:r w:rsidRPr="00900D6C">
        <w:rPr>
          <w:lang w:val="en-AU"/>
        </w:rPr>
        <w:t>;</w:t>
      </w:r>
    </w:p>
    <w:p w14:paraId="2098AB25" w14:textId="70E9A131" w:rsidR="00DE31AE" w:rsidRPr="00900D6C" w:rsidRDefault="00A6123D" w:rsidP="00EA19BA">
      <w:pPr>
        <w:pStyle w:val="ListParagraph"/>
        <w:numPr>
          <w:ilvl w:val="0"/>
          <w:numId w:val="31"/>
        </w:numPr>
        <w:ind w:right="-46"/>
        <w:rPr>
          <w:lang w:val="en-AU"/>
        </w:rPr>
      </w:pPr>
      <w:r w:rsidRPr="00900D6C">
        <w:rPr>
          <w:lang w:val="en-AU"/>
        </w:rPr>
        <w:t>w</w:t>
      </w:r>
      <w:r w:rsidR="00DE31AE" w:rsidRPr="00900D6C">
        <w:rPr>
          <w:lang w:val="en-AU"/>
        </w:rPr>
        <w:t>ash hands thoroughly with soap and water before eating</w:t>
      </w:r>
      <w:r w:rsidRPr="00900D6C">
        <w:rPr>
          <w:lang w:val="en-AU"/>
        </w:rPr>
        <w:t>;</w:t>
      </w:r>
    </w:p>
    <w:p w14:paraId="1BEA7E5D" w14:textId="4DD9CB69" w:rsidR="00DE31AE" w:rsidRPr="00900D6C" w:rsidRDefault="00A6123D" w:rsidP="00EA19BA">
      <w:pPr>
        <w:pStyle w:val="ListParagraph"/>
        <w:numPr>
          <w:ilvl w:val="0"/>
          <w:numId w:val="31"/>
        </w:numPr>
        <w:ind w:right="-46"/>
        <w:rPr>
          <w:lang w:val="en-AU"/>
        </w:rPr>
      </w:pPr>
      <w:r w:rsidRPr="00900D6C">
        <w:rPr>
          <w:lang w:val="en-AU"/>
        </w:rPr>
        <w:t>e</w:t>
      </w:r>
      <w:r w:rsidR="00DE31AE" w:rsidRPr="00900D6C">
        <w:rPr>
          <w:lang w:val="en-AU"/>
        </w:rPr>
        <w:t>at food that has been thoroughly cooked, is hot and steaming when presented</w:t>
      </w:r>
      <w:r w:rsidRPr="00900D6C">
        <w:rPr>
          <w:lang w:val="en-AU"/>
        </w:rPr>
        <w:t>,</w:t>
      </w:r>
      <w:r w:rsidR="00DE31AE" w:rsidRPr="00900D6C">
        <w:rPr>
          <w:lang w:val="en-AU"/>
        </w:rPr>
        <w:t xml:space="preserve"> and is eaten while still hot</w:t>
      </w:r>
      <w:r w:rsidRPr="00900D6C">
        <w:rPr>
          <w:lang w:val="en-AU"/>
        </w:rPr>
        <w:t>;</w:t>
      </w:r>
    </w:p>
    <w:p w14:paraId="0DFE7A0C" w14:textId="5AA68461" w:rsidR="00DE31AE" w:rsidRPr="00900D6C" w:rsidRDefault="00A6123D" w:rsidP="00EA19BA">
      <w:pPr>
        <w:pStyle w:val="ListParagraph"/>
        <w:numPr>
          <w:ilvl w:val="0"/>
          <w:numId w:val="31"/>
        </w:numPr>
        <w:ind w:right="-46"/>
        <w:rPr>
          <w:lang w:val="en-AU"/>
        </w:rPr>
      </w:pPr>
      <w:proofErr w:type="gramStart"/>
      <w:r w:rsidRPr="00900D6C">
        <w:rPr>
          <w:lang w:val="en-AU"/>
        </w:rPr>
        <w:t>a</w:t>
      </w:r>
      <w:r w:rsidR="00DE31AE" w:rsidRPr="00900D6C">
        <w:rPr>
          <w:lang w:val="en-AU"/>
        </w:rPr>
        <w:t>void</w:t>
      </w:r>
      <w:proofErr w:type="gramEnd"/>
      <w:r w:rsidR="00DE31AE" w:rsidRPr="00900D6C">
        <w:rPr>
          <w:lang w:val="en-AU"/>
        </w:rPr>
        <w:t xml:space="preserve"> raw vegetables and fruit that you cannot peel yourself</w:t>
      </w:r>
      <w:r w:rsidR="007C26BE" w:rsidRPr="00900D6C">
        <w:rPr>
          <w:lang w:val="en-AU"/>
        </w:rPr>
        <w:t>.</w:t>
      </w:r>
    </w:p>
    <w:p w14:paraId="769CE40A" w14:textId="77777777" w:rsidR="00DE31AE" w:rsidRPr="00900D6C" w:rsidRDefault="00DE31AE" w:rsidP="00EA19BA">
      <w:pPr>
        <w:ind w:right="-46"/>
      </w:pPr>
      <w:r w:rsidRPr="00900D6C">
        <w:t>Typhoid vaccination is recommended for all travellers two years of age and older going to endemic regions where food hygiene may be suboptimal and drinking water may not be adequately treated. Unfortunately, there is no vaccination available for paratyphoid.</w:t>
      </w:r>
    </w:p>
    <w:p w14:paraId="2760CF68" w14:textId="77777777" w:rsidR="00DE31AE" w:rsidRPr="00900D6C" w:rsidRDefault="00DE31AE" w:rsidP="00193BD1">
      <w:pPr>
        <w:pStyle w:val="Heading2"/>
      </w:pPr>
      <w:r w:rsidRPr="00900D6C">
        <w:t>What is the public health response?</w:t>
      </w:r>
    </w:p>
    <w:p w14:paraId="480185FF" w14:textId="6DC87C8E" w:rsidR="00DE31AE" w:rsidRPr="00900D6C" w:rsidRDefault="00DE31AE" w:rsidP="00EA19BA">
      <w:pPr>
        <w:ind w:right="-46"/>
      </w:pPr>
      <w:r w:rsidRPr="00900D6C">
        <w:t>Doctors, hospitals and laboratories must notify the local public health unit when someone is diagnosed with typhoid or paratyphoid. Public health staff contact each person diagnosed with typhoid or paratyphoid to try to identify how they became infected and to prevent the disease from spreading to others.</w:t>
      </w:r>
    </w:p>
    <w:p w14:paraId="76BB9C7A" w14:textId="0B446D0A" w:rsidR="00DE31AE" w:rsidRPr="00900D6C" w:rsidRDefault="00DE31AE" w:rsidP="00EA19BA">
      <w:pPr>
        <w:ind w:right="-46"/>
      </w:pPr>
      <w:r w:rsidRPr="00900D6C">
        <w:t>People who have been diagnosed with typhoid or paratyphoid should stay away from work, school or child</w:t>
      </w:r>
      <w:r w:rsidR="00A6123D" w:rsidRPr="00900D6C">
        <w:t xml:space="preserve"> </w:t>
      </w:r>
      <w:r w:rsidRPr="00900D6C">
        <w:t>care as a minimum</w:t>
      </w:r>
      <w:r w:rsidR="00A6123D" w:rsidRPr="00900D6C">
        <w:t>,</w:t>
      </w:r>
      <w:r w:rsidRPr="00900D6C">
        <w:t xml:space="preserve"> until they have completed treatment and have had no symptoms for 48 hours. They should not prepare food for others and should refrain from using swimming pools until they have had no symptoms for 48 hours.</w:t>
      </w:r>
    </w:p>
    <w:p w14:paraId="39798C7F" w14:textId="3F5F3C7C" w:rsidR="00DE31AE" w:rsidRPr="00900D6C" w:rsidRDefault="00DE31AE" w:rsidP="00EA19BA">
      <w:pPr>
        <w:ind w:right="-46"/>
      </w:pPr>
      <w:r w:rsidRPr="00900D6C">
        <w:t>If you have been diagnosed with typhoid or paratyphoid and handle food as part of your work, or if you care for patients or children or older people, it is important that you stay away from work until you have had negative faeces tests. Public health staff will help to arrange faeces testing so you will know when you are permitted to return to work.</w:t>
      </w:r>
    </w:p>
    <w:p w14:paraId="015418DE" w14:textId="43A04646" w:rsidR="00DE31AE" w:rsidRPr="00900D6C" w:rsidRDefault="00DE31AE" w:rsidP="00EA19BA">
      <w:pPr>
        <w:ind w:right="-46"/>
      </w:pPr>
      <w:r w:rsidRPr="00900D6C">
        <w:t>If you have had close contact with someone who has typhoid or paratyphoid, you may also need faeces testing and to stay away from work, school or child</w:t>
      </w:r>
      <w:r w:rsidR="006D7E90" w:rsidRPr="00900D6C">
        <w:t xml:space="preserve"> </w:t>
      </w:r>
      <w:r w:rsidRPr="00900D6C">
        <w:t>care while awaiting the results. Public health authorities will advise if this is the case.</w:t>
      </w:r>
    </w:p>
    <w:p w14:paraId="50E7012F" w14:textId="77777777" w:rsidR="00BA01D7" w:rsidRDefault="00DE31AE" w:rsidP="00EA19BA">
      <w:pPr>
        <w:ind w:right="-46"/>
      </w:pPr>
      <w:r w:rsidRPr="00900D6C">
        <w:t>Anyone who has had close contact with someone who has typhoid or paratyphoid should be aware of the symptoms and should see their general practitioner if they develop any of these symptoms.</w:t>
      </w:r>
    </w:p>
    <w:p w14:paraId="7352C3F7" w14:textId="6CFA143B" w:rsidR="00DE31AE" w:rsidRPr="00900D6C" w:rsidRDefault="00DE31AE" w:rsidP="00193BD1">
      <w:pPr>
        <w:pStyle w:val="Heading2"/>
      </w:pPr>
      <w:r w:rsidRPr="00900D6C">
        <w:t>Related links</w:t>
      </w:r>
    </w:p>
    <w:p w14:paraId="567B56A7" w14:textId="2F7BF510" w:rsidR="00C70940" w:rsidRDefault="00193BD1" w:rsidP="00EA19BA">
      <w:pPr>
        <w:ind w:right="-46"/>
      </w:pPr>
      <w:r w:rsidRPr="0098447C">
        <w:t xml:space="preserve">World Health Organization, Immunization, Vaccines and </w:t>
      </w:r>
      <w:proofErr w:type="spellStart"/>
      <w:r w:rsidRPr="0098447C">
        <w:t>Biologicals</w:t>
      </w:r>
      <w:proofErr w:type="spellEnd"/>
      <w:r w:rsidRPr="0098447C">
        <w:t>: Typhoid</w:t>
      </w:r>
      <w:r w:rsidR="00C70940">
        <w:rPr>
          <w:rStyle w:val="Hyperlink"/>
        </w:rPr>
        <w:t xml:space="preserve"> </w:t>
      </w:r>
      <w:r w:rsidR="00C70940">
        <w:t>(</w:t>
      </w:r>
      <w:r w:rsidR="00C70940" w:rsidRPr="00C70940">
        <w:t>http://www.who.int/topics/typhoid_fever/en/</w:t>
      </w:r>
      <w:r w:rsidR="00C70940">
        <w:t>)</w:t>
      </w:r>
    </w:p>
    <w:p w14:paraId="4668135C" w14:textId="0053BBD5" w:rsidR="00C70940" w:rsidRDefault="00C70940" w:rsidP="00EA19BA">
      <w:pPr>
        <w:ind w:right="-46"/>
      </w:pPr>
      <w:r w:rsidRPr="0098447C">
        <w:t>NSW Ministry of Health Infectious disease fact sheet on typhoid</w:t>
      </w:r>
      <w:r>
        <w:t xml:space="preserve"> (</w:t>
      </w:r>
      <w:r w:rsidRPr="00C70940">
        <w:t>http://www.health.nsw.gov.au/Infectious/factsheets/Factsheets/typhoid.PDF</w:t>
      </w:r>
      <w:r>
        <w:t>)</w:t>
      </w:r>
    </w:p>
    <w:p w14:paraId="4121B862" w14:textId="3FCAAF3D" w:rsidR="00C70940" w:rsidRDefault="00C70940" w:rsidP="00EA19BA">
      <w:pPr>
        <w:ind w:right="-46"/>
      </w:pPr>
      <w:r w:rsidRPr="0098447C">
        <w:t>Victorian State Government Better Health: Typhoid and paratyphoid</w:t>
      </w:r>
      <w:r>
        <w:t xml:space="preserve"> (</w:t>
      </w:r>
      <w:r w:rsidRPr="00C70940">
        <w:t>http://www.betterhealth.vic.gov.au/bhcv2/bhcarticles.nsf/pages/Typhoid_and_paratyphoid</w:t>
      </w:r>
      <w:r>
        <w:t>)</w:t>
      </w:r>
    </w:p>
    <w:p w14:paraId="2B1C4491" w14:textId="47A4B245" w:rsidR="00DE31AE" w:rsidRPr="00900D6C" w:rsidRDefault="00193BD1" w:rsidP="00193BD1">
      <w:pPr>
        <w:pStyle w:val="Heading2"/>
      </w:pPr>
      <w:r>
        <w:t>H</w:t>
      </w:r>
      <w:r w:rsidR="00DE31AE" w:rsidRPr="00900D6C">
        <w:t>elp and Assistance</w:t>
      </w:r>
    </w:p>
    <w:p w14:paraId="767F33C2" w14:textId="76B4D47A" w:rsidR="00DE31AE" w:rsidRPr="00900D6C" w:rsidRDefault="00DE31AE" w:rsidP="00EA19BA">
      <w:pPr>
        <w:ind w:right="-46"/>
      </w:pPr>
      <w:r w:rsidRPr="00900D6C">
        <w:t>For further information please contact your local doctor or nearest public health unit</w:t>
      </w:r>
      <w:r w:rsidR="006D7E90" w:rsidRPr="00900D6C">
        <w:t>.</w:t>
      </w:r>
    </w:p>
    <w:p w14:paraId="34995CE0" w14:textId="77777777" w:rsidR="00DE31AE" w:rsidRPr="00900D6C" w:rsidRDefault="00DE31AE" w:rsidP="00EA19BA">
      <w:pPr>
        <w:spacing w:after="200" w:line="276" w:lineRule="auto"/>
        <w:ind w:right="-46"/>
        <w:rPr>
          <w:rFonts w:ascii="Tahoma" w:hAnsi="Tahoma"/>
          <w:b/>
          <w:sz w:val="28"/>
          <w:szCs w:val="28"/>
        </w:rPr>
      </w:pPr>
      <w:r w:rsidRPr="00900D6C">
        <w:rPr>
          <w:b/>
          <w:sz w:val="28"/>
          <w:szCs w:val="28"/>
        </w:rPr>
        <w:br w:type="page"/>
      </w:r>
    </w:p>
    <w:p w14:paraId="0B46DD6E" w14:textId="224AC8B5" w:rsidR="007C0609" w:rsidRPr="00193BD1" w:rsidRDefault="00DE74B3" w:rsidP="00193BD1">
      <w:pPr>
        <w:pStyle w:val="Heading1"/>
      </w:pPr>
      <w:bookmarkStart w:id="58" w:name="_Ref472427788"/>
      <w:r w:rsidRPr="00193BD1">
        <w:t xml:space="preserve">Appendix </w:t>
      </w:r>
      <w:r w:rsidR="00935BEA" w:rsidRPr="00193BD1">
        <w:t>4</w:t>
      </w:r>
      <w:r w:rsidRPr="00193BD1">
        <w:t xml:space="preserve">: </w:t>
      </w:r>
      <w:r w:rsidR="007C0609" w:rsidRPr="00193BD1">
        <w:t>Sample letters</w:t>
      </w:r>
      <w:bookmarkEnd w:id="58"/>
    </w:p>
    <w:p w14:paraId="39359373" w14:textId="77777777" w:rsidR="00BA01D7" w:rsidRDefault="00E80E80" w:rsidP="00900D6C">
      <w:pPr>
        <w:pStyle w:val="Heading2"/>
      </w:pPr>
      <w:r w:rsidRPr="00900D6C">
        <w:t xml:space="preserve">A. </w:t>
      </w:r>
      <w:r w:rsidR="007C0609" w:rsidRPr="00900D6C">
        <w:t>Contacts</w:t>
      </w:r>
    </w:p>
    <w:p w14:paraId="1F7FFFFC" w14:textId="49255B8A" w:rsidR="007C0609" w:rsidRPr="00900D6C" w:rsidRDefault="007C0609" w:rsidP="00193BD1">
      <w:pPr>
        <w:spacing w:after="720"/>
        <w:ind w:right="-43"/>
      </w:pPr>
      <w:r w:rsidRPr="00900D6C">
        <w:t>&lt;Date&gt;</w:t>
      </w:r>
    </w:p>
    <w:p w14:paraId="5E1E1586" w14:textId="77777777" w:rsidR="007C0609" w:rsidRPr="00900D6C" w:rsidRDefault="007C0609" w:rsidP="00EA19BA">
      <w:pPr>
        <w:ind w:right="-46"/>
      </w:pPr>
      <w:r w:rsidRPr="00900D6C">
        <w:t>Dear &lt; &gt;</w:t>
      </w:r>
    </w:p>
    <w:p w14:paraId="4C5B7D95" w14:textId="2E549867" w:rsidR="007C0609" w:rsidRPr="00900D6C" w:rsidRDefault="007C0609" w:rsidP="00EA19BA">
      <w:pPr>
        <w:ind w:right="-46"/>
      </w:pPr>
      <w:r w:rsidRPr="00900D6C">
        <w:t xml:space="preserve">The &lt;Public Health Unit/CDB/Chief Health Officer&gt; has been </w:t>
      </w:r>
      <w:r w:rsidR="00E34BD6" w:rsidRPr="00900D6C">
        <w:t>advised</w:t>
      </w:r>
      <w:r w:rsidRPr="00900D6C">
        <w:t xml:space="preserve"> that you </w:t>
      </w:r>
      <w:r w:rsidR="00E34BD6" w:rsidRPr="00900D6C">
        <w:t>have been in</w:t>
      </w:r>
      <w:r w:rsidRPr="00900D6C">
        <w:t xml:space="preserve"> close contact </w:t>
      </w:r>
      <w:r w:rsidR="00E34BD6" w:rsidRPr="00900D6C">
        <w:t>with</w:t>
      </w:r>
      <w:r w:rsidRPr="00900D6C">
        <w:t xml:space="preserve"> a person with &lt;typhoid/paratyphoid&gt; infection. There is a fact sheet with this letter which has more information about the illness and advice on how you can protect yourself.</w:t>
      </w:r>
    </w:p>
    <w:p w14:paraId="71F097D3" w14:textId="0C5745B0" w:rsidR="007C0609" w:rsidRPr="00900D6C" w:rsidRDefault="007C0609" w:rsidP="00EA19BA">
      <w:pPr>
        <w:ind w:right="-46"/>
      </w:pPr>
      <w:r w:rsidRPr="00900D6C">
        <w:t xml:space="preserve">&lt;Typhoid/paratyphoid&gt; infection usually causes a high fever for several days, with headaches, general pains, stomach upset or diarrhoea. If you develop these symptoms in the next </w:t>
      </w:r>
      <w:r w:rsidR="00E34BD6" w:rsidRPr="00900D6C">
        <w:t>month</w:t>
      </w:r>
      <w:r w:rsidRPr="00900D6C">
        <w:t>, please get medical attention immediately and show this letter to your doctor.</w:t>
      </w:r>
    </w:p>
    <w:p w14:paraId="54A6816E" w14:textId="77777777" w:rsidR="007C0609" w:rsidRPr="00900D6C" w:rsidRDefault="007C0609" w:rsidP="00EA19BA">
      <w:pPr>
        <w:ind w:right="-46"/>
      </w:pPr>
      <w:r w:rsidRPr="00900D6C">
        <w:t>A good way to prevent illnesses such as &lt;typhoid/paratyphoid&gt; is to wash your hands carefully before preparing and eating food or drinks and after using the toilet. People who are ill or who take care of others who are ill (such as helping with toileting or changing nappies) should be very careful with hand hygiene. Young children may need an adult to help them wash their hands.</w:t>
      </w:r>
    </w:p>
    <w:p w14:paraId="1BFC706D" w14:textId="77777777" w:rsidR="007C0609" w:rsidRPr="00900D6C" w:rsidRDefault="007C0609" w:rsidP="00193BD1">
      <w:pPr>
        <w:spacing w:after="720"/>
        <w:ind w:right="-43"/>
      </w:pPr>
      <w:r w:rsidRPr="00900D6C">
        <w:t>If you have any questions, please contact the &lt; Public Health Unit/CDB/Chief Health Officer&gt;.</w:t>
      </w:r>
    </w:p>
    <w:p w14:paraId="7C3AC339" w14:textId="77777777" w:rsidR="007C0609" w:rsidRPr="00900D6C" w:rsidRDefault="007C0609" w:rsidP="00EA19BA">
      <w:pPr>
        <w:ind w:right="-46"/>
      </w:pPr>
      <w:r w:rsidRPr="00900D6C">
        <w:t>Sincerely,</w:t>
      </w:r>
    </w:p>
    <w:p w14:paraId="13377A85" w14:textId="77777777" w:rsidR="00BA01D7" w:rsidRDefault="00D451E1" w:rsidP="00193BD1">
      <w:pPr>
        <w:pStyle w:val="Heading2"/>
        <w:pageBreakBefore/>
      </w:pPr>
      <w:r w:rsidRPr="00900D6C">
        <w:t>B</w:t>
      </w:r>
      <w:r w:rsidR="007C0609" w:rsidRPr="00900D6C">
        <w:t>. Letter to employer: Exclusion of an employee who is a confirmed case</w:t>
      </w:r>
    </w:p>
    <w:p w14:paraId="60EB34A3" w14:textId="77777777" w:rsidR="00BA01D7" w:rsidRDefault="00D451E1" w:rsidP="00193BD1">
      <w:pPr>
        <w:spacing w:after="720"/>
        <w:ind w:right="-43"/>
      </w:pPr>
      <w:r w:rsidRPr="00900D6C">
        <w:t>&lt;</w:t>
      </w:r>
      <w:r w:rsidR="007C0609" w:rsidRPr="00900D6C">
        <w:t>Date</w:t>
      </w:r>
      <w:r w:rsidRPr="00900D6C">
        <w:t>&gt;</w:t>
      </w:r>
    </w:p>
    <w:p w14:paraId="0F46CF4E" w14:textId="77777777" w:rsidR="00BA01D7" w:rsidRDefault="00D451E1" w:rsidP="00EA19BA">
      <w:pPr>
        <w:ind w:right="-46"/>
      </w:pPr>
      <w:r w:rsidRPr="00900D6C">
        <w:t>Dear &lt;Employer Name&gt;</w:t>
      </w:r>
    </w:p>
    <w:p w14:paraId="4AA39E86" w14:textId="77777777" w:rsidR="00BA01D7" w:rsidRDefault="007C0609" w:rsidP="00EA19BA">
      <w:pPr>
        <w:ind w:right="-46"/>
      </w:pPr>
      <w:r w:rsidRPr="00900D6C">
        <w:t xml:space="preserve">RE: EXCLUSION OF EMPLOYEE – </w:t>
      </w:r>
      <w:r w:rsidR="00D451E1" w:rsidRPr="00900D6C">
        <w:t>&lt;</w:t>
      </w:r>
      <w:r w:rsidRPr="00900D6C">
        <w:t>Name</w:t>
      </w:r>
      <w:r w:rsidR="00D451E1" w:rsidRPr="00900D6C">
        <w:t>&gt;</w:t>
      </w:r>
    </w:p>
    <w:p w14:paraId="2ED881FF" w14:textId="2A8BA773" w:rsidR="007C0609" w:rsidRPr="00900D6C" w:rsidRDefault="007C0609" w:rsidP="00EA19BA">
      <w:pPr>
        <w:ind w:right="-46"/>
      </w:pPr>
      <w:r w:rsidRPr="00900D6C">
        <w:t>As authori</w:t>
      </w:r>
      <w:r w:rsidR="006D7E90" w:rsidRPr="00900D6C">
        <w:t>s</w:t>
      </w:r>
      <w:r w:rsidRPr="00900D6C">
        <w:t xml:space="preserve">ed by the &lt;Public Health Act&gt;, and in order to protect the </w:t>
      </w:r>
      <w:r w:rsidR="00D451E1" w:rsidRPr="00900D6C">
        <w:t xml:space="preserve">public’s health, your </w:t>
      </w:r>
      <w:proofErr w:type="gramStart"/>
      <w:r w:rsidR="00D451E1" w:rsidRPr="00900D6C">
        <w:t>employee ,</w:t>
      </w:r>
      <w:proofErr w:type="gramEnd"/>
      <w:r w:rsidR="00D451E1" w:rsidRPr="00900D6C">
        <w:t xml:space="preserve"> &lt;</w:t>
      </w:r>
      <w:r w:rsidRPr="00900D6C">
        <w:t>name</w:t>
      </w:r>
      <w:r w:rsidR="00D451E1" w:rsidRPr="00900D6C">
        <w:t>&gt;</w:t>
      </w:r>
      <w:r w:rsidRPr="00900D6C">
        <w:t xml:space="preserve">, has been advised to stay away from work involving </w:t>
      </w:r>
      <w:r w:rsidR="00D451E1" w:rsidRPr="00900D6C">
        <w:t>&lt;</w:t>
      </w:r>
      <w:r w:rsidRPr="00900D6C">
        <w:t>list of duties to be spec</w:t>
      </w:r>
      <w:r w:rsidR="00D451E1" w:rsidRPr="00900D6C">
        <w:t>ified by the Public Health Unit&gt;</w:t>
      </w:r>
      <w:r w:rsidRPr="00900D6C">
        <w:t xml:space="preserve">, because </w:t>
      </w:r>
      <w:r w:rsidR="00D451E1" w:rsidRPr="00900D6C">
        <w:t>&lt;</w:t>
      </w:r>
      <w:r w:rsidRPr="00900D6C">
        <w:t>he/she</w:t>
      </w:r>
      <w:r w:rsidR="00D451E1" w:rsidRPr="00900D6C">
        <w:t>&gt; h</w:t>
      </w:r>
      <w:r w:rsidRPr="00900D6C">
        <w:t xml:space="preserve">as a communicable disease that can be spread to others through preparation of food and drink and direct contact with other people. </w:t>
      </w:r>
      <w:r w:rsidR="00D451E1" w:rsidRPr="00900D6C">
        <w:t>&lt;</w:t>
      </w:r>
      <w:r w:rsidRPr="00900D6C">
        <w:t>Name</w:t>
      </w:r>
      <w:r w:rsidR="00D451E1" w:rsidRPr="00900D6C">
        <w:t>&gt;</w:t>
      </w:r>
      <w:r w:rsidRPr="00900D6C">
        <w:t xml:space="preserve"> has been given both verbal and written information about the criteria that must be met before returning to work. When the necessary criteria are met, the public/environmental health officer will provide you and </w:t>
      </w:r>
      <w:r w:rsidR="00D451E1" w:rsidRPr="00900D6C">
        <w:t>&lt;</w:t>
      </w:r>
      <w:r w:rsidRPr="00900D6C">
        <w:t>name</w:t>
      </w:r>
      <w:r w:rsidR="00D451E1" w:rsidRPr="00900D6C">
        <w:t>&gt;</w:t>
      </w:r>
      <w:r w:rsidRPr="00900D6C">
        <w:t xml:space="preserve"> with a letter from this office, advising him/her that it is safe to return to work.</w:t>
      </w:r>
    </w:p>
    <w:p w14:paraId="22573AAE" w14:textId="77777777" w:rsidR="00BA01D7" w:rsidRDefault="007C0609" w:rsidP="00EA19BA">
      <w:pPr>
        <w:ind w:right="-46"/>
      </w:pPr>
      <w:r w:rsidRPr="00900D6C">
        <w:t>In the meantime, if he/she is well enough to work, it may be possible for him/her to carry out some duties that will not create a risk to public health. You must have medical health officer approval for this. See contact d</w:t>
      </w:r>
      <w:r w:rsidR="00D451E1" w:rsidRPr="00900D6C">
        <w:t>etails below. Please note that &lt;</w:t>
      </w:r>
      <w:r w:rsidRPr="00900D6C">
        <w:t>name</w:t>
      </w:r>
      <w:r w:rsidR="00D451E1" w:rsidRPr="00900D6C">
        <w:t>&gt;</w:t>
      </w:r>
      <w:r w:rsidRPr="00900D6C">
        <w:t xml:space="preserve"> may only be cleared to return to work by a medical officer</w:t>
      </w:r>
      <w:r w:rsidR="00D451E1" w:rsidRPr="00900D6C">
        <w:t xml:space="preserve"> from the Public Health Unit</w:t>
      </w:r>
      <w:r w:rsidRPr="00900D6C">
        <w:t xml:space="preserve">. A letter from your employee’s physician to you or your employee will not clear your employee to return to work. If you have any questions, please contact </w:t>
      </w:r>
      <w:r w:rsidR="00D451E1" w:rsidRPr="00900D6C">
        <w:t>the Public Health Unit</w:t>
      </w:r>
      <w:r w:rsidRPr="00900D6C">
        <w:t xml:space="preserve"> </w:t>
      </w:r>
      <w:r w:rsidR="00D451E1" w:rsidRPr="00900D6C">
        <w:t>&lt;</w:t>
      </w:r>
      <w:r w:rsidRPr="00900D6C">
        <w:t>number</w:t>
      </w:r>
      <w:r w:rsidR="00D451E1" w:rsidRPr="00900D6C">
        <w:t>&gt;</w:t>
      </w:r>
      <w:r w:rsidRPr="00900D6C">
        <w:t>.</w:t>
      </w:r>
    </w:p>
    <w:p w14:paraId="5D656FCC" w14:textId="77777777" w:rsidR="00BA01D7" w:rsidRDefault="007C0609" w:rsidP="00193BD1">
      <w:pPr>
        <w:spacing w:after="720"/>
        <w:ind w:right="-43"/>
      </w:pPr>
      <w:r w:rsidRPr="00900D6C">
        <w:t>Sincerely,</w:t>
      </w:r>
    </w:p>
    <w:p w14:paraId="62396D4E" w14:textId="0772E26F" w:rsidR="007C0609" w:rsidRPr="00900D6C" w:rsidRDefault="007C0609" w:rsidP="00EA19BA">
      <w:pPr>
        <w:ind w:right="-46"/>
      </w:pPr>
      <w:r w:rsidRPr="00900D6C">
        <w:t>cc. Case at last known address.</w:t>
      </w:r>
    </w:p>
    <w:p w14:paraId="78F6ADD4" w14:textId="77777777" w:rsidR="00BA01D7" w:rsidRDefault="00E275FE" w:rsidP="00193BD1">
      <w:pPr>
        <w:pStyle w:val="Heading2"/>
        <w:pageBreakBefore/>
      </w:pPr>
      <w:r w:rsidRPr="00900D6C">
        <w:t>C. Letter of clearance to return to work</w:t>
      </w:r>
    </w:p>
    <w:p w14:paraId="48401010" w14:textId="77777777" w:rsidR="00BA01D7" w:rsidRDefault="00E275FE" w:rsidP="00193BD1">
      <w:pPr>
        <w:spacing w:after="720"/>
        <w:ind w:right="-43"/>
        <w:rPr>
          <w:rFonts w:ascii="Tahoma" w:hAnsi="Tahoma" w:cs="Tahoma"/>
        </w:rPr>
      </w:pPr>
      <w:r w:rsidRPr="00900D6C">
        <w:rPr>
          <w:rFonts w:ascii="Tahoma" w:hAnsi="Tahoma" w:cs="Tahoma"/>
        </w:rPr>
        <w:t>&lt;Date&gt;</w:t>
      </w:r>
    </w:p>
    <w:p w14:paraId="27128344" w14:textId="77777777" w:rsidR="00BA01D7" w:rsidRDefault="00E275FE" w:rsidP="00EA19BA">
      <w:pPr>
        <w:spacing w:after="200" w:line="276" w:lineRule="auto"/>
        <w:ind w:right="-46"/>
        <w:rPr>
          <w:rFonts w:ascii="Tahoma" w:hAnsi="Tahoma" w:cs="Tahoma"/>
        </w:rPr>
      </w:pPr>
      <w:r w:rsidRPr="00900D6C">
        <w:rPr>
          <w:rFonts w:ascii="Tahoma" w:hAnsi="Tahoma" w:cs="Tahoma"/>
        </w:rPr>
        <w:t>Dear &lt;Employer Name&gt;</w:t>
      </w:r>
    </w:p>
    <w:p w14:paraId="72700C59" w14:textId="77777777" w:rsidR="00BA01D7" w:rsidRDefault="00E275FE" w:rsidP="00EA19BA">
      <w:pPr>
        <w:spacing w:after="200" w:line="276" w:lineRule="auto"/>
        <w:ind w:right="-46"/>
        <w:rPr>
          <w:rFonts w:ascii="Tahoma" w:hAnsi="Tahoma" w:cs="Tahoma"/>
        </w:rPr>
      </w:pPr>
      <w:r w:rsidRPr="00900D6C">
        <w:rPr>
          <w:rFonts w:ascii="Tahoma" w:hAnsi="Tahoma" w:cs="Tahoma"/>
        </w:rPr>
        <w:t>RE: RETURN TO WORK OF EMPLOYEE – &lt;Name&gt;</w:t>
      </w:r>
    </w:p>
    <w:p w14:paraId="5CAD1E29" w14:textId="0C429C3A" w:rsidR="00E275FE" w:rsidRPr="00900D6C" w:rsidRDefault="00E275FE" w:rsidP="00EA19BA">
      <w:pPr>
        <w:spacing w:after="200" w:line="276" w:lineRule="auto"/>
        <w:ind w:right="-46"/>
        <w:rPr>
          <w:rFonts w:ascii="Tahoma" w:hAnsi="Tahoma" w:cs="Tahoma"/>
        </w:rPr>
      </w:pPr>
      <w:r w:rsidRPr="00900D6C">
        <w:rPr>
          <w:rFonts w:ascii="Tahoma" w:hAnsi="Tahoma" w:cs="Tahoma"/>
        </w:rPr>
        <w:t xml:space="preserve">Your employee, &lt;name&gt;, has now met the required public health criteria for clearance </w:t>
      </w:r>
      <w:r w:rsidR="00F55CF1" w:rsidRPr="00900D6C">
        <w:rPr>
          <w:rFonts w:ascii="Tahoma" w:hAnsi="Tahoma" w:cs="Tahoma"/>
        </w:rPr>
        <w:t>in relation to</w:t>
      </w:r>
      <w:r w:rsidRPr="00900D6C">
        <w:rPr>
          <w:rFonts w:ascii="Tahoma" w:hAnsi="Tahoma" w:cs="Tahoma"/>
        </w:rPr>
        <w:t xml:space="preserve"> a communicable disease that can be spread to others through preparation of food and drink. They are now safe to return to work.</w:t>
      </w:r>
    </w:p>
    <w:p w14:paraId="786AE900" w14:textId="533876FB" w:rsidR="00E275FE" w:rsidRPr="00900D6C" w:rsidRDefault="00E275FE" w:rsidP="00EA19BA">
      <w:pPr>
        <w:spacing w:after="200" w:line="276" w:lineRule="auto"/>
        <w:ind w:right="-46"/>
        <w:rPr>
          <w:rFonts w:ascii="Tahoma" w:hAnsi="Tahoma" w:cs="Tahoma"/>
        </w:rPr>
      </w:pPr>
      <w:r w:rsidRPr="00900D6C">
        <w:rPr>
          <w:rFonts w:ascii="Tahoma" w:hAnsi="Tahoma" w:cs="Tahoma"/>
        </w:rPr>
        <w:t>If you have any questions, please contact the Public Health Unit &lt;number&gt;.</w:t>
      </w:r>
    </w:p>
    <w:p w14:paraId="6115BCEB" w14:textId="77777777" w:rsidR="00BA01D7" w:rsidRDefault="00E275FE" w:rsidP="00193BD1">
      <w:pPr>
        <w:spacing w:after="720"/>
        <w:ind w:right="-43"/>
        <w:rPr>
          <w:rFonts w:ascii="Tahoma" w:hAnsi="Tahoma" w:cs="Tahoma"/>
        </w:rPr>
      </w:pPr>
      <w:r w:rsidRPr="00900D6C">
        <w:rPr>
          <w:rFonts w:ascii="Tahoma" w:hAnsi="Tahoma" w:cs="Tahoma"/>
        </w:rPr>
        <w:t>Sincerely,</w:t>
      </w:r>
    </w:p>
    <w:p w14:paraId="47D90DB9" w14:textId="4F96A3C6" w:rsidR="00E275FE" w:rsidRPr="00900D6C" w:rsidRDefault="00E275FE" w:rsidP="00EA19BA">
      <w:pPr>
        <w:spacing w:after="200" w:line="276" w:lineRule="auto"/>
        <w:ind w:right="-46"/>
        <w:rPr>
          <w:rFonts w:ascii="Tahoma" w:hAnsi="Tahoma" w:cs="Tahoma"/>
        </w:rPr>
      </w:pPr>
      <w:r w:rsidRPr="00900D6C">
        <w:rPr>
          <w:rFonts w:ascii="Tahoma" w:hAnsi="Tahoma" w:cs="Tahoma"/>
        </w:rPr>
        <w:t>&lt;Medical Officer&gt;</w:t>
      </w:r>
    </w:p>
    <w:p w14:paraId="5E668A3B" w14:textId="77777777" w:rsidR="00193BD1" w:rsidRDefault="00E275FE" w:rsidP="00EA19BA">
      <w:pPr>
        <w:spacing w:after="200" w:line="276" w:lineRule="auto"/>
        <w:ind w:right="-46"/>
        <w:rPr>
          <w:rFonts w:ascii="Tahoma" w:hAnsi="Tahoma" w:cs="Tahoma"/>
        </w:rPr>
      </w:pPr>
      <w:r w:rsidRPr="00900D6C">
        <w:rPr>
          <w:rFonts w:ascii="Tahoma" w:hAnsi="Tahoma" w:cs="Tahoma"/>
        </w:rPr>
        <w:t>&lt;Public Health Unit&gt;</w:t>
      </w:r>
    </w:p>
    <w:p w14:paraId="1EE14D7A" w14:textId="61BAFBBD" w:rsidR="00B87223" w:rsidRPr="00193BD1" w:rsidRDefault="00DE74B3" w:rsidP="00193BD1">
      <w:pPr>
        <w:pStyle w:val="Heading1"/>
        <w:pageBreakBefore/>
        <w:ind w:left="0" w:firstLine="0"/>
      </w:pPr>
      <w:bookmarkStart w:id="59" w:name="_Ref472427791"/>
      <w:r w:rsidRPr="00193BD1">
        <w:t xml:space="preserve">Appendix </w:t>
      </w:r>
      <w:r w:rsidR="00935BEA" w:rsidRPr="00193BD1">
        <w:t>5</w:t>
      </w:r>
      <w:r w:rsidRPr="00193BD1">
        <w:t xml:space="preserve">: </w:t>
      </w:r>
      <w:r w:rsidR="00CD0860" w:rsidRPr="00193BD1">
        <w:t>Public Health Management of cases of enteric fever flow diagram</w:t>
      </w:r>
      <w:bookmarkEnd w:id="59"/>
    </w:p>
    <w:p w14:paraId="5F4945B4" w14:textId="53B86CDB" w:rsidR="00CD0860" w:rsidRPr="00900D6C" w:rsidRDefault="00523537" w:rsidP="00EA19BA">
      <w:pPr>
        <w:pStyle w:val="NoSpacing"/>
        <w:ind w:right="-46"/>
        <w:rPr>
          <w:b/>
          <w:sz w:val="28"/>
          <w:szCs w:val="28"/>
        </w:rPr>
      </w:pPr>
      <w:r w:rsidRPr="00900D6C">
        <w:rPr>
          <w:b/>
          <w:noProof/>
          <w:sz w:val="28"/>
          <w:szCs w:val="28"/>
          <w:lang w:eastAsia="en-AU"/>
        </w:rPr>
        <w:drawing>
          <wp:inline distT="0" distB="0" distL="0" distR="0" wp14:anchorId="32D850CF" wp14:editId="76572DF3">
            <wp:extent cx="5895975" cy="4415612"/>
            <wp:effectExtent l="0" t="0" r="0" b="4445"/>
            <wp:docPr id="4" name="Picture 4" descr="Public-health management of confirmed cases of typhoid and paratyphoid fevers&#10;All cases:&#10;- Check if disease appeared within 28 days of case returning to Australia from an endemic country;&#10;- Ensure that all relevant parties including the case’s contacts and PHUs are advised about the disease, and if and when to take infection-control measures;&#10;- A case must stay away from work and public places until 48 hours after symptoms have gone;&#10;- A case must not prepare food for others until 48 hour after symptoms have gone.&#10;Non-travel-related cases:&#10;- A PHU needs to ask the case about exposures in the previous 60 days, eg, restaurants, social gatherings, home and work and their food handling, to help identify the source of the case’s infection.&#10;High-risk transmitters including through possible urinary shedding:&#10;- Cases are possible high-risk transmitters if they have not returned two negative stool specimens, not sooner than 48 hours after symptoms resolved, or sooner than 48 hours after stopping antibiotics, and at least 48 hours apart. They must not work with handling food, or care for other people, until 48 hours after symptoms have gone.&#10;High-risk cases:&#10;- Included in high-risk cases are food handlers; carers of patients, children, the elderly, child-care-age or pre-school-age children; and people and their carers who cannot maintain personal hygie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2710" cy="4413167"/>
                    </a:xfrm>
                    <a:prstGeom prst="rect">
                      <a:avLst/>
                    </a:prstGeom>
                    <a:noFill/>
                  </pic:spPr>
                </pic:pic>
              </a:graphicData>
            </a:graphic>
          </wp:inline>
        </w:drawing>
      </w:r>
    </w:p>
    <w:p w14:paraId="245CF718" w14:textId="23486A24" w:rsidR="00CD0860" w:rsidRPr="00193BD1" w:rsidRDefault="00DE74B3" w:rsidP="00193BD1">
      <w:pPr>
        <w:pStyle w:val="Heading1"/>
        <w:pageBreakBefore/>
        <w:ind w:left="0" w:firstLine="0"/>
        <w:rPr>
          <w:bCs/>
        </w:rPr>
      </w:pPr>
      <w:bookmarkStart w:id="60" w:name="_Ref472427793"/>
      <w:r w:rsidRPr="00193BD1">
        <w:rPr>
          <w:bCs/>
        </w:rPr>
        <w:t xml:space="preserve">Appendix </w:t>
      </w:r>
      <w:r w:rsidR="00935BEA" w:rsidRPr="00193BD1">
        <w:rPr>
          <w:bCs/>
        </w:rPr>
        <w:t>6</w:t>
      </w:r>
      <w:r w:rsidRPr="00193BD1">
        <w:rPr>
          <w:bCs/>
        </w:rPr>
        <w:t xml:space="preserve">: </w:t>
      </w:r>
      <w:r w:rsidR="00CD0860" w:rsidRPr="00193BD1">
        <w:rPr>
          <w:bCs/>
        </w:rPr>
        <w:t>Public Health Management of contacts of enteric fever flow diagram</w:t>
      </w:r>
      <w:bookmarkEnd w:id="60"/>
    </w:p>
    <w:p w14:paraId="117CA531" w14:textId="4441BF6D" w:rsidR="0092728B" w:rsidRPr="00A52082" w:rsidRDefault="00523537" w:rsidP="00A52082">
      <w:pPr>
        <w:pStyle w:val="NoSpacing"/>
        <w:ind w:right="-46"/>
        <w:rPr>
          <w:b/>
          <w:sz w:val="28"/>
          <w:szCs w:val="28"/>
        </w:rPr>
      </w:pPr>
      <w:r w:rsidRPr="00900D6C">
        <w:rPr>
          <w:b/>
          <w:noProof/>
          <w:sz w:val="28"/>
          <w:szCs w:val="28"/>
          <w:lang w:eastAsia="en-AU"/>
        </w:rPr>
        <w:drawing>
          <wp:inline distT="0" distB="0" distL="0" distR="0" wp14:anchorId="163B7319" wp14:editId="0D07F16A">
            <wp:extent cx="6067425" cy="4809933"/>
            <wp:effectExtent l="0" t="0" r="0" b="0"/>
            <wp:docPr id="5" name="Picture 5" descr="Public-health management of contacts of confirmed cases of typhoid and paratyphoid fevers&#10;All contacts:&#10;- Contacts of the confirmed case need to warn others of their contact with the case and inform others about the disease and its risks;&#10;- Contacts should assess their existing symptoms to help determine if they are at high risk of contracting the disease.&#10;Contacts of a case whose disease is travel related:&#10;- Contacts of a case (whose disease is associated with travel), do not have to provide stool specimens or exclude themselves from contact with others, unless they develop symptoms of the disease. If a contact develops symptoms, they should also seek medical attention and notify public-health authorities.&#10;&#10;Levels of transmission:&#10;- Contacts of a case are at higher risk than others of transmitting disease, regardless of whether the case’s disease is travel related or not;&#10;- Contacts should stay away from work, school and children, until returning two negative stool specimens, not sooner than 24 hours apart. It is possible that a contact may carry out non-high-risk duties at work while awaiting resul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8748" cy="4810982"/>
                    </a:xfrm>
                    <a:prstGeom prst="rect">
                      <a:avLst/>
                    </a:prstGeom>
                    <a:noFill/>
                  </pic:spPr>
                </pic:pic>
              </a:graphicData>
            </a:graphic>
          </wp:inline>
        </w:drawing>
      </w:r>
    </w:p>
    <w:sectPr w:rsidR="0092728B" w:rsidRPr="00A52082" w:rsidSect="002C4A6B">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02F97" w14:textId="77777777" w:rsidR="0098447C" w:rsidRDefault="0098447C">
      <w:r>
        <w:separator/>
      </w:r>
    </w:p>
  </w:endnote>
  <w:endnote w:type="continuationSeparator" w:id="0">
    <w:p w14:paraId="3C119735" w14:textId="77777777" w:rsidR="0098447C" w:rsidRDefault="0098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F2FD6" w14:textId="77777777" w:rsidR="0098447C" w:rsidRDefault="0098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CAF25F" w14:textId="77777777" w:rsidR="0098447C" w:rsidRDefault="00984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84F5" w14:textId="494A0222" w:rsidR="0098447C" w:rsidRDefault="00516EF3" w:rsidP="00900D6C">
    <w:pPr>
      <w:pStyle w:val="Footer"/>
      <w:tabs>
        <w:tab w:val="clear" w:pos="4153"/>
        <w:tab w:val="clear" w:pos="8306"/>
        <w:tab w:val="left" w:pos="8550"/>
      </w:tabs>
      <w:ind w:right="0"/>
    </w:pPr>
    <w:sdt>
      <w:sdtPr>
        <w:id w:val="1097520358"/>
        <w:docPartObj>
          <w:docPartGallery w:val="Page Numbers (Bottom of Page)"/>
          <w:docPartUnique/>
        </w:docPartObj>
      </w:sdtPr>
      <w:sdtEndPr>
        <w:rPr>
          <w:noProof/>
        </w:rPr>
      </w:sdtEndPr>
      <w:sdtContent>
        <w:r w:rsidR="0098447C" w:rsidRPr="0015488C">
          <w:t>Typhoid and Paratyphoid Fevers</w:t>
        </w:r>
        <w:r w:rsidR="0098447C">
          <w:t xml:space="preserve"> SoNG</w:t>
        </w:r>
        <w:r w:rsidR="0098447C">
          <w:tab/>
        </w:r>
        <w:r w:rsidR="0098447C">
          <w:fldChar w:fldCharType="begin"/>
        </w:r>
        <w:r w:rsidR="0098447C">
          <w:instrText xml:space="preserve"> PAGE   \* MERGEFORMAT </w:instrText>
        </w:r>
        <w:r w:rsidR="0098447C">
          <w:fldChar w:fldCharType="separate"/>
        </w:r>
        <w:r>
          <w:rPr>
            <w:noProof/>
          </w:rPr>
          <w:t>21</w:t>
        </w:r>
        <w:r w:rsidR="0098447C">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919A0" w14:textId="17D84E32" w:rsidR="0098447C" w:rsidRDefault="00516EF3" w:rsidP="00956B13">
    <w:pPr>
      <w:pStyle w:val="Footer"/>
      <w:ind w:right="0"/>
    </w:pPr>
    <w:sdt>
      <w:sdtPr>
        <w:id w:val="-382177882"/>
        <w:docPartObj>
          <w:docPartGallery w:val="Page Numbers (Bottom of Page)"/>
          <w:docPartUnique/>
        </w:docPartObj>
      </w:sdtPr>
      <w:sdtEndPr>
        <w:rPr>
          <w:noProof/>
        </w:rPr>
      </w:sdtEndPr>
      <w:sdtContent>
        <w:r w:rsidR="0098447C" w:rsidRPr="0015488C">
          <w:t>Typhoid and Paratyphoid Fevers</w:t>
        </w:r>
        <w:r w:rsidR="0098447C">
          <w:t xml:space="preserve"> SoNG</w:t>
        </w:r>
        <w:r w:rsidR="0098447C">
          <w:tab/>
        </w:r>
        <w:r w:rsidR="0098447C">
          <w:tab/>
        </w:r>
        <w:r w:rsidR="0098447C">
          <w:fldChar w:fldCharType="begin"/>
        </w:r>
        <w:r w:rsidR="0098447C">
          <w:instrText xml:space="preserve"> PAGE   \* MERGEFORMAT </w:instrText>
        </w:r>
        <w:r w:rsidR="0098447C">
          <w:fldChar w:fldCharType="separate"/>
        </w:r>
        <w:r>
          <w:rPr>
            <w:noProof/>
          </w:rPr>
          <w:t>22</w:t>
        </w:r>
        <w:r w:rsidR="0098447C">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573E" w14:textId="77777777" w:rsidR="0098447C" w:rsidRDefault="00984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392CF05" w14:textId="77777777" w:rsidR="0098447C" w:rsidRDefault="0098447C">
    <w:pPr>
      <w:pStyle w:val="Footer"/>
      <w:rPr>
        <w:rFonts w:ascii="Albertus Medium" w:hAnsi="Albertus Medium"/>
        <w:sz w:val="24"/>
      </w:rPr>
    </w:pPr>
    <w:r>
      <w:rPr>
        <w:rFonts w:ascii="Albertus Medium" w:hAnsi="Albertus Medium"/>
        <w:sz w:val="24"/>
      </w:rPr>
      <w:t>17 December 1999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86423" w14:textId="77777777" w:rsidR="0098447C" w:rsidRDefault="0098447C">
      <w:r>
        <w:separator/>
      </w:r>
    </w:p>
  </w:footnote>
  <w:footnote w:type="continuationSeparator" w:id="0">
    <w:p w14:paraId="1CF0D08C" w14:textId="77777777" w:rsidR="0098447C" w:rsidRDefault="0098447C">
      <w:r>
        <w:continuationSeparator/>
      </w:r>
    </w:p>
  </w:footnote>
  <w:footnote w:id="1">
    <w:p w14:paraId="7F76B6BC" w14:textId="47684A39" w:rsidR="0098447C" w:rsidRDefault="0098447C">
      <w:pPr>
        <w:pStyle w:val="FootnoteText"/>
      </w:pPr>
      <w:r>
        <w:rPr>
          <w:rStyle w:val="FootnoteReference"/>
        </w:rPr>
        <w:footnoteRef/>
      </w:r>
      <w:r>
        <w:t xml:space="preserve"> Personal communication Melbourne Diagnostic Unit 19 April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7CF76" w14:textId="77777777" w:rsidR="0098447C" w:rsidRDefault="00984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771A4" w14:textId="77777777" w:rsidR="0098447C" w:rsidRDefault="0098447C" w:rsidP="00EA19BA">
    <w:pPr>
      <w:pStyle w:val="Header"/>
      <w:ind w:righ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FB0A4" w14:textId="3126E168" w:rsidR="0098447C" w:rsidRDefault="0098447C" w:rsidP="0015488C">
    <w:pPr>
      <w:pStyle w:val="Header"/>
      <w:jc w:val="right"/>
    </w:pPr>
    <w:r w:rsidRPr="00900D6C">
      <w:rPr>
        <w:noProof/>
        <w:lang w:eastAsia="en-AU"/>
      </w:rPr>
      <w:drawing>
        <wp:inline distT="0" distB="0" distL="0" distR="0" wp14:anchorId="3BA223DB" wp14:editId="56465090">
          <wp:extent cx="1407160" cy="1804670"/>
          <wp:effectExtent l="0" t="0" r="2540" b="5080"/>
          <wp:docPr id="2" name="Picture 2" descr="Communicable Diseases Networ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HPDIV\HPSB\ZoFE\CDNA\Administration\Templates and Logo\Logo\CDNA LOGO 20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7160" cy="180467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0A33" w14:textId="77777777" w:rsidR="0098447C" w:rsidRDefault="0098447C">
    <w:pPr>
      <w:pStyle w:val="Header"/>
      <w:pBdr>
        <w:bottom w:val="single" w:sz="4" w:space="1" w:color="auto"/>
      </w:pBdr>
      <w:tabs>
        <w:tab w:val="clear" w:pos="8640"/>
      </w:tabs>
      <w:ind w:right="27"/>
      <w:jc w:val="center"/>
      <w:rPr>
        <w:rFonts w:ascii="Albertus Medium" w:hAnsi="Albertus Medium"/>
        <w:sz w:val="20"/>
      </w:rPr>
    </w:pPr>
    <w:proofErr w:type="spellStart"/>
    <w:r>
      <w:rPr>
        <w:rFonts w:ascii="Albertus Medium" w:hAnsi="Albertus Medium"/>
        <w:sz w:val="20"/>
      </w:rPr>
      <w:t>Arboviral</w:t>
    </w:r>
    <w:proofErr w:type="spellEnd"/>
    <w:r>
      <w:rPr>
        <w:rFonts w:ascii="Albertus Medium" w:hAnsi="Albertus Medium"/>
        <w:sz w:val="20"/>
      </w:rPr>
      <w:t xml:space="preserve"> diseases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7819C" w14:textId="6CD6664C" w:rsidR="0098447C" w:rsidRPr="00193BD1" w:rsidRDefault="0098447C" w:rsidP="00193BD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732A3" w14:textId="77777777" w:rsidR="0098447C" w:rsidRDefault="0098447C">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E62"/>
    <w:multiLevelType w:val="hybridMultilevel"/>
    <w:tmpl w:val="2B40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385840"/>
    <w:multiLevelType w:val="hybridMultilevel"/>
    <w:tmpl w:val="BB380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4F4E85"/>
    <w:multiLevelType w:val="hybridMultilevel"/>
    <w:tmpl w:val="19321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AF14DF"/>
    <w:multiLevelType w:val="hybridMultilevel"/>
    <w:tmpl w:val="AA0C4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E80F7F"/>
    <w:multiLevelType w:val="hybridMultilevel"/>
    <w:tmpl w:val="5664B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380CD6"/>
    <w:multiLevelType w:val="hybridMultilevel"/>
    <w:tmpl w:val="4562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F55F88"/>
    <w:multiLevelType w:val="hybridMultilevel"/>
    <w:tmpl w:val="382C4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9A15A0"/>
    <w:multiLevelType w:val="hybridMultilevel"/>
    <w:tmpl w:val="88FEDFDA"/>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606F97"/>
    <w:multiLevelType w:val="hybridMultilevel"/>
    <w:tmpl w:val="67688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1E19AE"/>
    <w:multiLevelType w:val="hybridMultilevel"/>
    <w:tmpl w:val="DE1E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9046E7"/>
    <w:multiLevelType w:val="hybridMultilevel"/>
    <w:tmpl w:val="8684EA06"/>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C20C03"/>
    <w:multiLevelType w:val="hybridMultilevel"/>
    <w:tmpl w:val="EBA23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9039A0"/>
    <w:multiLevelType w:val="hybridMultilevel"/>
    <w:tmpl w:val="BEEA8A96"/>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D22E5D"/>
    <w:multiLevelType w:val="hybridMultilevel"/>
    <w:tmpl w:val="D08036F0"/>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3FE3046"/>
    <w:multiLevelType w:val="hybridMultilevel"/>
    <w:tmpl w:val="33F6C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551565"/>
    <w:multiLevelType w:val="hybridMultilevel"/>
    <w:tmpl w:val="051A0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3D1C74"/>
    <w:multiLevelType w:val="hybridMultilevel"/>
    <w:tmpl w:val="86C4B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010D37"/>
    <w:multiLevelType w:val="hybridMultilevel"/>
    <w:tmpl w:val="47981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19743F"/>
    <w:multiLevelType w:val="hybridMultilevel"/>
    <w:tmpl w:val="BDF4E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B4108F"/>
    <w:multiLevelType w:val="hybridMultilevel"/>
    <w:tmpl w:val="D6C00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150958"/>
    <w:multiLevelType w:val="hybridMultilevel"/>
    <w:tmpl w:val="4DE6D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8A4770"/>
    <w:multiLevelType w:val="hybridMultilevel"/>
    <w:tmpl w:val="B3C4FFA4"/>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8D150C"/>
    <w:multiLevelType w:val="hybridMultilevel"/>
    <w:tmpl w:val="36001C60"/>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9081F37"/>
    <w:multiLevelType w:val="hybridMultilevel"/>
    <w:tmpl w:val="8E980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ED6949"/>
    <w:multiLevelType w:val="hybridMultilevel"/>
    <w:tmpl w:val="B4A6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D016A1"/>
    <w:multiLevelType w:val="hybridMultilevel"/>
    <w:tmpl w:val="A9106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B96D7C"/>
    <w:multiLevelType w:val="hybridMultilevel"/>
    <w:tmpl w:val="88CC7F1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4203008"/>
    <w:multiLevelType w:val="hybridMultilevel"/>
    <w:tmpl w:val="CE320C32"/>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551F4D"/>
    <w:multiLevelType w:val="hybridMultilevel"/>
    <w:tmpl w:val="E7E6F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56A2B8C"/>
    <w:multiLevelType w:val="hybridMultilevel"/>
    <w:tmpl w:val="B37A0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63A5A67"/>
    <w:multiLevelType w:val="hybridMultilevel"/>
    <w:tmpl w:val="C7E05848"/>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B95FEB"/>
    <w:multiLevelType w:val="hybridMultilevel"/>
    <w:tmpl w:val="728621BA"/>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DA4E9E"/>
    <w:multiLevelType w:val="hybridMultilevel"/>
    <w:tmpl w:val="B0B8F356"/>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2B2838"/>
    <w:multiLevelType w:val="hybridMultilevel"/>
    <w:tmpl w:val="4094F044"/>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9D23A31"/>
    <w:multiLevelType w:val="hybridMultilevel"/>
    <w:tmpl w:val="545E0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3D3AFC"/>
    <w:multiLevelType w:val="hybridMultilevel"/>
    <w:tmpl w:val="C90EAC5A"/>
    <w:lvl w:ilvl="0" w:tplc="894E129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6E2DF5"/>
    <w:multiLevelType w:val="hybridMultilevel"/>
    <w:tmpl w:val="8852573C"/>
    <w:lvl w:ilvl="0" w:tplc="2F3465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27"/>
  </w:num>
  <w:num w:numId="4">
    <w:abstractNumId w:val="4"/>
  </w:num>
  <w:num w:numId="5">
    <w:abstractNumId w:val="2"/>
  </w:num>
  <w:num w:numId="6">
    <w:abstractNumId w:val="10"/>
  </w:num>
  <w:num w:numId="7">
    <w:abstractNumId w:val="13"/>
  </w:num>
  <w:num w:numId="8">
    <w:abstractNumId w:val="34"/>
  </w:num>
  <w:num w:numId="9">
    <w:abstractNumId w:val="7"/>
  </w:num>
  <w:num w:numId="10">
    <w:abstractNumId w:val="31"/>
  </w:num>
  <w:num w:numId="11">
    <w:abstractNumId w:val="14"/>
  </w:num>
  <w:num w:numId="12">
    <w:abstractNumId w:val="9"/>
  </w:num>
  <w:num w:numId="13">
    <w:abstractNumId w:val="11"/>
  </w:num>
  <w:num w:numId="14">
    <w:abstractNumId w:val="8"/>
  </w:num>
  <w:num w:numId="15">
    <w:abstractNumId w:val="0"/>
  </w:num>
  <w:num w:numId="16">
    <w:abstractNumId w:val="16"/>
  </w:num>
  <w:num w:numId="17">
    <w:abstractNumId w:val="25"/>
  </w:num>
  <w:num w:numId="18">
    <w:abstractNumId w:val="26"/>
  </w:num>
  <w:num w:numId="19">
    <w:abstractNumId w:val="15"/>
  </w:num>
  <w:num w:numId="20">
    <w:abstractNumId w:val="29"/>
  </w:num>
  <w:num w:numId="21">
    <w:abstractNumId w:val="24"/>
  </w:num>
  <w:num w:numId="22">
    <w:abstractNumId w:val="19"/>
  </w:num>
  <w:num w:numId="23">
    <w:abstractNumId w:val="6"/>
  </w:num>
  <w:num w:numId="24">
    <w:abstractNumId w:val="35"/>
  </w:num>
  <w:num w:numId="25">
    <w:abstractNumId w:val="3"/>
  </w:num>
  <w:num w:numId="26">
    <w:abstractNumId w:val="18"/>
  </w:num>
  <w:num w:numId="27">
    <w:abstractNumId w:val="20"/>
  </w:num>
  <w:num w:numId="28">
    <w:abstractNumId w:val="30"/>
  </w:num>
  <w:num w:numId="29">
    <w:abstractNumId w:val="5"/>
  </w:num>
  <w:num w:numId="30">
    <w:abstractNumId w:val="1"/>
  </w:num>
  <w:num w:numId="31">
    <w:abstractNumId w:val="17"/>
  </w:num>
  <w:num w:numId="32">
    <w:abstractNumId w:val="32"/>
  </w:num>
  <w:num w:numId="33">
    <w:abstractNumId w:val="21"/>
  </w:num>
  <w:num w:numId="34">
    <w:abstractNumId w:val="23"/>
  </w:num>
  <w:num w:numId="35">
    <w:abstractNumId w:val="37"/>
  </w:num>
  <w:num w:numId="36">
    <w:abstractNumId w:val="33"/>
  </w:num>
  <w:num w:numId="37">
    <w:abstractNumId w:val="28"/>
  </w:num>
  <w:num w:numId="38">
    <w:abstractNumId w:val="12"/>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ith a bourne">
    <w15:presenceInfo w15:providerId="Windows Live" w15:userId="bdcb69e00dd24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f55tddz1wdx2netsv25veadfevp9e5r5swv&quot;&gt;My EndNote Library&lt;record-ids&gt;&lt;item&gt;20&lt;/item&gt;&lt;item&gt;21&lt;/item&gt;&lt;item&gt;23&lt;/item&gt;&lt;item&gt;24&lt;/item&gt;&lt;item&gt;25&lt;/item&gt;&lt;item&gt;26&lt;/item&gt;&lt;item&gt;28&lt;/item&gt;&lt;item&gt;30&lt;/item&gt;&lt;item&gt;31&lt;/item&gt;&lt;item&gt;32&lt;/item&gt;&lt;item&gt;33&lt;/item&gt;&lt;item&gt;34&lt;/item&gt;&lt;item&gt;35&lt;/item&gt;&lt;item&gt;36&lt;/item&gt;&lt;item&gt;37&lt;/item&gt;&lt;item&gt;38&lt;/item&gt;&lt;item&gt;40&lt;/item&gt;&lt;item&gt;45&lt;/item&gt;&lt;item&gt;46&lt;/item&gt;&lt;item&gt;47&lt;/item&gt;&lt;item&gt;48&lt;/item&gt;&lt;item&gt;49&lt;/item&gt;&lt;item&gt;50&lt;/item&gt;&lt;item&gt;51&lt;/item&gt;&lt;item&gt;52&lt;/item&gt;&lt;item&gt;53&lt;/item&gt;&lt;item&gt;55&lt;/item&gt;&lt;item&gt;56&lt;/item&gt;&lt;item&gt;57&lt;/item&gt;&lt;item&gt;59&lt;/item&gt;&lt;item&gt;62&lt;/item&gt;&lt;item&gt;64&lt;/item&gt;&lt;item&gt;65&lt;/item&gt;&lt;item&gt;67&lt;/item&gt;&lt;item&gt;68&lt;/item&gt;&lt;item&gt;70&lt;/item&gt;&lt;item&gt;71&lt;/item&gt;&lt;item&gt;72&lt;/item&gt;&lt;item&gt;73&lt;/item&gt;&lt;item&gt;74&lt;/item&gt;&lt;item&gt;78&lt;/item&gt;&lt;item&gt;80&lt;/item&gt;&lt;item&gt;81&lt;/item&gt;&lt;item&gt;84&lt;/item&gt;&lt;item&gt;85&lt;/item&gt;&lt;item&gt;87&lt;/item&gt;&lt;item&gt;88&lt;/item&gt;&lt;item&gt;91&lt;/item&gt;&lt;item&gt;93&lt;/item&gt;&lt;item&gt;125&lt;/item&gt;&lt;item&gt;126&lt;/item&gt;&lt;item&gt;149&lt;/item&gt;&lt;item&gt;170&lt;/item&gt;&lt;item&gt;171&lt;/item&gt;&lt;item&gt;172&lt;/item&gt;&lt;/record-ids&gt;&lt;/item&gt;&lt;/Libraries&gt;"/>
  </w:docVars>
  <w:rsids>
    <w:rsidRoot w:val="002A4B69"/>
    <w:rsid w:val="00001155"/>
    <w:rsid w:val="00004642"/>
    <w:rsid w:val="00011765"/>
    <w:rsid w:val="00020CC2"/>
    <w:rsid w:val="0002407C"/>
    <w:rsid w:val="00025AEA"/>
    <w:rsid w:val="00025C4D"/>
    <w:rsid w:val="00025F5E"/>
    <w:rsid w:val="000264B2"/>
    <w:rsid w:val="000265C5"/>
    <w:rsid w:val="000366A8"/>
    <w:rsid w:val="000366E3"/>
    <w:rsid w:val="00037963"/>
    <w:rsid w:val="000418CC"/>
    <w:rsid w:val="00042B39"/>
    <w:rsid w:val="0004509E"/>
    <w:rsid w:val="000457E4"/>
    <w:rsid w:val="00050C10"/>
    <w:rsid w:val="00051446"/>
    <w:rsid w:val="00054179"/>
    <w:rsid w:val="000543D6"/>
    <w:rsid w:val="00055FF5"/>
    <w:rsid w:val="00056135"/>
    <w:rsid w:val="000569D8"/>
    <w:rsid w:val="0005712D"/>
    <w:rsid w:val="00057249"/>
    <w:rsid w:val="00060344"/>
    <w:rsid w:val="00060E08"/>
    <w:rsid w:val="00061430"/>
    <w:rsid w:val="000618AD"/>
    <w:rsid w:val="00065CE7"/>
    <w:rsid w:val="00065F3E"/>
    <w:rsid w:val="00066A27"/>
    <w:rsid w:val="00067409"/>
    <w:rsid w:val="00070424"/>
    <w:rsid w:val="000714E7"/>
    <w:rsid w:val="00072886"/>
    <w:rsid w:val="000730BF"/>
    <w:rsid w:val="00074209"/>
    <w:rsid w:val="00074D28"/>
    <w:rsid w:val="00074EE2"/>
    <w:rsid w:val="00076446"/>
    <w:rsid w:val="000805C6"/>
    <w:rsid w:val="000822EB"/>
    <w:rsid w:val="00082E43"/>
    <w:rsid w:val="000832DF"/>
    <w:rsid w:val="00083B67"/>
    <w:rsid w:val="00084618"/>
    <w:rsid w:val="0008576C"/>
    <w:rsid w:val="00086568"/>
    <w:rsid w:val="0008769D"/>
    <w:rsid w:val="00087E27"/>
    <w:rsid w:val="00091597"/>
    <w:rsid w:val="000923AE"/>
    <w:rsid w:val="000940EE"/>
    <w:rsid w:val="000946D7"/>
    <w:rsid w:val="000952A9"/>
    <w:rsid w:val="00097A93"/>
    <w:rsid w:val="000A073D"/>
    <w:rsid w:val="000A0BDE"/>
    <w:rsid w:val="000A38E5"/>
    <w:rsid w:val="000A4720"/>
    <w:rsid w:val="000A5083"/>
    <w:rsid w:val="000B313A"/>
    <w:rsid w:val="000B68BA"/>
    <w:rsid w:val="000C073A"/>
    <w:rsid w:val="000C284A"/>
    <w:rsid w:val="000C28D1"/>
    <w:rsid w:val="000C4450"/>
    <w:rsid w:val="000D5A09"/>
    <w:rsid w:val="000D642C"/>
    <w:rsid w:val="000D759F"/>
    <w:rsid w:val="000E1FBD"/>
    <w:rsid w:val="000E2446"/>
    <w:rsid w:val="000E4379"/>
    <w:rsid w:val="000E45A1"/>
    <w:rsid w:val="000F1968"/>
    <w:rsid w:val="000F33A3"/>
    <w:rsid w:val="000F3F39"/>
    <w:rsid w:val="000F60E1"/>
    <w:rsid w:val="000F75FE"/>
    <w:rsid w:val="000F7804"/>
    <w:rsid w:val="000F7D03"/>
    <w:rsid w:val="00101DAA"/>
    <w:rsid w:val="001036CA"/>
    <w:rsid w:val="00103878"/>
    <w:rsid w:val="001048F2"/>
    <w:rsid w:val="0010626E"/>
    <w:rsid w:val="001130F6"/>
    <w:rsid w:val="00114B1B"/>
    <w:rsid w:val="001150B3"/>
    <w:rsid w:val="001150D6"/>
    <w:rsid w:val="001216E8"/>
    <w:rsid w:val="00121949"/>
    <w:rsid w:val="00121D49"/>
    <w:rsid w:val="001230F2"/>
    <w:rsid w:val="0012725F"/>
    <w:rsid w:val="00127A0F"/>
    <w:rsid w:val="0013128C"/>
    <w:rsid w:val="0013262D"/>
    <w:rsid w:val="001352B5"/>
    <w:rsid w:val="00135497"/>
    <w:rsid w:val="00135BE5"/>
    <w:rsid w:val="00142F5A"/>
    <w:rsid w:val="001448F0"/>
    <w:rsid w:val="00144E82"/>
    <w:rsid w:val="0014527D"/>
    <w:rsid w:val="001474C2"/>
    <w:rsid w:val="00151D89"/>
    <w:rsid w:val="0015488C"/>
    <w:rsid w:val="00154F29"/>
    <w:rsid w:val="00156C20"/>
    <w:rsid w:val="001620F6"/>
    <w:rsid w:val="001625EB"/>
    <w:rsid w:val="00162BFC"/>
    <w:rsid w:val="00162C20"/>
    <w:rsid w:val="001654B3"/>
    <w:rsid w:val="00165BE6"/>
    <w:rsid w:val="001663A2"/>
    <w:rsid w:val="001665D2"/>
    <w:rsid w:val="00170E10"/>
    <w:rsid w:val="001719EE"/>
    <w:rsid w:val="00171CE2"/>
    <w:rsid w:val="00172154"/>
    <w:rsid w:val="001738B1"/>
    <w:rsid w:val="00176B97"/>
    <w:rsid w:val="00177B0C"/>
    <w:rsid w:val="001801FE"/>
    <w:rsid w:val="00184C9B"/>
    <w:rsid w:val="00193BD1"/>
    <w:rsid w:val="00196AAD"/>
    <w:rsid w:val="0019735A"/>
    <w:rsid w:val="001A08F1"/>
    <w:rsid w:val="001A0975"/>
    <w:rsid w:val="001A1F9C"/>
    <w:rsid w:val="001A4D94"/>
    <w:rsid w:val="001A51F8"/>
    <w:rsid w:val="001A7BD8"/>
    <w:rsid w:val="001B0BC6"/>
    <w:rsid w:val="001B1DA5"/>
    <w:rsid w:val="001B3099"/>
    <w:rsid w:val="001B3364"/>
    <w:rsid w:val="001B3912"/>
    <w:rsid w:val="001B43BF"/>
    <w:rsid w:val="001B71B3"/>
    <w:rsid w:val="001C0DA9"/>
    <w:rsid w:val="001C34BD"/>
    <w:rsid w:val="001D24BA"/>
    <w:rsid w:val="001D6D53"/>
    <w:rsid w:val="001D7868"/>
    <w:rsid w:val="001E00C5"/>
    <w:rsid w:val="001E31FF"/>
    <w:rsid w:val="001E337A"/>
    <w:rsid w:val="001E4010"/>
    <w:rsid w:val="001E42A7"/>
    <w:rsid w:val="001E563D"/>
    <w:rsid w:val="001E5D0D"/>
    <w:rsid w:val="001E5D79"/>
    <w:rsid w:val="001F07D4"/>
    <w:rsid w:val="001F15C5"/>
    <w:rsid w:val="001F3E9F"/>
    <w:rsid w:val="001F42D8"/>
    <w:rsid w:val="001F4441"/>
    <w:rsid w:val="001F6F9D"/>
    <w:rsid w:val="001F711F"/>
    <w:rsid w:val="001F7ABE"/>
    <w:rsid w:val="00201668"/>
    <w:rsid w:val="00203B3E"/>
    <w:rsid w:val="00203ECF"/>
    <w:rsid w:val="002138D9"/>
    <w:rsid w:val="00213D15"/>
    <w:rsid w:val="00221334"/>
    <w:rsid w:val="00223935"/>
    <w:rsid w:val="00225EAB"/>
    <w:rsid w:val="00232093"/>
    <w:rsid w:val="00233950"/>
    <w:rsid w:val="00233A87"/>
    <w:rsid w:val="00235D14"/>
    <w:rsid w:val="0023732F"/>
    <w:rsid w:val="002428D2"/>
    <w:rsid w:val="002456A1"/>
    <w:rsid w:val="00251C1E"/>
    <w:rsid w:val="00251DE1"/>
    <w:rsid w:val="0025317F"/>
    <w:rsid w:val="00256BA6"/>
    <w:rsid w:val="00257034"/>
    <w:rsid w:val="00257703"/>
    <w:rsid w:val="00262D02"/>
    <w:rsid w:val="002669A7"/>
    <w:rsid w:val="00271E91"/>
    <w:rsid w:val="00272C63"/>
    <w:rsid w:val="002731E9"/>
    <w:rsid w:val="00273CFE"/>
    <w:rsid w:val="0027553D"/>
    <w:rsid w:val="002801AA"/>
    <w:rsid w:val="00280C63"/>
    <w:rsid w:val="0028278D"/>
    <w:rsid w:val="00282AE9"/>
    <w:rsid w:val="00294B19"/>
    <w:rsid w:val="00294F20"/>
    <w:rsid w:val="0029663A"/>
    <w:rsid w:val="00296DC9"/>
    <w:rsid w:val="002A0409"/>
    <w:rsid w:val="002A0F41"/>
    <w:rsid w:val="002A4A13"/>
    <w:rsid w:val="002A4B69"/>
    <w:rsid w:val="002A681A"/>
    <w:rsid w:val="002C10DE"/>
    <w:rsid w:val="002C1EA1"/>
    <w:rsid w:val="002C4A6B"/>
    <w:rsid w:val="002C4D00"/>
    <w:rsid w:val="002C6F30"/>
    <w:rsid w:val="002D1E32"/>
    <w:rsid w:val="002D3624"/>
    <w:rsid w:val="002D4387"/>
    <w:rsid w:val="002D46AD"/>
    <w:rsid w:val="002D5327"/>
    <w:rsid w:val="002D6E28"/>
    <w:rsid w:val="002E106A"/>
    <w:rsid w:val="002E1764"/>
    <w:rsid w:val="002E4ADF"/>
    <w:rsid w:val="002F1B1A"/>
    <w:rsid w:val="002F1D5D"/>
    <w:rsid w:val="002F2BDC"/>
    <w:rsid w:val="002F4B0C"/>
    <w:rsid w:val="002F6EED"/>
    <w:rsid w:val="003047FA"/>
    <w:rsid w:val="00306479"/>
    <w:rsid w:val="00311777"/>
    <w:rsid w:val="00313561"/>
    <w:rsid w:val="00314274"/>
    <w:rsid w:val="00316F44"/>
    <w:rsid w:val="003201A1"/>
    <w:rsid w:val="003223AC"/>
    <w:rsid w:val="003226C5"/>
    <w:rsid w:val="00323C40"/>
    <w:rsid w:val="003260E4"/>
    <w:rsid w:val="003268F2"/>
    <w:rsid w:val="00327AEC"/>
    <w:rsid w:val="00330548"/>
    <w:rsid w:val="003324A6"/>
    <w:rsid w:val="003327CE"/>
    <w:rsid w:val="00332E0B"/>
    <w:rsid w:val="00336C2A"/>
    <w:rsid w:val="00346BE0"/>
    <w:rsid w:val="00347F22"/>
    <w:rsid w:val="003514C9"/>
    <w:rsid w:val="00351845"/>
    <w:rsid w:val="00353C51"/>
    <w:rsid w:val="00361970"/>
    <w:rsid w:val="003634ED"/>
    <w:rsid w:val="003644E0"/>
    <w:rsid w:val="003677D3"/>
    <w:rsid w:val="003707EE"/>
    <w:rsid w:val="0037170D"/>
    <w:rsid w:val="003719B2"/>
    <w:rsid w:val="00371C98"/>
    <w:rsid w:val="00372389"/>
    <w:rsid w:val="003741BE"/>
    <w:rsid w:val="003763DF"/>
    <w:rsid w:val="003766FB"/>
    <w:rsid w:val="0038304A"/>
    <w:rsid w:val="00392A63"/>
    <w:rsid w:val="00393982"/>
    <w:rsid w:val="003A0224"/>
    <w:rsid w:val="003A1E76"/>
    <w:rsid w:val="003A374A"/>
    <w:rsid w:val="003A5403"/>
    <w:rsid w:val="003B05A9"/>
    <w:rsid w:val="003B1569"/>
    <w:rsid w:val="003B1EE2"/>
    <w:rsid w:val="003B75C0"/>
    <w:rsid w:val="003C0567"/>
    <w:rsid w:val="003C25EE"/>
    <w:rsid w:val="003C2803"/>
    <w:rsid w:val="003C2978"/>
    <w:rsid w:val="003C2F21"/>
    <w:rsid w:val="003C584C"/>
    <w:rsid w:val="003D0C93"/>
    <w:rsid w:val="003D31BD"/>
    <w:rsid w:val="003D4D9A"/>
    <w:rsid w:val="003D6EBD"/>
    <w:rsid w:val="003E4066"/>
    <w:rsid w:val="003E5D5F"/>
    <w:rsid w:val="003E63AC"/>
    <w:rsid w:val="003F1325"/>
    <w:rsid w:val="003F567B"/>
    <w:rsid w:val="003F75C1"/>
    <w:rsid w:val="00400370"/>
    <w:rsid w:val="004016B2"/>
    <w:rsid w:val="00404B0B"/>
    <w:rsid w:val="00410932"/>
    <w:rsid w:val="00411B5B"/>
    <w:rsid w:val="004122C1"/>
    <w:rsid w:val="004146FF"/>
    <w:rsid w:val="0041531E"/>
    <w:rsid w:val="00416B2A"/>
    <w:rsid w:val="00417869"/>
    <w:rsid w:val="00423C95"/>
    <w:rsid w:val="00423E6A"/>
    <w:rsid w:val="0042678A"/>
    <w:rsid w:val="00430245"/>
    <w:rsid w:val="004342DF"/>
    <w:rsid w:val="0043437C"/>
    <w:rsid w:val="00436780"/>
    <w:rsid w:val="00437314"/>
    <w:rsid w:val="00442842"/>
    <w:rsid w:val="00444E92"/>
    <w:rsid w:val="004503DA"/>
    <w:rsid w:val="0045269F"/>
    <w:rsid w:val="00455815"/>
    <w:rsid w:val="004604F8"/>
    <w:rsid w:val="00461051"/>
    <w:rsid w:val="00463808"/>
    <w:rsid w:val="00464669"/>
    <w:rsid w:val="004675BE"/>
    <w:rsid w:val="00471389"/>
    <w:rsid w:val="00472298"/>
    <w:rsid w:val="0047416E"/>
    <w:rsid w:val="00475BC1"/>
    <w:rsid w:val="0047657B"/>
    <w:rsid w:val="00482AE8"/>
    <w:rsid w:val="00485DFF"/>
    <w:rsid w:val="00486BAA"/>
    <w:rsid w:val="00486CA3"/>
    <w:rsid w:val="0049080D"/>
    <w:rsid w:val="00491E32"/>
    <w:rsid w:val="004937DA"/>
    <w:rsid w:val="00494737"/>
    <w:rsid w:val="00495E86"/>
    <w:rsid w:val="00496028"/>
    <w:rsid w:val="004A42B1"/>
    <w:rsid w:val="004A57BC"/>
    <w:rsid w:val="004A586C"/>
    <w:rsid w:val="004B1898"/>
    <w:rsid w:val="004B24D5"/>
    <w:rsid w:val="004B39EB"/>
    <w:rsid w:val="004B3E5B"/>
    <w:rsid w:val="004B5A23"/>
    <w:rsid w:val="004B7A69"/>
    <w:rsid w:val="004C1B7D"/>
    <w:rsid w:val="004C1E58"/>
    <w:rsid w:val="004C5C81"/>
    <w:rsid w:val="004C7B79"/>
    <w:rsid w:val="004D4480"/>
    <w:rsid w:val="004D5890"/>
    <w:rsid w:val="004D66B0"/>
    <w:rsid w:val="004E0CEB"/>
    <w:rsid w:val="004E1B73"/>
    <w:rsid w:val="004E277C"/>
    <w:rsid w:val="004E3C47"/>
    <w:rsid w:val="004E5F0F"/>
    <w:rsid w:val="004E651F"/>
    <w:rsid w:val="004E6B5A"/>
    <w:rsid w:val="004F29AC"/>
    <w:rsid w:val="004F35DD"/>
    <w:rsid w:val="004F56F7"/>
    <w:rsid w:val="004F6190"/>
    <w:rsid w:val="00500435"/>
    <w:rsid w:val="00503F71"/>
    <w:rsid w:val="005079C0"/>
    <w:rsid w:val="00507A02"/>
    <w:rsid w:val="005114F0"/>
    <w:rsid w:val="00511509"/>
    <w:rsid w:val="00511933"/>
    <w:rsid w:val="0051204C"/>
    <w:rsid w:val="00512194"/>
    <w:rsid w:val="00513564"/>
    <w:rsid w:val="00515320"/>
    <w:rsid w:val="00515BF0"/>
    <w:rsid w:val="00516EF3"/>
    <w:rsid w:val="00517883"/>
    <w:rsid w:val="00523537"/>
    <w:rsid w:val="00526A83"/>
    <w:rsid w:val="00526A84"/>
    <w:rsid w:val="00526A99"/>
    <w:rsid w:val="00526FBB"/>
    <w:rsid w:val="0053180F"/>
    <w:rsid w:val="00532887"/>
    <w:rsid w:val="00532AAC"/>
    <w:rsid w:val="005344BC"/>
    <w:rsid w:val="00540AC1"/>
    <w:rsid w:val="005411AE"/>
    <w:rsid w:val="00541A2D"/>
    <w:rsid w:val="00542831"/>
    <w:rsid w:val="00550143"/>
    <w:rsid w:val="005515F3"/>
    <w:rsid w:val="00553B4A"/>
    <w:rsid w:val="005545BC"/>
    <w:rsid w:val="00556338"/>
    <w:rsid w:val="005603B2"/>
    <w:rsid w:val="005612CB"/>
    <w:rsid w:val="00561E58"/>
    <w:rsid w:val="005642C9"/>
    <w:rsid w:val="005650FD"/>
    <w:rsid w:val="00565BE2"/>
    <w:rsid w:val="00566BFF"/>
    <w:rsid w:val="00570FB2"/>
    <w:rsid w:val="00573F23"/>
    <w:rsid w:val="00574038"/>
    <w:rsid w:val="00580E19"/>
    <w:rsid w:val="00581138"/>
    <w:rsid w:val="005827FA"/>
    <w:rsid w:val="00583179"/>
    <w:rsid w:val="00583514"/>
    <w:rsid w:val="00587880"/>
    <w:rsid w:val="0058795E"/>
    <w:rsid w:val="00587BFE"/>
    <w:rsid w:val="00590E81"/>
    <w:rsid w:val="0059430F"/>
    <w:rsid w:val="0059437E"/>
    <w:rsid w:val="00594927"/>
    <w:rsid w:val="00596A84"/>
    <w:rsid w:val="005975FC"/>
    <w:rsid w:val="005A047E"/>
    <w:rsid w:val="005A231D"/>
    <w:rsid w:val="005A37A3"/>
    <w:rsid w:val="005A4F04"/>
    <w:rsid w:val="005A5D66"/>
    <w:rsid w:val="005B19AE"/>
    <w:rsid w:val="005B2028"/>
    <w:rsid w:val="005B5FFA"/>
    <w:rsid w:val="005B676D"/>
    <w:rsid w:val="005B6ABB"/>
    <w:rsid w:val="005B72EE"/>
    <w:rsid w:val="005C03B4"/>
    <w:rsid w:val="005C0788"/>
    <w:rsid w:val="005C3D95"/>
    <w:rsid w:val="005D0987"/>
    <w:rsid w:val="005D0F88"/>
    <w:rsid w:val="005D2056"/>
    <w:rsid w:val="005E006B"/>
    <w:rsid w:val="005E0806"/>
    <w:rsid w:val="005E084B"/>
    <w:rsid w:val="005E3837"/>
    <w:rsid w:val="005E3F51"/>
    <w:rsid w:val="005E4E66"/>
    <w:rsid w:val="005E64CB"/>
    <w:rsid w:val="005E6A1F"/>
    <w:rsid w:val="005F0009"/>
    <w:rsid w:val="005F1FC7"/>
    <w:rsid w:val="005F2C50"/>
    <w:rsid w:val="005F3128"/>
    <w:rsid w:val="005F3610"/>
    <w:rsid w:val="005F6E95"/>
    <w:rsid w:val="00600F22"/>
    <w:rsid w:val="00603880"/>
    <w:rsid w:val="00605A32"/>
    <w:rsid w:val="00605FC9"/>
    <w:rsid w:val="00615DE7"/>
    <w:rsid w:val="00617BC2"/>
    <w:rsid w:val="006251B5"/>
    <w:rsid w:val="00625734"/>
    <w:rsid w:val="00627602"/>
    <w:rsid w:val="00627943"/>
    <w:rsid w:val="0063041A"/>
    <w:rsid w:val="00632EAF"/>
    <w:rsid w:val="0063659E"/>
    <w:rsid w:val="0064243D"/>
    <w:rsid w:val="00643757"/>
    <w:rsid w:val="006475DF"/>
    <w:rsid w:val="0065055F"/>
    <w:rsid w:val="00651BB8"/>
    <w:rsid w:val="00654CF6"/>
    <w:rsid w:val="006559D2"/>
    <w:rsid w:val="00656D00"/>
    <w:rsid w:val="00660ED0"/>
    <w:rsid w:val="0066177F"/>
    <w:rsid w:val="0066231E"/>
    <w:rsid w:val="006627DC"/>
    <w:rsid w:val="006630B0"/>
    <w:rsid w:val="00663B36"/>
    <w:rsid w:val="006657A9"/>
    <w:rsid w:val="00665EF8"/>
    <w:rsid w:val="00672970"/>
    <w:rsid w:val="00674988"/>
    <w:rsid w:val="00674CF9"/>
    <w:rsid w:val="0068287E"/>
    <w:rsid w:val="0068533A"/>
    <w:rsid w:val="00685461"/>
    <w:rsid w:val="00686E5A"/>
    <w:rsid w:val="00692471"/>
    <w:rsid w:val="00692551"/>
    <w:rsid w:val="006925A5"/>
    <w:rsid w:val="006A3122"/>
    <w:rsid w:val="006A4190"/>
    <w:rsid w:val="006A4A66"/>
    <w:rsid w:val="006A52C3"/>
    <w:rsid w:val="006A561A"/>
    <w:rsid w:val="006A695D"/>
    <w:rsid w:val="006A7409"/>
    <w:rsid w:val="006A7EA1"/>
    <w:rsid w:val="006B10A3"/>
    <w:rsid w:val="006B3E2E"/>
    <w:rsid w:val="006B4967"/>
    <w:rsid w:val="006C3F5E"/>
    <w:rsid w:val="006C47C9"/>
    <w:rsid w:val="006C641F"/>
    <w:rsid w:val="006C6F12"/>
    <w:rsid w:val="006D0674"/>
    <w:rsid w:val="006D1F6D"/>
    <w:rsid w:val="006D42E7"/>
    <w:rsid w:val="006D7E90"/>
    <w:rsid w:val="006E1B54"/>
    <w:rsid w:val="006E1C01"/>
    <w:rsid w:val="006E21A3"/>
    <w:rsid w:val="006E2713"/>
    <w:rsid w:val="006E52CE"/>
    <w:rsid w:val="006F5502"/>
    <w:rsid w:val="006F59FB"/>
    <w:rsid w:val="006F6A94"/>
    <w:rsid w:val="006F7EE2"/>
    <w:rsid w:val="00702491"/>
    <w:rsid w:val="00710A4E"/>
    <w:rsid w:val="00710C86"/>
    <w:rsid w:val="007127D5"/>
    <w:rsid w:val="00712C11"/>
    <w:rsid w:val="00716A86"/>
    <w:rsid w:val="00716AB5"/>
    <w:rsid w:val="00716D1A"/>
    <w:rsid w:val="00717165"/>
    <w:rsid w:val="00717295"/>
    <w:rsid w:val="007204AC"/>
    <w:rsid w:val="00723149"/>
    <w:rsid w:val="007241C4"/>
    <w:rsid w:val="00724FB1"/>
    <w:rsid w:val="007301BE"/>
    <w:rsid w:val="007309AB"/>
    <w:rsid w:val="0073172B"/>
    <w:rsid w:val="00731BCF"/>
    <w:rsid w:val="00733835"/>
    <w:rsid w:val="00733ACA"/>
    <w:rsid w:val="007349AD"/>
    <w:rsid w:val="0073602C"/>
    <w:rsid w:val="00741BFC"/>
    <w:rsid w:val="00742304"/>
    <w:rsid w:val="00743970"/>
    <w:rsid w:val="0074511F"/>
    <w:rsid w:val="00750B56"/>
    <w:rsid w:val="0075212B"/>
    <w:rsid w:val="00752F4C"/>
    <w:rsid w:val="007531F3"/>
    <w:rsid w:val="00754765"/>
    <w:rsid w:val="00754D95"/>
    <w:rsid w:val="00762310"/>
    <w:rsid w:val="007642F6"/>
    <w:rsid w:val="00765DB2"/>
    <w:rsid w:val="00766C68"/>
    <w:rsid w:val="007705D0"/>
    <w:rsid w:val="00771DB4"/>
    <w:rsid w:val="007734EC"/>
    <w:rsid w:val="00773C30"/>
    <w:rsid w:val="007745EE"/>
    <w:rsid w:val="0077577F"/>
    <w:rsid w:val="00775850"/>
    <w:rsid w:val="00776601"/>
    <w:rsid w:val="00776A14"/>
    <w:rsid w:val="007774C3"/>
    <w:rsid w:val="00777CDD"/>
    <w:rsid w:val="00780138"/>
    <w:rsid w:val="00780DF5"/>
    <w:rsid w:val="007814E9"/>
    <w:rsid w:val="00781FDD"/>
    <w:rsid w:val="00782C02"/>
    <w:rsid w:val="00782F1A"/>
    <w:rsid w:val="0078400F"/>
    <w:rsid w:val="0078445F"/>
    <w:rsid w:val="00786325"/>
    <w:rsid w:val="0078784F"/>
    <w:rsid w:val="00790366"/>
    <w:rsid w:val="0079085A"/>
    <w:rsid w:val="00791684"/>
    <w:rsid w:val="00792F03"/>
    <w:rsid w:val="0079400F"/>
    <w:rsid w:val="00797D37"/>
    <w:rsid w:val="007A0DDD"/>
    <w:rsid w:val="007A2FA3"/>
    <w:rsid w:val="007A41E3"/>
    <w:rsid w:val="007A4EBD"/>
    <w:rsid w:val="007A52B7"/>
    <w:rsid w:val="007A5AC3"/>
    <w:rsid w:val="007A621B"/>
    <w:rsid w:val="007A69C6"/>
    <w:rsid w:val="007A6DCF"/>
    <w:rsid w:val="007B2B02"/>
    <w:rsid w:val="007B30F9"/>
    <w:rsid w:val="007B66CC"/>
    <w:rsid w:val="007B7CF4"/>
    <w:rsid w:val="007C0609"/>
    <w:rsid w:val="007C09E4"/>
    <w:rsid w:val="007C1228"/>
    <w:rsid w:val="007C1B75"/>
    <w:rsid w:val="007C26BE"/>
    <w:rsid w:val="007C3DA7"/>
    <w:rsid w:val="007C5CCF"/>
    <w:rsid w:val="007D0FD8"/>
    <w:rsid w:val="007D2A65"/>
    <w:rsid w:val="007D2E3E"/>
    <w:rsid w:val="007D3A15"/>
    <w:rsid w:val="007D6573"/>
    <w:rsid w:val="007D74B8"/>
    <w:rsid w:val="007E1BA1"/>
    <w:rsid w:val="007E4602"/>
    <w:rsid w:val="007E67A3"/>
    <w:rsid w:val="007F43CB"/>
    <w:rsid w:val="007F4E20"/>
    <w:rsid w:val="007F580C"/>
    <w:rsid w:val="007F604E"/>
    <w:rsid w:val="00800B47"/>
    <w:rsid w:val="0080206E"/>
    <w:rsid w:val="008021A1"/>
    <w:rsid w:val="008023EB"/>
    <w:rsid w:val="00805FDB"/>
    <w:rsid w:val="00815CF9"/>
    <w:rsid w:val="00817BD0"/>
    <w:rsid w:val="00817E8F"/>
    <w:rsid w:val="00820946"/>
    <w:rsid w:val="008209EE"/>
    <w:rsid w:val="00820FDA"/>
    <w:rsid w:val="00821C6F"/>
    <w:rsid w:val="00822A13"/>
    <w:rsid w:val="00823086"/>
    <w:rsid w:val="0082450D"/>
    <w:rsid w:val="00825465"/>
    <w:rsid w:val="0082579A"/>
    <w:rsid w:val="008257BF"/>
    <w:rsid w:val="00825C3A"/>
    <w:rsid w:val="00826284"/>
    <w:rsid w:val="00832C7A"/>
    <w:rsid w:val="00833354"/>
    <w:rsid w:val="0083440C"/>
    <w:rsid w:val="008352F3"/>
    <w:rsid w:val="00837492"/>
    <w:rsid w:val="0084020A"/>
    <w:rsid w:val="008468EB"/>
    <w:rsid w:val="00846F6F"/>
    <w:rsid w:val="00850D08"/>
    <w:rsid w:val="00852396"/>
    <w:rsid w:val="00852C17"/>
    <w:rsid w:val="00854502"/>
    <w:rsid w:val="00855080"/>
    <w:rsid w:val="00855DC7"/>
    <w:rsid w:val="00856924"/>
    <w:rsid w:val="008608B6"/>
    <w:rsid w:val="00860C7E"/>
    <w:rsid w:val="008630B3"/>
    <w:rsid w:val="008630FC"/>
    <w:rsid w:val="008638C7"/>
    <w:rsid w:val="00863D2B"/>
    <w:rsid w:val="008644CA"/>
    <w:rsid w:val="00866B86"/>
    <w:rsid w:val="008674AE"/>
    <w:rsid w:val="00873263"/>
    <w:rsid w:val="008741D1"/>
    <w:rsid w:val="00875F5B"/>
    <w:rsid w:val="00877924"/>
    <w:rsid w:val="008807D4"/>
    <w:rsid w:val="008808CE"/>
    <w:rsid w:val="00880A03"/>
    <w:rsid w:val="00881561"/>
    <w:rsid w:val="00882481"/>
    <w:rsid w:val="00883015"/>
    <w:rsid w:val="00884DF8"/>
    <w:rsid w:val="00886288"/>
    <w:rsid w:val="0088779F"/>
    <w:rsid w:val="00890B1E"/>
    <w:rsid w:val="00895357"/>
    <w:rsid w:val="008974F8"/>
    <w:rsid w:val="00897D08"/>
    <w:rsid w:val="00897E4B"/>
    <w:rsid w:val="008B6B2C"/>
    <w:rsid w:val="008C0BEF"/>
    <w:rsid w:val="008C348A"/>
    <w:rsid w:val="008C6FBE"/>
    <w:rsid w:val="008C754D"/>
    <w:rsid w:val="008D0057"/>
    <w:rsid w:val="008D03F7"/>
    <w:rsid w:val="008D099D"/>
    <w:rsid w:val="008D1D0C"/>
    <w:rsid w:val="008D2A04"/>
    <w:rsid w:val="008D37DD"/>
    <w:rsid w:val="008D3864"/>
    <w:rsid w:val="008D60B2"/>
    <w:rsid w:val="008D699B"/>
    <w:rsid w:val="008F1EF8"/>
    <w:rsid w:val="00900D6C"/>
    <w:rsid w:val="009025E1"/>
    <w:rsid w:val="00902CED"/>
    <w:rsid w:val="009031AC"/>
    <w:rsid w:val="009041C1"/>
    <w:rsid w:val="00904C90"/>
    <w:rsid w:val="00905298"/>
    <w:rsid w:val="009060A9"/>
    <w:rsid w:val="0091010E"/>
    <w:rsid w:val="00911375"/>
    <w:rsid w:val="00911904"/>
    <w:rsid w:val="0091267E"/>
    <w:rsid w:val="00920275"/>
    <w:rsid w:val="009210AA"/>
    <w:rsid w:val="00921508"/>
    <w:rsid w:val="00921984"/>
    <w:rsid w:val="00922062"/>
    <w:rsid w:val="00924E39"/>
    <w:rsid w:val="009270C7"/>
    <w:rsid w:val="0092728B"/>
    <w:rsid w:val="00931B68"/>
    <w:rsid w:val="0093215F"/>
    <w:rsid w:val="009353AC"/>
    <w:rsid w:val="00935BEA"/>
    <w:rsid w:val="00937A25"/>
    <w:rsid w:val="00945CE3"/>
    <w:rsid w:val="0094653A"/>
    <w:rsid w:val="00947E59"/>
    <w:rsid w:val="00950F80"/>
    <w:rsid w:val="0095229F"/>
    <w:rsid w:val="00954F18"/>
    <w:rsid w:val="009556C7"/>
    <w:rsid w:val="00955D0E"/>
    <w:rsid w:val="00956B13"/>
    <w:rsid w:val="00961D88"/>
    <w:rsid w:val="0096240B"/>
    <w:rsid w:val="00962C2A"/>
    <w:rsid w:val="00963B43"/>
    <w:rsid w:val="00964B46"/>
    <w:rsid w:val="00964DC3"/>
    <w:rsid w:val="00971E22"/>
    <w:rsid w:val="00972177"/>
    <w:rsid w:val="0097356D"/>
    <w:rsid w:val="00975961"/>
    <w:rsid w:val="00975D8B"/>
    <w:rsid w:val="00976774"/>
    <w:rsid w:val="00976FF8"/>
    <w:rsid w:val="0098293F"/>
    <w:rsid w:val="0098447C"/>
    <w:rsid w:val="00984E59"/>
    <w:rsid w:val="00987E38"/>
    <w:rsid w:val="009902E9"/>
    <w:rsid w:val="00991653"/>
    <w:rsid w:val="00993E8B"/>
    <w:rsid w:val="0099412F"/>
    <w:rsid w:val="00996305"/>
    <w:rsid w:val="009A19DF"/>
    <w:rsid w:val="009A2F41"/>
    <w:rsid w:val="009B0B15"/>
    <w:rsid w:val="009B12A7"/>
    <w:rsid w:val="009B1DD2"/>
    <w:rsid w:val="009B460B"/>
    <w:rsid w:val="009B50AA"/>
    <w:rsid w:val="009B595D"/>
    <w:rsid w:val="009B68EE"/>
    <w:rsid w:val="009B7F72"/>
    <w:rsid w:val="009C0539"/>
    <w:rsid w:val="009C0BFA"/>
    <w:rsid w:val="009C14B2"/>
    <w:rsid w:val="009C3529"/>
    <w:rsid w:val="009C6297"/>
    <w:rsid w:val="009C6F10"/>
    <w:rsid w:val="009D2946"/>
    <w:rsid w:val="009D43E4"/>
    <w:rsid w:val="009D4A8A"/>
    <w:rsid w:val="009D4E97"/>
    <w:rsid w:val="009D5A52"/>
    <w:rsid w:val="009D6C9A"/>
    <w:rsid w:val="009D7FD4"/>
    <w:rsid w:val="009E0434"/>
    <w:rsid w:val="009E072B"/>
    <w:rsid w:val="009E1079"/>
    <w:rsid w:val="009E248F"/>
    <w:rsid w:val="009E27DC"/>
    <w:rsid w:val="009E31F3"/>
    <w:rsid w:val="009E59DF"/>
    <w:rsid w:val="009E68C4"/>
    <w:rsid w:val="009E6C46"/>
    <w:rsid w:val="009E6F79"/>
    <w:rsid w:val="009F0847"/>
    <w:rsid w:val="009F30BF"/>
    <w:rsid w:val="009F365C"/>
    <w:rsid w:val="009F3ADF"/>
    <w:rsid w:val="009F4ACC"/>
    <w:rsid w:val="009F4DF1"/>
    <w:rsid w:val="009F523C"/>
    <w:rsid w:val="00A002FD"/>
    <w:rsid w:val="00A005E0"/>
    <w:rsid w:val="00A03AB7"/>
    <w:rsid w:val="00A04959"/>
    <w:rsid w:val="00A04C70"/>
    <w:rsid w:val="00A100CB"/>
    <w:rsid w:val="00A1468F"/>
    <w:rsid w:val="00A15655"/>
    <w:rsid w:val="00A16E93"/>
    <w:rsid w:val="00A206FD"/>
    <w:rsid w:val="00A22B42"/>
    <w:rsid w:val="00A23462"/>
    <w:rsid w:val="00A240B3"/>
    <w:rsid w:val="00A26A1B"/>
    <w:rsid w:val="00A32458"/>
    <w:rsid w:val="00A34E48"/>
    <w:rsid w:val="00A37233"/>
    <w:rsid w:val="00A37BD3"/>
    <w:rsid w:val="00A404A2"/>
    <w:rsid w:val="00A411EE"/>
    <w:rsid w:val="00A419A1"/>
    <w:rsid w:val="00A41BA0"/>
    <w:rsid w:val="00A4333A"/>
    <w:rsid w:val="00A45CD8"/>
    <w:rsid w:val="00A45E01"/>
    <w:rsid w:val="00A4669E"/>
    <w:rsid w:val="00A4695B"/>
    <w:rsid w:val="00A47928"/>
    <w:rsid w:val="00A50734"/>
    <w:rsid w:val="00A51EA8"/>
    <w:rsid w:val="00A52082"/>
    <w:rsid w:val="00A534A3"/>
    <w:rsid w:val="00A54B4F"/>
    <w:rsid w:val="00A6123D"/>
    <w:rsid w:val="00A614AF"/>
    <w:rsid w:val="00A6160E"/>
    <w:rsid w:val="00A7090D"/>
    <w:rsid w:val="00A728B0"/>
    <w:rsid w:val="00A746AC"/>
    <w:rsid w:val="00A779DD"/>
    <w:rsid w:val="00A81FA7"/>
    <w:rsid w:val="00A82796"/>
    <w:rsid w:val="00A83716"/>
    <w:rsid w:val="00A846BE"/>
    <w:rsid w:val="00A85577"/>
    <w:rsid w:val="00A90D8E"/>
    <w:rsid w:val="00A90EBB"/>
    <w:rsid w:val="00A918CB"/>
    <w:rsid w:val="00A92DF2"/>
    <w:rsid w:val="00A94711"/>
    <w:rsid w:val="00A94E95"/>
    <w:rsid w:val="00A9632F"/>
    <w:rsid w:val="00A97037"/>
    <w:rsid w:val="00AA0988"/>
    <w:rsid w:val="00AA1817"/>
    <w:rsid w:val="00AA1A41"/>
    <w:rsid w:val="00AA5A9A"/>
    <w:rsid w:val="00AB068E"/>
    <w:rsid w:val="00AB32B4"/>
    <w:rsid w:val="00AB632D"/>
    <w:rsid w:val="00AC3B6A"/>
    <w:rsid w:val="00AD0979"/>
    <w:rsid w:val="00AD0A85"/>
    <w:rsid w:val="00AD0FA0"/>
    <w:rsid w:val="00AD1C1E"/>
    <w:rsid w:val="00AD343D"/>
    <w:rsid w:val="00AE12A1"/>
    <w:rsid w:val="00AE2B87"/>
    <w:rsid w:val="00AE3252"/>
    <w:rsid w:val="00AE3865"/>
    <w:rsid w:val="00AE3B57"/>
    <w:rsid w:val="00AE4B7C"/>
    <w:rsid w:val="00AE57A5"/>
    <w:rsid w:val="00AE76FA"/>
    <w:rsid w:val="00AF04FD"/>
    <w:rsid w:val="00AF2017"/>
    <w:rsid w:val="00AF2611"/>
    <w:rsid w:val="00AF2C52"/>
    <w:rsid w:val="00AF3484"/>
    <w:rsid w:val="00AF528F"/>
    <w:rsid w:val="00B01276"/>
    <w:rsid w:val="00B05BC8"/>
    <w:rsid w:val="00B05ED8"/>
    <w:rsid w:val="00B0699B"/>
    <w:rsid w:val="00B0737E"/>
    <w:rsid w:val="00B1071A"/>
    <w:rsid w:val="00B1131E"/>
    <w:rsid w:val="00B1180F"/>
    <w:rsid w:val="00B1335C"/>
    <w:rsid w:val="00B2478B"/>
    <w:rsid w:val="00B259D6"/>
    <w:rsid w:val="00B2750F"/>
    <w:rsid w:val="00B275C9"/>
    <w:rsid w:val="00B3021E"/>
    <w:rsid w:val="00B31118"/>
    <w:rsid w:val="00B31B14"/>
    <w:rsid w:val="00B336AE"/>
    <w:rsid w:val="00B336C7"/>
    <w:rsid w:val="00B33804"/>
    <w:rsid w:val="00B33CBF"/>
    <w:rsid w:val="00B35735"/>
    <w:rsid w:val="00B41B8B"/>
    <w:rsid w:val="00B425EB"/>
    <w:rsid w:val="00B53893"/>
    <w:rsid w:val="00B53D91"/>
    <w:rsid w:val="00B55B58"/>
    <w:rsid w:val="00B560CD"/>
    <w:rsid w:val="00B5739C"/>
    <w:rsid w:val="00B6158F"/>
    <w:rsid w:val="00B627C8"/>
    <w:rsid w:val="00B66EBB"/>
    <w:rsid w:val="00B70CB3"/>
    <w:rsid w:val="00B7159E"/>
    <w:rsid w:val="00B72300"/>
    <w:rsid w:val="00B7410F"/>
    <w:rsid w:val="00B745C7"/>
    <w:rsid w:val="00B76EAF"/>
    <w:rsid w:val="00B84F20"/>
    <w:rsid w:val="00B85443"/>
    <w:rsid w:val="00B866DC"/>
    <w:rsid w:val="00B87049"/>
    <w:rsid w:val="00B87223"/>
    <w:rsid w:val="00B87E73"/>
    <w:rsid w:val="00B93A68"/>
    <w:rsid w:val="00BA01D7"/>
    <w:rsid w:val="00BA0B74"/>
    <w:rsid w:val="00BA4C2A"/>
    <w:rsid w:val="00BB102F"/>
    <w:rsid w:val="00BC2A86"/>
    <w:rsid w:val="00BC50D4"/>
    <w:rsid w:val="00BD608B"/>
    <w:rsid w:val="00BD7603"/>
    <w:rsid w:val="00BD7D69"/>
    <w:rsid w:val="00BE735D"/>
    <w:rsid w:val="00BF0D22"/>
    <w:rsid w:val="00BF1771"/>
    <w:rsid w:val="00BF3CB3"/>
    <w:rsid w:val="00BF3F83"/>
    <w:rsid w:val="00BF50B9"/>
    <w:rsid w:val="00BF5E23"/>
    <w:rsid w:val="00BF6304"/>
    <w:rsid w:val="00BF7BFE"/>
    <w:rsid w:val="00C00883"/>
    <w:rsid w:val="00C049B2"/>
    <w:rsid w:val="00C13074"/>
    <w:rsid w:val="00C155F9"/>
    <w:rsid w:val="00C2058E"/>
    <w:rsid w:val="00C2458C"/>
    <w:rsid w:val="00C2590A"/>
    <w:rsid w:val="00C27077"/>
    <w:rsid w:val="00C27555"/>
    <w:rsid w:val="00C27EEE"/>
    <w:rsid w:val="00C302DD"/>
    <w:rsid w:val="00C31636"/>
    <w:rsid w:val="00C32980"/>
    <w:rsid w:val="00C32D7A"/>
    <w:rsid w:val="00C33EFB"/>
    <w:rsid w:val="00C35BD6"/>
    <w:rsid w:val="00C372CC"/>
    <w:rsid w:val="00C403F2"/>
    <w:rsid w:val="00C405FF"/>
    <w:rsid w:val="00C431E1"/>
    <w:rsid w:val="00C433BD"/>
    <w:rsid w:val="00C441D6"/>
    <w:rsid w:val="00C45D87"/>
    <w:rsid w:val="00C52435"/>
    <w:rsid w:val="00C53148"/>
    <w:rsid w:val="00C60634"/>
    <w:rsid w:val="00C6088A"/>
    <w:rsid w:val="00C6411A"/>
    <w:rsid w:val="00C66AEA"/>
    <w:rsid w:val="00C67BD8"/>
    <w:rsid w:val="00C70940"/>
    <w:rsid w:val="00C765C0"/>
    <w:rsid w:val="00C76ED6"/>
    <w:rsid w:val="00C805A7"/>
    <w:rsid w:val="00C812AF"/>
    <w:rsid w:val="00C81F47"/>
    <w:rsid w:val="00C8258D"/>
    <w:rsid w:val="00C82915"/>
    <w:rsid w:val="00C84992"/>
    <w:rsid w:val="00C86C24"/>
    <w:rsid w:val="00C93F16"/>
    <w:rsid w:val="00C952F2"/>
    <w:rsid w:val="00CA08E9"/>
    <w:rsid w:val="00CA2F87"/>
    <w:rsid w:val="00CA3708"/>
    <w:rsid w:val="00CA428E"/>
    <w:rsid w:val="00CA491B"/>
    <w:rsid w:val="00CA5B33"/>
    <w:rsid w:val="00CA7C55"/>
    <w:rsid w:val="00CB03FD"/>
    <w:rsid w:val="00CB0B19"/>
    <w:rsid w:val="00CB15CE"/>
    <w:rsid w:val="00CB379C"/>
    <w:rsid w:val="00CB3D98"/>
    <w:rsid w:val="00CB55CE"/>
    <w:rsid w:val="00CC1436"/>
    <w:rsid w:val="00CC1CD4"/>
    <w:rsid w:val="00CC2783"/>
    <w:rsid w:val="00CC3BD4"/>
    <w:rsid w:val="00CC3F96"/>
    <w:rsid w:val="00CD0860"/>
    <w:rsid w:val="00CD0879"/>
    <w:rsid w:val="00CD0B96"/>
    <w:rsid w:val="00CD34B5"/>
    <w:rsid w:val="00CD54FC"/>
    <w:rsid w:val="00CD6068"/>
    <w:rsid w:val="00CE0548"/>
    <w:rsid w:val="00CE1605"/>
    <w:rsid w:val="00CE187D"/>
    <w:rsid w:val="00CE1D31"/>
    <w:rsid w:val="00CE2994"/>
    <w:rsid w:val="00CE2B83"/>
    <w:rsid w:val="00CE3602"/>
    <w:rsid w:val="00CE54D4"/>
    <w:rsid w:val="00CE57DE"/>
    <w:rsid w:val="00CE6983"/>
    <w:rsid w:val="00CE6D9B"/>
    <w:rsid w:val="00CE72CC"/>
    <w:rsid w:val="00CE7841"/>
    <w:rsid w:val="00CF1EF8"/>
    <w:rsid w:val="00CF46C3"/>
    <w:rsid w:val="00CF5403"/>
    <w:rsid w:val="00CF6180"/>
    <w:rsid w:val="00CF6284"/>
    <w:rsid w:val="00D02951"/>
    <w:rsid w:val="00D0381E"/>
    <w:rsid w:val="00D04136"/>
    <w:rsid w:val="00D04635"/>
    <w:rsid w:val="00D064EA"/>
    <w:rsid w:val="00D102C5"/>
    <w:rsid w:val="00D15E1C"/>
    <w:rsid w:val="00D212F0"/>
    <w:rsid w:val="00D23221"/>
    <w:rsid w:val="00D245E2"/>
    <w:rsid w:val="00D2600F"/>
    <w:rsid w:val="00D274D5"/>
    <w:rsid w:val="00D3029F"/>
    <w:rsid w:val="00D31C35"/>
    <w:rsid w:val="00D33A5B"/>
    <w:rsid w:val="00D33DC3"/>
    <w:rsid w:val="00D34103"/>
    <w:rsid w:val="00D451E1"/>
    <w:rsid w:val="00D45436"/>
    <w:rsid w:val="00D460D6"/>
    <w:rsid w:val="00D466D4"/>
    <w:rsid w:val="00D475AA"/>
    <w:rsid w:val="00D47652"/>
    <w:rsid w:val="00D5099F"/>
    <w:rsid w:val="00D54C8E"/>
    <w:rsid w:val="00D603C1"/>
    <w:rsid w:val="00D60FD4"/>
    <w:rsid w:val="00D6370E"/>
    <w:rsid w:val="00D678A5"/>
    <w:rsid w:val="00D73307"/>
    <w:rsid w:val="00D74C8E"/>
    <w:rsid w:val="00D7508D"/>
    <w:rsid w:val="00D754E5"/>
    <w:rsid w:val="00D77976"/>
    <w:rsid w:val="00D81A61"/>
    <w:rsid w:val="00D82192"/>
    <w:rsid w:val="00D82A99"/>
    <w:rsid w:val="00D84035"/>
    <w:rsid w:val="00D844DD"/>
    <w:rsid w:val="00D84F28"/>
    <w:rsid w:val="00D906A8"/>
    <w:rsid w:val="00D90B03"/>
    <w:rsid w:val="00D91116"/>
    <w:rsid w:val="00D92A2D"/>
    <w:rsid w:val="00D93538"/>
    <w:rsid w:val="00D94967"/>
    <w:rsid w:val="00D94E1F"/>
    <w:rsid w:val="00DA4A3D"/>
    <w:rsid w:val="00DA4C57"/>
    <w:rsid w:val="00DB06E3"/>
    <w:rsid w:val="00DB269F"/>
    <w:rsid w:val="00DB48D3"/>
    <w:rsid w:val="00DB561A"/>
    <w:rsid w:val="00DC411E"/>
    <w:rsid w:val="00DC5F41"/>
    <w:rsid w:val="00DD3AF3"/>
    <w:rsid w:val="00DD63EF"/>
    <w:rsid w:val="00DD6CE8"/>
    <w:rsid w:val="00DE0F04"/>
    <w:rsid w:val="00DE0F69"/>
    <w:rsid w:val="00DE31AE"/>
    <w:rsid w:val="00DE4D80"/>
    <w:rsid w:val="00DE6561"/>
    <w:rsid w:val="00DE74B3"/>
    <w:rsid w:val="00DF03AD"/>
    <w:rsid w:val="00DF0601"/>
    <w:rsid w:val="00DF28D4"/>
    <w:rsid w:val="00DF3691"/>
    <w:rsid w:val="00DF56D4"/>
    <w:rsid w:val="00DF7D34"/>
    <w:rsid w:val="00E00D4D"/>
    <w:rsid w:val="00E02E0A"/>
    <w:rsid w:val="00E0394E"/>
    <w:rsid w:val="00E03C3F"/>
    <w:rsid w:val="00E057A7"/>
    <w:rsid w:val="00E10962"/>
    <w:rsid w:val="00E11F48"/>
    <w:rsid w:val="00E13171"/>
    <w:rsid w:val="00E157AC"/>
    <w:rsid w:val="00E1712F"/>
    <w:rsid w:val="00E23015"/>
    <w:rsid w:val="00E2492C"/>
    <w:rsid w:val="00E24E41"/>
    <w:rsid w:val="00E2560B"/>
    <w:rsid w:val="00E275FE"/>
    <w:rsid w:val="00E30152"/>
    <w:rsid w:val="00E32600"/>
    <w:rsid w:val="00E32E9C"/>
    <w:rsid w:val="00E331C7"/>
    <w:rsid w:val="00E33464"/>
    <w:rsid w:val="00E3430A"/>
    <w:rsid w:val="00E34916"/>
    <w:rsid w:val="00E34BD6"/>
    <w:rsid w:val="00E40C0F"/>
    <w:rsid w:val="00E42A56"/>
    <w:rsid w:val="00E444FC"/>
    <w:rsid w:val="00E44C39"/>
    <w:rsid w:val="00E45E9C"/>
    <w:rsid w:val="00E4602B"/>
    <w:rsid w:val="00E54666"/>
    <w:rsid w:val="00E5673D"/>
    <w:rsid w:val="00E56A9C"/>
    <w:rsid w:val="00E609F1"/>
    <w:rsid w:val="00E6202D"/>
    <w:rsid w:val="00E64364"/>
    <w:rsid w:val="00E65C70"/>
    <w:rsid w:val="00E66530"/>
    <w:rsid w:val="00E66BD2"/>
    <w:rsid w:val="00E71C74"/>
    <w:rsid w:val="00E754C3"/>
    <w:rsid w:val="00E76A60"/>
    <w:rsid w:val="00E8093B"/>
    <w:rsid w:val="00E80E80"/>
    <w:rsid w:val="00E82442"/>
    <w:rsid w:val="00E83171"/>
    <w:rsid w:val="00E8680F"/>
    <w:rsid w:val="00E86FC0"/>
    <w:rsid w:val="00E87B0A"/>
    <w:rsid w:val="00E90F87"/>
    <w:rsid w:val="00E9181A"/>
    <w:rsid w:val="00E953E3"/>
    <w:rsid w:val="00EA0CB9"/>
    <w:rsid w:val="00EA1716"/>
    <w:rsid w:val="00EA19BA"/>
    <w:rsid w:val="00EA5052"/>
    <w:rsid w:val="00EA5776"/>
    <w:rsid w:val="00EA57E3"/>
    <w:rsid w:val="00EA59CA"/>
    <w:rsid w:val="00EA5F4E"/>
    <w:rsid w:val="00EB1968"/>
    <w:rsid w:val="00EB1E1C"/>
    <w:rsid w:val="00EB2E8B"/>
    <w:rsid w:val="00EB4587"/>
    <w:rsid w:val="00EB4C10"/>
    <w:rsid w:val="00EC2BB2"/>
    <w:rsid w:val="00EC4A51"/>
    <w:rsid w:val="00EC6B6E"/>
    <w:rsid w:val="00ED04D3"/>
    <w:rsid w:val="00ED0ECF"/>
    <w:rsid w:val="00ED35A1"/>
    <w:rsid w:val="00ED4F68"/>
    <w:rsid w:val="00ED6884"/>
    <w:rsid w:val="00EE4F76"/>
    <w:rsid w:val="00EE72EE"/>
    <w:rsid w:val="00EF0CF6"/>
    <w:rsid w:val="00EF15C0"/>
    <w:rsid w:val="00EF4E96"/>
    <w:rsid w:val="00F00CE3"/>
    <w:rsid w:val="00F02BFC"/>
    <w:rsid w:val="00F03A98"/>
    <w:rsid w:val="00F05A60"/>
    <w:rsid w:val="00F05EC6"/>
    <w:rsid w:val="00F0650E"/>
    <w:rsid w:val="00F078D5"/>
    <w:rsid w:val="00F11E35"/>
    <w:rsid w:val="00F132BF"/>
    <w:rsid w:val="00F143B1"/>
    <w:rsid w:val="00F15283"/>
    <w:rsid w:val="00F16BDF"/>
    <w:rsid w:val="00F175A4"/>
    <w:rsid w:val="00F244A7"/>
    <w:rsid w:val="00F24936"/>
    <w:rsid w:val="00F31FA3"/>
    <w:rsid w:val="00F33430"/>
    <w:rsid w:val="00F41892"/>
    <w:rsid w:val="00F4302D"/>
    <w:rsid w:val="00F45959"/>
    <w:rsid w:val="00F4684C"/>
    <w:rsid w:val="00F4786D"/>
    <w:rsid w:val="00F528A6"/>
    <w:rsid w:val="00F5500E"/>
    <w:rsid w:val="00F55CF1"/>
    <w:rsid w:val="00F63ED3"/>
    <w:rsid w:val="00F6571F"/>
    <w:rsid w:val="00F664F3"/>
    <w:rsid w:val="00F7019B"/>
    <w:rsid w:val="00F703B5"/>
    <w:rsid w:val="00F72DD5"/>
    <w:rsid w:val="00F7464A"/>
    <w:rsid w:val="00F76860"/>
    <w:rsid w:val="00F768BC"/>
    <w:rsid w:val="00F77370"/>
    <w:rsid w:val="00F84B23"/>
    <w:rsid w:val="00F8572B"/>
    <w:rsid w:val="00F912B5"/>
    <w:rsid w:val="00F93F7F"/>
    <w:rsid w:val="00F94B90"/>
    <w:rsid w:val="00F94FB8"/>
    <w:rsid w:val="00F95468"/>
    <w:rsid w:val="00F96A6B"/>
    <w:rsid w:val="00FA2904"/>
    <w:rsid w:val="00FA5F53"/>
    <w:rsid w:val="00FB2C72"/>
    <w:rsid w:val="00FB37B3"/>
    <w:rsid w:val="00FB39BE"/>
    <w:rsid w:val="00FB487F"/>
    <w:rsid w:val="00FB4970"/>
    <w:rsid w:val="00FB4B3F"/>
    <w:rsid w:val="00FB65A8"/>
    <w:rsid w:val="00FB77FF"/>
    <w:rsid w:val="00FC105D"/>
    <w:rsid w:val="00FC38A8"/>
    <w:rsid w:val="00FC4813"/>
    <w:rsid w:val="00FC6282"/>
    <w:rsid w:val="00FC66EF"/>
    <w:rsid w:val="00FC7D83"/>
    <w:rsid w:val="00FD116E"/>
    <w:rsid w:val="00FD1757"/>
    <w:rsid w:val="00FD2149"/>
    <w:rsid w:val="00FD34BC"/>
    <w:rsid w:val="00FD3B73"/>
    <w:rsid w:val="00FD5701"/>
    <w:rsid w:val="00FD65C7"/>
    <w:rsid w:val="00FD6631"/>
    <w:rsid w:val="00FD70BA"/>
    <w:rsid w:val="00FE0A9F"/>
    <w:rsid w:val="00FE1498"/>
    <w:rsid w:val="00FE3763"/>
    <w:rsid w:val="00FE39FA"/>
    <w:rsid w:val="00FE41AC"/>
    <w:rsid w:val="00FE4551"/>
    <w:rsid w:val="00FE6B8B"/>
    <w:rsid w:val="00FF0BC3"/>
    <w:rsid w:val="00FF16B6"/>
    <w:rsid w:val="00FF3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0F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qFormat="1"/>
    <w:lsdException w:name="Strong" w:semiHidden="0" w:uiPriority="22" w:unhideWhenUsed="0"/>
    <w:lsdException w:name="Emphasis" w:semiHidden="0" w:uiPriority="20" w:unhideWhenUsed="0" w:qFormat="1"/>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E4"/>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rsid w:val="00193BD1"/>
    <w:pPr>
      <w:keepNext/>
      <w:ind w:left="360" w:right="-691" w:hanging="360"/>
      <w:outlineLvl w:val="0"/>
    </w:pPr>
    <w:rPr>
      <w:rFonts w:cs="Arial"/>
      <w:b/>
      <w:sz w:val="28"/>
      <w:lang w:val="en-US"/>
    </w:rPr>
  </w:style>
  <w:style w:type="paragraph" w:styleId="Heading2">
    <w:name w:val="heading 2"/>
    <w:basedOn w:val="Heading1"/>
    <w:next w:val="Normal"/>
    <w:link w:val="Heading2Char"/>
    <w:uiPriority w:val="9"/>
    <w:unhideWhenUsed/>
    <w:qFormat/>
    <w:rsid w:val="007C09E4"/>
    <w:pPr>
      <w:ind w:left="0" w:firstLine="0"/>
      <w:outlineLvl w:val="1"/>
    </w:pPr>
    <w:rPr>
      <w:i/>
      <w:iCs/>
      <w:sz w:val="24"/>
    </w:rPr>
  </w:style>
  <w:style w:type="paragraph" w:styleId="Heading3">
    <w:name w:val="heading 3"/>
    <w:basedOn w:val="Heading2"/>
    <w:next w:val="Normal"/>
    <w:link w:val="Heading3Char"/>
    <w:unhideWhenUsed/>
    <w:qFormat/>
    <w:rsid w:val="007C09E4"/>
    <w:pPr>
      <w:outlineLvl w:val="2"/>
    </w:pPr>
    <w:rPr>
      <w:sz w:val="22"/>
    </w:rPr>
  </w:style>
  <w:style w:type="paragraph" w:styleId="Heading4">
    <w:name w:val="heading 4"/>
    <w:basedOn w:val="Heading3"/>
    <w:next w:val="Normal"/>
    <w:link w:val="Heading4Char"/>
    <w:unhideWhenUsed/>
    <w:qFormat/>
    <w:rsid w:val="007C09E4"/>
    <w:pPr>
      <w:outlineLvl w:val="3"/>
    </w:pPr>
    <w:rPr>
      <w:b w:val="0"/>
    </w:rPr>
  </w:style>
  <w:style w:type="paragraph" w:styleId="Heading5">
    <w:name w:val="heading 5"/>
    <w:basedOn w:val="Heading4"/>
    <w:next w:val="Normal"/>
    <w:link w:val="Heading5Char"/>
    <w:uiPriority w:val="9"/>
    <w:unhideWhenUsed/>
    <w:qFormat/>
    <w:rsid w:val="007C09E4"/>
    <w:pPr>
      <w:outlineLvl w:val="4"/>
    </w:pPr>
    <w:rPr>
      <w:i w:val="0"/>
      <w:lang w:val="en-GB"/>
    </w:rPr>
  </w:style>
  <w:style w:type="paragraph" w:styleId="Heading6">
    <w:name w:val="heading 6"/>
    <w:basedOn w:val="Normal"/>
    <w:next w:val="Normal"/>
    <w:link w:val="Heading6Char"/>
    <w:rsid w:val="002A4B69"/>
    <w:pPr>
      <w:keepNext/>
      <w:outlineLvl w:val="5"/>
    </w:pPr>
    <w:rPr>
      <w:b/>
      <w:bCs/>
      <w:sz w:val="28"/>
    </w:rPr>
  </w:style>
  <w:style w:type="paragraph" w:styleId="Heading7">
    <w:name w:val="heading 7"/>
    <w:basedOn w:val="Normal"/>
    <w:next w:val="Normal"/>
    <w:link w:val="Heading7Char"/>
    <w:rsid w:val="002A4B69"/>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unhideWhenUsed/>
    <w:qFormat/>
    <w:rsid w:val="007C09E4"/>
    <w:pPr>
      <w:outlineLvl w:val="7"/>
    </w:pPr>
  </w:style>
  <w:style w:type="paragraph" w:styleId="Heading9">
    <w:name w:val="heading 9"/>
    <w:aliases w:val="Appendicies heading"/>
    <w:basedOn w:val="Normal"/>
    <w:next w:val="Normal"/>
    <w:link w:val="Heading9Char"/>
    <w:uiPriority w:val="9"/>
    <w:unhideWhenUsed/>
    <w:qFormat/>
    <w:rsid w:val="007C09E4"/>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uiPriority w:val="99"/>
    <w:rsid w:val="002A4B69"/>
    <w:pPr>
      <w:tabs>
        <w:tab w:val="center" w:pos="4320"/>
        <w:tab w:val="right" w:pos="8640"/>
      </w:tabs>
      <w:jc w:val="both"/>
    </w:pPr>
    <w:rPr>
      <w:szCs w:val="20"/>
    </w:rPr>
  </w:style>
  <w:style w:type="character" w:customStyle="1" w:styleId="HeaderChar">
    <w:name w:val="Header Char"/>
    <w:basedOn w:val="DefaultParagraphFont"/>
    <w:link w:val="Header"/>
    <w:uiPriority w:val="99"/>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ind w:left="714" w:hanging="357"/>
    </w:pPr>
    <w:rPr>
      <w:rFonts w:ascii="Tahoma" w:hAnsi="Tahoma" w:cs="Arial"/>
      <w:lang w:val="en-US"/>
    </w:rPr>
  </w:style>
  <w:style w:type="character" w:styleId="Hyperlink">
    <w:name w:val="Hyperlink"/>
    <w:aliases w:val="Hyperlinks"/>
    <w:qFormat/>
    <w:rsid w:val="007C09E4"/>
    <w:rPr>
      <w:rFonts w:ascii="Arial" w:hAnsi="Arial"/>
      <w:color w:val="0000FF"/>
      <w:sz w:val="22"/>
      <w:u w:val="single"/>
    </w:rPr>
  </w:style>
  <w:style w:type="paragraph" w:styleId="Title">
    <w:name w:val="Title"/>
    <w:basedOn w:val="Normal"/>
    <w:next w:val="Normal"/>
    <w:link w:val="TitleChar"/>
    <w:uiPriority w:val="10"/>
    <w:qFormat/>
    <w:rsid w:val="007C09E4"/>
    <w:pPr>
      <w:spacing w:after="0"/>
      <w:jc w:val="center"/>
    </w:pPr>
    <w:rPr>
      <w:rFonts w:cs="Arial"/>
      <w:b/>
      <w:sz w:val="32"/>
      <w:szCs w:val="32"/>
      <w:lang w:val="en-US"/>
    </w:rPr>
  </w:style>
  <w:style w:type="character" w:customStyle="1" w:styleId="TitleChar">
    <w:name w:val="Title Char"/>
    <w:basedOn w:val="DefaultParagraphFont"/>
    <w:link w:val="Title"/>
    <w:uiPriority w:val="10"/>
    <w:rsid w:val="007C09E4"/>
    <w:rPr>
      <w:rFonts w:cs="Arial"/>
      <w:b/>
      <w:sz w:val="32"/>
      <w:szCs w:val="32"/>
      <w:lang w:val="en-US"/>
    </w:rPr>
  </w:style>
  <w:style w:type="paragraph" w:styleId="BodyText">
    <w:name w:val="Body Text"/>
    <w:basedOn w:val="Normal"/>
    <w:link w:val="BodyTextChar"/>
    <w:unhideWhenUsed/>
    <w:rsid w:val="0092728B"/>
    <w:rPr>
      <w:rFonts w:ascii="Tahoma" w:hAnsi="Tahoma" w:cs="Tahoma"/>
      <w:color w:val="000000"/>
      <w:lang w:val="en-US"/>
    </w:rPr>
  </w:style>
  <w:style w:type="character" w:customStyle="1" w:styleId="BodyTextChar">
    <w:name w:val="Body Text Char"/>
    <w:basedOn w:val="DefaultParagraphFont"/>
    <w:link w:val="BodyText"/>
    <w:rsid w:val="0092728B"/>
    <w:rPr>
      <w:rFonts w:ascii="Tahoma" w:hAnsi="Tahoma" w:cs="Tahoma"/>
      <w:color w:val="000000"/>
      <w:sz w:val="22"/>
      <w:lang w:val="en-US"/>
    </w:rPr>
  </w:style>
  <w:style w:type="paragraph" w:styleId="BodyText2">
    <w:name w:val="Body Text 2"/>
    <w:basedOn w:val="Normal"/>
    <w:link w:val="BodyText2Char"/>
    <w:unhideWhenUsed/>
    <w:rsid w:val="00791684"/>
    <w:pPr>
      <w:spacing w:line="480" w:lineRule="auto"/>
    </w:pPr>
  </w:style>
  <w:style w:type="character" w:customStyle="1" w:styleId="BodyText2Char">
    <w:name w:val="Body Text 2 Char"/>
    <w:basedOn w:val="DefaultParagraphFont"/>
    <w:link w:val="BodyText2"/>
    <w:rsid w:val="00791684"/>
  </w:style>
  <w:style w:type="character" w:customStyle="1" w:styleId="Heading1Char">
    <w:name w:val="Heading 1 Char"/>
    <w:basedOn w:val="DefaultParagraphFont"/>
    <w:link w:val="Heading1"/>
    <w:uiPriority w:val="9"/>
    <w:rsid w:val="00193BD1"/>
    <w:rPr>
      <w:rFonts w:cs="Arial"/>
      <w:b/>
      <w:sz w:val="28"/>
      <w:lang w:val="en-US"/>
    </w:rPr>
  </w:style>
  <w:style w:type="character" w:customStyle="1" w:styleId="Heading2Char">
    <w:name w:val="Heading 2 Char"/>
    <w:basedOn w:val="DefaultParagraphFont"/>
    <w:link w:val="Heading2"/>
    <w:uiPriority w:val="9"/>
    <w:rsid w:val="007C09E4"/>
    <w:rPr>
      <w:rFonts w:cs="Arial"/>
      <w:b/>
      <w:i/>
      <w:iCs/>
      <w:sz w:val="24"/>
      <w:lang w:val="en-US"/>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rsid w:val="007C09E4"/>
    <w:rPr>
      <w:rFonts w:cs="Arial"/>
      <w:b/>
      <w:i/>
      <w:iCs/>
      <w:lang w:val="en-US"/>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nhideWhenUsed/>
    <w:rsid w:val="00313561"/>
    <w:rPr>
      <w:rFonts w:ascii="Tahoma" w:hAnsi="Tahoma" w:cs="Tahoma"/>
      <w:sz w:val="16"/>
      <w:szCs w:val="16"/>
    </w:rPr>
  </w:style>
  <w:style w:type="character" w:customStyle="1" w:styleId="BalloonTextChar">
    <w:name w:val="Balloon Text Char"/>
    <w:basedOn w:val="DefaultParagraphFont"/>
    <w:link w:val="BalloonText"/>
    <w:rsid w:val="00313561"/>
    <w:rPr>
      <w:rFonts w:ascii="Tahoma" w:hAnsi="Tahoma" w:cs="Tahoma"/>
      <w:sz w:val="16"/>
      <w:szCs w:val="16"/>
    </w:rPr>
  </w:style>
  <w:style w:type="character" w:styleId="CommentReference">
    <w:name w:val="annotation reference"/>
    <w:basedOn w:val="DefaultParagraphFont"/>
    <w:uiPriority w:val="99"/>
    <w:semiHidden/>
    <w:unhideWhenUsed/>
    <w:rsid w:val="000418CC"/>
    <w:rPr>
      <w:sz w:val="16"/>
      <w:szCs w:val="16"/>
    </w:rPr>
  </w:style>
  <w:style w:type="paragraph" w:styleId="CommentText">
    <w:name w:val="annotation text"/>
    <w:basedOn w:val="Normal"/>
    <w:link w:val="CommentTextChar"/>
    <w:uiPriority w:val="99"/>
    <w:semiHidden/>
    <w:unhideWhenUsed/>
    <w:rsid w:val="000418CC"/>
    <w:rPr>
      <w:sz w:val="20"/>
      <w:szCs w:val="20"/>
    </w:rPr>
  </w:style>
  <w:style w:type="character" w:customStyle="1" w:styleId="CommentTextChar">
    <w:name w:val="Comment Text Char"/>
    <w:basedOn w:val="DefaultParagraphFont"/>
    <w:link w:val="CommentText"/>
    <w:uiPriority w:val="99"/>
    <w:semiHidden/>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character" w:customStyle="1" w:styleId="apple-converted-space">
    <w:name w:val="apple-converted-space"/>
    <w:basedOn w:val="DefaultParagraphFont"/>
    <w:rsid w:val="00EB2E8B"/>
  </w:style>
  <w:style w:type="character" w:styleId="Emphasis">
    <w:name w:val="Emphasis"/>
    <w:basedOn w:val="DefaultParagraphFont"/>
    <w:uiPriority w:val="20"/>
    <w:qFormat/>
    <w:rsid w:val="007C09E4"/>
    <w:rPr>
      <w:i/>
      <w:iCs/>
    </w:rPr>
  </w:style>
  <w:style w:type="paragraph" w:styleId="NoSpacing">
    <w:name w:val="No Spacing"/>
    <w:link w:val="NoSpacingChar"/>
    <w:uiPriority w:val="1"/>
    <w:rsid w:val="00177B0C"/>
    <w:pPr>
      <w:spacing w:after="0" w:line="240" w:lineRule="auto"/>
    </w:pPr>
    <w:rPr>
      <w:rFonts w:ascii="Tahoma" w:hAnsi="Tahoma"/>
    </w:rPr>
  </w:style>
  <w:style w:type="paragraph" w:styleId="FootnoteText">
    <w:name w:val="footnote text"/>
    <w:basedOn w:val="Normal"/>
    <w:link w:val="FootnoteTextChar"/>
    <w:uiPriority w:val="99"/>
    <w:unhideWhenUsed/>
    <w:rsid w:val="00A03AB7"/>
    <w:rPr>
      <w:sz w:val="20"/>
      <w:szCs w:val="20"/>
    </w:rPr>
  </w:style>
  <w:style w:type="character" w:customStyle="1" w:styleId="FootnoteTextChar">
    <w:name w:val="Footnote Text Char"/>
    <w:basedOn w:val="DefaultParagraphFont"/>
    <w:link w:val="FootnoteText"/>
    <w:uiPriority w:val="99"/>
    <w:rsid w:val="00A03AB7"/>
    <w:rPr>
      <w:sz w:val="20"/>
      <w:szCs w:val="20"/>
    </w:rPr>
  </w:style>
  <w:style w:type="character" w:styleId="FootnoteReference">
    <w:name w:val="footnote reference"/>
    <w:basedOn w:val="DefaultParagraphFont"/>
    <w:uiPriority w:val="99"/>
    <w:semiHidden/>
    <w:unhideWhenUsed/>
    <w:rsid w:val="00A03AB7"/>
    <w:rPr>
      <w:vertAlign w:val="superscript"/>
    </w:rPr>
  </w:style>
  <w:style w:type="paragraph" w:styleId="NormalWeb">
    <w:name w:val="Normal (Web)"/>
    <w:basedOn w:val="Normal"/>
    <w:uiPriority w:val="99"/>
    <w:semiHidden/>
    <w:unhideWhenUsed/>
    <w:rsid w:val="001E42A7"/>
    <w:pPr>
      <w:spacing w:before="100" w:beforeAutospacing="1" w:after="100" w:afterAutospacing="1"/>
    </w:pPr>
    <w:rPr>
      <w:rFonts w:eastAsia="Times New Roman" w:cs="Times New Roman"/>
      <w:lang w:eastAsia="en-AU"/>
    </w:rPr>
  </w:style>
  <w:style w:type="character" w:styleId="Strong">
    <w:name w:val="Strong"/>
    <w:basedOn w:val="DefaultParagraphFont"/>
    <w:uiPriority w:val="22"/>
    <w:rsid w:val="001230F2"/>
    <w:rPr>
      <w:b/>
      <w:bCs/>
    </w:rPr>
  </w:style>
  <w:style w:type="paragraph" w:styleId="ListParagraph">
    <w:name w:val="List Paragraph"/>
    <w:aliases w:val="Bullet List Paragraph"/>
    <w:basedOn w:val="Normal"/>
    <w:link w:val="ListParagraphChar"/>
    <w:uiPriority w:val="34"/>
    <w:qFormat/>
    <w:rsid w:val="007C09E4"/>
    <w:pPr>
      <w:ind w:left="360" w:hanging="360"/>
      <w:contextualSpacing/>
    </w:pPr>
    <w:rPr>
      <w:rFonts w:cs="Arial"/>
      <w:lang w:val="en-US"/>
    </w:rPr>
  </w:style>
  <w:style w:type="paragraph" w:customStyle="1" w:styleId="authors">
    <w:name w:val="authors"/>
    <w:basedOn w:val="Normal"/>
    <w:rsid w:val="00E86FC0"/>
    <w:pPr>
      <w:spacing w:before="100" w:beforeAutospacing="1" w:after="100" w:afterAutospacing="1"/>
    </w:pPr>
    <w:rPr>
      <w:rFonts w:eastAsia="Times New Roman" w:cs="Times New Roman"/>
      <w:lang w:eastAsia="en-AU"/>
    </w:rPr>
  </w:style>
  <w:style w:type="paragraph" w:customStyle="1" w:styleId="options">
    <w:name w:val="options"/>
    <w:basedOn w:val="Normal"/>
    <w:rsid w:val="00E86FC0"/>
    <w:pPr>
      <w:spacing w:before="100" w:beforeAutospacing="1" w:after="100" w:afterAutospacing="1"/>
    </w:pPr>
    <w:rPr>
      <w:rFonts w:eastAsia="Times New Roman" w:cs="Times New Roman"/>
      <w:lang w:eastAsia="en-AU"/>
    </w:rPr>
  </w:style>
  <w:style w:type="character" w:customStyle="1" w:styleId="ref-journal">
    <w:name w:val="ref-journal"/>
    <w:basedOn w:val="DefaultParagraphFont"/>
    <w:rsid w:val="007C1B75"/>
  </w:style>
  <w:style w:type="character" w:customStyle="1" w:styleId="ref-vol">
    <w:name w:val="ref-vol"/>
    <w:basedOn w:val="DefaultParagraphFont"/>
    <w:rsid w:val="007C1B75"/>
  </w:style>
  <w:style w:type="character" w:customStyle="1" w:styleId="nowrap">
    <w:name w:val="nowrap"/>
    <w:basedOn w:val="DefaultParagraphFont"/>
    <w:rsid w:val="007C1B75"/>
  </w:style>
  <w:style w:type="paragraph" w:customStyle="1" w:styleId="Healthbullet1">
    <w:name w:val="Health bullet 1"/>
    <w:basedOn w:val="Normal"/>
    <w:rsid w:val="00FD34BC"/>
    <w:pPr>
      <w:numPr>
        <w:numId w:val="2"/>
      </w:numPr>
      <w:spacing w:after="40" w:line="270" w:lineRule="atLeast"/>
    </w:pPr>
    <w:rPr>
      <w:rFonts w:eastAsia="MS Mincho" w:cs="Times New Roman"/>
      <w:sz w:val="20"/>
    </w:rPr>
  </w:style>
  <w:style w:type="character" w:customStyle="1" w:styleId="nowrap1">
    <w:name w:val="nowrap1"/>
    <w:basedOn w:val="DefaultParagraphFont"/>
    <w:rsid w:val="003763DF"/>
  </w:style>
  <w:style w:type="character" w:customStyle="1" w:styleId="Heading8Char">
    <w:name w:val="Heading 8 Char"/>
    <w:aliases w:val="Numbered list paragraph Char"/>
    <w:basedOn w:val="DefaultParagraphFont"/>
    <w:link w:val="Heading8"/>
    <w:uiPriority w:val="9"/>
    <w:rsid w:val="007C09E4"/>
    <w:rPr>
      <w:rFonts w:cs="Arial"/>
      <w:lang w:val="en-US"/>
    </w:rPr>
  </w:style>
  <w:style w:type="character" w:customStyle="1" w:styleId="Heading9Char">
    <w:name w:val="Heading 9 Char"/>
    <w:aliases w:val="Appendicies heading Char"/>
    <w:basedOn w:val="DefaultParagraphFont"/>
    <w:link w:val="Heading9"/>
    <w:uiPriority w:val="9"/>
    <w:rsid w:val="007C09E4"/>
    <w:rPr>
      <w:rFonts w:cs="Arial"/>
      <w:b/>
      <w:sz w:val="28"/>
      <w:lang w:val="en-US"/>
    </w:rPr>
  </w:style>
  <w:style w:type="character" w:customStyle="1" w:styleId="Heading4Char">
    <w:name w:val="Heading 4 Char"/>
    <w:basedOn w:val="DefaultParagraphFont"/>
    <w:link w:val="Heading4"/>
    <w:rsid w:val="007C09E4"/>
    <w:rPr>
      <w:rFonts w:cs="Arial"/>
      <w:i/>
      <w:iCs/>
      <w:lang w:val="en-US"/>
    </w:rPr>
  </w:style>
  <w:style w:type="character" w:customStyle="1" w:styleId="Heading5Char">
    <w:name w:val="Heading 5 Char"/>
    <w:basedOn w:val="DefaultParagraphFont"/>
    <w:link w:val="Heading5"/>
    <w:uiPriority w:val="9"/>
    <w:rsid w:val="007C09E4"/>
    <w:rPr>
      <w:rFonts w:cs="Arial"/>
      <w:iCs/>
      <w:lang w:val="en-GB"/>
    </w:rPr>
  </w:style>
  <w:style w:type="numbering" w:customStyle="1" w:styleId="NoList1">
    <w:name w:val="No List1"/>
    <w:next w:val="NoList"/>
    <w:uiPriority w:val="99"/>
    <w:semiHidden/>
    <w:unhideWhenUsed/>
    <w:rsid w:val="00B7410F"/>
  </w:style>
  <w:style w:type="paragraph" w:styleId="Caption">
    <w:name w:val="caption"/>
    <w:aliases w:val="Footnote text"/>
    <w:basedOn w:val="FootnoteText"/>
    <w:next w:val="Normal"/>
    <w:uiPriority w:val="35"/>
    <w:unhideWhenUsed/>
    <w:qFormat/>
    <w:rsid w:val="007C09E4"/>
    <w:pPr>
      <w:spacing w:after="0"/>
    </w:pPr>
    <w:rPr>
      <w:sz w:val="16"/>
    </w:rPr>
  </w:style>
  <w:style w:type="paragraph" w:styleId="BodyTextIndent">
    <w:name w:val="Body Text Indent"/>
    <w:basedOn w:val="Normal"/>
    <w:link w:val="BodyTextIndentChar"/>
    <w:rsid w:val="00B7410F"/>
    <w:pPr>
      <w:overflowPunct w:val="0"/>
      <w:ind w:left="-142"/>
      <w:jc w:val="right"/>
      <w:textAlignment w:val="baseline"/>
    </w:pPr>
    <w:rPr>
      <w:rFonts w:ascii="Arial Narrow" w:eastAsia="Times New Roman" w:hAnsi="Arial Narrow" w:cs="Times New Roman"/>
      <w:b/>
      <w:bCs/>
      <w:i/>
      <w:iCs/>
    </w:rPr>
  </w:style>
  <w:style w:type="character" w:customStyle="1" w:styleId="BodyTextIndentChar">
    <w:name w:val="Body Text Indent Char"/>
    <w:basedOn w:val="DefaultParagraphFont"/>
    <w:link w:val="BodyTextIndent"/>
    <w:rsid w:val="00B7410F"/>
    <w:rPr>
      <w:rFonts w:ascii="Arial Narrow" w:eastAsia="Times New Roman" w:hAnsi="Arial Narrow" w:cs="Times New Roman"/>
      <w:b/>
      <w:bCs/>
      <w:i/>
      <w:iCs/>
      <w:sz w:val="22"/>
      <w:szCs w:val="22"/>
    </w:rPr>
  </w:style>
  <w:style w:type="table" w:styleId="TableGrid">
    <w:name w:val="Table Grid"/>
    <w:basedOn w:val="TableNormal"/>
    <w:rsid w:val="00B7410F"/>
    <w:pPr>
      <w:overflowPunct w:val="0"/>
      <w:autoSpaceDE w:val="0"/>
      <w:autoSpaceDN w:val="0"/>
      <w:adjustRightInd w:val="0"/>
      <w:spacing w:after="0" w:line="240" w:lineRule="auto"/>
      <w:textAlignment w:val="baseline"/>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B7410F"/>
    <w:pPr>
      <w:spacing w:after="0" w:line="240" w:lineRule="auto"/>
    </w:pPr>
    <w:rPr>
      <w:rFonts w:eastAsia="Times New Roman" w:cs="Times New Roman"/>
      <w:sz w:val="20"/>
      <w:szCs w:val="20"/>
      <w:lang w:eastAsia="en-AU"/>
    </w:rPr>
    <w:tblPr>
      <w:tblInd w:w="0"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CellMar>
        <w:top w:w="0" w:type="dxa"/>
        <w:left w:w="108" w:type="dxa"/>
        <w:bottom w:w="0" w:type="dxa"/>
        <w:right w:w="108" w:type="dxa"/>
      </w:tblCellMar>
    </w:tblPr>
  </w:style>
  <w:style w:type="paragraph" w:styleId="BodyText3">
    <w:name w:val="Body Text 3"/>
    <w:basedOn w:val="Normal"/>
    <w:link w:val="BodyText3Char"/>
    <w:rsid w:val="00B7410F"/>
    <w:pPr>
      <w:spacing w:after="120"/>
    </w:pPr>
    <w:rPr>
      <w:rFonts w:eastAsia="Times New Roman" w:cs="Times New Roman"/>
      <w:sz w:val="16"/>
      <w:szCs w:val="16"/>
    </w:rPr>
  </w:style>
  <w:style w:type="character" w:customStyle="1" w:styleId="BodyText3Char">
    <w:name w:val="Body Text 3 Char"/>
    <w:basedOn w:val="DefaultParagraphFont"/>
    <w:link w:val="BodyText3"/>
    <w:rsid w:val="00B7410F"/>
    <w:rPr>
      <w:rFonts w:ascii="Arial" w:eastAsia="Times New Roman" w:hAnsi="Arial" w:cs="Times New Roman"/>
      <w:sz w:val="16"/>
      <w:szCs w:val="16"/>
    </w:rPr>
  </w:style>
  <w:style w:type="paragraph" w:styleId="Revision">
    <w:name w:val="Revision"/>
    <w:hidden/>
    <w:uiPriority w:val="99"/>
    <w:semiHidden/>
    <w:rsid w:val="00991653"/>
    <w:pPr>
      <w:spacing w:after="0" w:line="240" w:lineRule="auto"/>
    </w:pPr>
  </w:style>
  <w:style w:type="paragraph" w:customStyle="1" w:styleId="EndNoteBibliographyTitle">
    <w:name w:val="EndNote Bibliography Title"/>
    <w:basedOn w:val="Normal"/>
    <w:link w:val="EndNoteBibliographyTitleChar"/>
    <w:rsid w:val="00D460D6"/>
    <w:pPr>
      <w:jc w:val="center"/>
    </w:pPr>
    <w:rPr>
      <w:rFonts w:cs="Times New Roman"/>
      <w:noProof/>
      <w:lang w:val="en-US"/>
    </w:rPr>
  </w:style>
  <w:style w:type="character" w:customStyle="1" w:styleId="EndNoteBibliographyTitleChar">
    <w:name w:val="EndNote Bibliography Title Char"/>
    <w:basedOn w:val="BodyTextChar"/>
    <w:link w:val="EndNoteBibliographyTitle"/>
    <w:rsid w:val="00D460D6"/>
    <w:rPr>
      <w:rFonts w:ascii="Tahoma" w:hAnsi="Tahoma" w:cs="Times New Roman"/>
      <w:noProof/>
      <w:color w:val="000000"/>
      <w:sz w:val="22"/>
      <w:lang w:val="en-US"/>
    </w:rPr>
  </w:style>
  <w:style w:type="paragraph" w:customStyle="1" w:styleId="EndNoteBibliography">
    <w:name w:val="EndNote Bibliography"/>
    <w:basedOn w:val="Normal"/>
    <w:link w:val="EndNoteBibliographyChar"/>
    <w:rsid w:val="00D460D6"/>
    <w:rPr>
      <w:rFonts w:cs="Times New Roman"/>
      <w:noProof/>
      <w:lang w:val="en-US"/>
    </w:rPr>
  </w:style>
  <w:style w:type="character" w:customStyle="1" w:styleId="EndNoteBibliographyChar">
    <w:name w:val="EndNote Bibliography Char"/>
    <w:basedOn w:val="BodyTextChar"/>
    <w:link w:val="EndNoteBibliography"/>
    <w:rsid w:val="00D460D6"/>
    <w:rPr>
      <w:rFonts w:ascii="Tahoma" w:hAnsi="Tahoma" w:cs="Times New Roman"/>
      <w:noProof/>
      <w:color w:val="000000"/>
      <w:sz w:val="22"/>
      <w:lang w:val="en-US"/>
    </w:rPr>
  </w:style>
  <w:style w:type="character" w:customStyle="1" w:styleId="NoSpacingChar">
    <w:name w:val="No Spacing Char"/>
    <w:basedOn w:val="DefaultParagraphFont"/>
    <w:link w:val="NoSpacing"/>
    <w:uiPriority w:val="1"/>
    <w:rsid w:val="008C6FBE"/>
    <w:rPr>
      <w:rFonts w:ascii="Tahoma" w:hAnsi="Tahoma"/>
      <w:sz w:val="22"/>
    </w:rPr>
  </w:style>
  <w:style w:type="paragraph" w:styleId="PlainText">
    <w:name w:val="Plain Text"/>
    <w:basedOn w:val="Normal"/>
    <w:link w:val="PlainTextChar"/>
    <w:uiPriority w:val="99"/>
    <w:semiHidden/>
    <w:unhideWhenUsed/>
    <w:rsid w:val="00DA4A3D"/>
    <w:rPr>
      <w:rFonts w:cs="Consolas"/>
      <w:sz w:val="18"/>
      <w:szCs w:val="21"/>
    </w:rPr>
  </w:style>
  <w:style w:type="character" w:customStyle="1" w:styleId="PlainTextChar">
    <w:name w:val="Plain Text Char"/>
    <w:basedOn w:val="DefaultParagraphFont"/>
    <w:link w:val="PlainText"/>
    <w:uiPriority w:val="99"/>
    <w:semiHidden/>
    <w:rsid w:val="00DA4A3D"/>
    <w:rPr>
      <w:rFonts w:ascii="Arial" w:hAnsi="Arial" w:cs="Consolas"/>
      <w:sz w:val="18"/>
      <w:szCs w:val="21"/>
    </w:rPr>
  </w:style>
  <w:style w:type="paragraph" w:customStyle="1" w:styleId="References">
    <w:name w:val="References"/>
    <w:basedOn w:val="Normal"/>
    <w:qFormat/>
    <w:rsid w:val="007C09E4"/>
    <w:pPr>
      <w:spacing w:after="0"/>
    </w:pPr>
  </w:style>
  <w:style w:type="paragraph" w:customStyle="1" w:styleId="Footertext">
    <w:name w:val="Footer text"/>
    <w:basedOn w:val="Footer"/>
    <w:qFormat/>
    <w:rsid w:val="007C09E4"/>
    <w:rPr>
      <w:sz w:val="16"/>
      <w:lang w:val="en-AU"/>
    </w:rPr>
  </w:style>
  <w:style w:type="paragraph" w:styleId="Subtitle">
    <w:name w:val="Subtitle"/>
    <w:basedOn w:val="Title"/>
    <w:next w:val="Normal"/>
    <w:link w:val="SubtitleChar"/>
    <w:uiPriority w:val="11"/>
    <w:qFormat/>
    <w:rsid w:val="007C09E4"/>
    <w:pPr>
      <w:spacing w:after="720"/>
    </w:pPr>
    <w:rPr>
      <w:b w:val="0"/>
    </w:rPr>
  </w:style>
  <w:style w:type="character" w:customStyle="1" w:styleId="SubtitleChar">
    <w:name w:val="Subtitle Char"/>
    <w:basedOn w:val="DefaultParagraphFont"/>
    <w:link w:val="Subtitle"/>
    <w:uiPriority w:val="11"/>
    <w:rsid w:val="007C09E4"/>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7C09E4"/>
    <w:rPr>
      <w:rFonts w:cs="Arial"/>
      <w:lang w:val="en-US"/>
    </w:rPr>
  </w:style>
  <w:style w:type="character" w:styleId="SubtleReference">
    <w:name w:val="Subtle Reference"/>
    <w:aliases w:val="Figure text"/>
    <w:uiPriority w:val="31"/>
    <w:qFormat/>
    <w:rsid w:val="007C09E4"/>
    <w:rPr>
      <w:rFonts w:ascii="Arial" w:hAnsi="Arial"/>
      <w:b/>
      <w:sz w:val="22"/>
    </w:rPr>
  </w:style>
  <w:style w:type="character" w:styleId="IntenseReference">
    <w:name w:val="Intense Reference"/>
    <w:aliases w:val="Table header text"/>
    <w:uiPriority w:val="32"/>
    <w:qFormat/>
    <w:rsid w:val="007C09E4"/>
    <w:rPr>
      <w:rFonts w:ascii="Arial" w:hAnsi="Arial"/>
      <w:b/>
      <w:sz w:val="22"/>
      <w:szCs w:val="22"/>
    </w:rPr>
  </w:style>
  <w:style w:type="character" w:styleId="BookTitle">
    <w:name w:val="Book Title"/>
    <w:aliases w:val="Table body text"/>
    <w:uiPriority w:val="33"/>
    <w:qFormat/>
    <w:rsid w:val="007C09E4"/>
    <w:rPr>
      <w:rFonts w:ascii="Arial" w:hAnsi="Arial"/>
      <w:sz w:val="22"/>
      <w:szCs w:val="22"/>
    </w:rPr>
  </w:style>
  <w:style w:type="paragraph" w:styleId="TOCHeading">
    <w:name w:val="TOC Heading"/>
    <w:basedOn w:val="Heading1"/>
    <w:next w:val="Normal"/>
    <w:uiPriority w:val="39"/>
    <w:semiHidden/>
    <w:unhideWhenUsed/>
    <w:qFormat/>
    <w:rsid w:val="007C09E4"/>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 w:type="character" w:styleId="PlaceholderText">
    <w:name w:val="Placeholder Text"/>
    <w:basedOn w:val="DefaultParagraphFont"/>
    <w:uiPriority w:val="99"/>
    <w:semiHidden/>
    <w:rsid w:val="00EA19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lsdException w:name="heading 7" w:uiPriority="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qFormat="1"/>
    <w:lsdException w:name="Strong" w:semiHidden="0" w:uiPriority="22" w:unhideWhenUsed="0"/>
    <w:lsdException w:name="Emphasis" w:semiHidden="0" w:uiPriority="20" w:unhideWhenUsed="0" w:qFormat="1"/>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E4"/>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rsid w:val="00193BD1"/>
    <w:pPr>
      <w:keepNext/>
      <w:ind w:left="360" w:right="-691" w:hanging="360"/>
      <w:outlineLvl w:val="0"/>
    </w:pPr>
    <w:rPr>
      <w:rFonts w:cs="Arial"/>
      <w:b/>
      <w:sz w:val="28"/>
      <w:lang w:val="en-US"/>
    </w:rPr>
  </w:style>
  <w:style w:type="paragraph" w:styleId="Heading2">
    <w:name w:val="heading 2"/>
    <w:basedOn w:val="Heading1"/>
    <w:next w:val="Normal"/>
    <w:link w:val="Heading2Char"/>
    <w:uiPriority w:val="9"/>
    <w:unhideWhenUsed/>
    <w:qFormat/>
    <w:rsid w:val="007C09E4"/>
    <w:pPr>
      <w:ind w:left="0" w:firstLine="0"/>
      <w:outlineLvl w:val="1"/>
    </w:pPr>
    <w:rPr>
      <w:i/>
      <w:iCs/>
      <w:sz w:val="24"/>
    </w:rPr>
  </w:style>
  <w:style w:type="paragraph" w:styleId="Heading3">
    <w:name w:val="heading 3"/>
    <w:basedOn w:val="Heading2"/>
    <w:next w:val="Normal"/>
    <w:link w:val="Heading3Char"/>
    <w:unhideWhenUsed/>
    <w:qFormat/>
    <w:rsid w:val="007C09E4"/>
    <w:pPr>
      <w:outlineLvl w:val="2"/>
    </w:pPr>
    <w:rPr>
      <w:sz w:val="22"/>
    </w:rPr>
  </w:style>
  <w:style w:type="paragraph" w:styleId="Heading4">
    <w:name w:val="heading 4"/>
    <w:basedOn w:val="Heading3"/>
    <w:next w:val="Normal"/>
    <w:link w:val="Heading4Char"/>
    <w:unhideWhenUsed/>
    <w:qFormat/>
    <w:rsid w:val="007C09E4"/>
    <w:pPr>
      <w:outlineLvl w:val="3"/>
    </w:pPr>
    <w:rPr>
      <w:b w:val="0"/>
    </w:rPr>
  </w:style>
  <w:style w:type="paragraph" w:styleId="Heading5">
    <w:name w:val="heading 5"/>
    <w:basedOn w:val="Heading4"/>
    <w:next w:val="Normal"/>
    <w:link w:val="Heading5Char"/>
    <w:uiPriority w:val="9"/>
    <w:unhideWhenUsed/>
    <w:qFormat/>
    <w:rsid w:val="007C09E4"/>
    <w:pPr>
      <w:outlineLvl w:val="4"/>
    </w:pPr>
    <w:rPr>
      <w:i w:val="0"/>
      <w:lang w:val="en-GB"/>
    </w:rPr>
  </w:style>
  <w:style w:type="paragraph" w:styleId="Heading6">
    <w:name w:val="heading 6"/>
    <w:basedOn w:val="Normal"/>
    <w:next w:val="Normal"/>
    <w:link w:val="Heading6Char"/>
    <w:rsid w:val="002A4B69"/>
    <w:pPr>
      <w:keepNext/>
      <w:outlineLvl w:val="5"/>
    </w:pPr>
    <w:rPr>
      <w:b/>
      <w:bCs/>
      <w:sz w:val="28"/>
    </w:rPr>
  </w:style>
  <w:style w:type="paragraph" w:styleId="Heading7">
    <w:name w:val="heading 7"/>
    <w:basedOn w:val="Normal"/>
    <w:next w:val="Normal"/>
    <w:link w:val="Heading7Char"/>
    <w:rsid w:val="002A4B69"/>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unhideWhenUsed/>
    <w:qFormat/>
    <w:rsid w:val="007C09E4"/>
    <w:pPr>
      <w:outlineLvl w:val="7"/>
    </w:pPr>
  </w:style>
  <w:style w:type="paragraph" w:styleId="Heading9">
    <w:name w:val="heading 9"/>
    <w:aliases w:val="Appendicies heading"/>
    <w:basedOn w:val="Normal"/>
    <w:next w:val="Normal"/>
    <w:link w:val="Heading9Char"/>
    <w:uiPriority w:val="9"/>
    <w:unhideWhenUsed/>
    <w:qFormat/>
    <w:rsid w:val="007C09E4"/>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uiPriority w:val="99"/>
    <w:rsid w:val="002A4B69"/>
    <w:pPr>
      <w:tabs>
        <w:tab w:val="center" w:pos="4320"/>
        <w:tab w:val="right" w:pos="8640"/>
      </w:tabs>
      <w:jc w:val="both"/>
    </w:pPr>
    <w:rPr>
      <w:szCs w:val="20"/>
    </w:rPr>
  </w:style>
  <w:style w:type="character" w:customStyle="1" w:styleId="HeaderChar">
    <w:name w:val="Header Char"/>
    <w:basedOn w:val="DefaultParagraphFont"/>
    <w:link w:val="Header"/>
    <w:uiPriority w:val="99"/>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ind w:left="714" w:hanging="357"/>
    </w:pPr>
    <w:rPr>
      <w:rFonts w:ascii="Tahoma" w:hAnsi="Tahoma" w:cs="Arial"/>
      <w:lang w:val="en-US"/>
    </w:rPr>
  </w:style>
  <w:style w:type="character" w:styleId="Hyperlink">
    <w:name w:val="Hyperlink"/>
    <w:aliases w:val="Hyperlinks"/>
    <w:qFormat/>
    <w:rsid w:val="007C09E4"/>
    <w:rPr>
      <w:rFonts w:ascii="Arial" w:hAnsi="Arial"/>
      <w:color w:val="0000FF"/>
      <w:sz w:val="22"/>
      <w:u w:val="single"/>
    </w:rPr>
  </w:style>
  <w:style w:type="paragraph" w:styleId="Title">
    <w:name w:val="Title"/>
    <w:basedOn w:val="Normal"/>
    <w:next w:val="Normal"/>
    <w:link w:val="TitleChar"/>
    <w:uiPriority w:val="10"/>
    <w:qFormat/>
    <w:rsid w:val="007C09E4"/>
    <w:pPr>
      <w:spacing w:after="0"/>
      <w:jc w:val="center"/>
    </w:pPr>
    <w:rPr>
      <w:rFonts w:cs="Arial"/>
      <w:b/>
      <w:sz w:val="32"/>
      <w:szCs w:val="32"/>
      <w:lang w:val="en-US"/>
    </w:rPr>
  </w:style>
  <w:style w:type="character" w:customStyle="1" w:styleId="TitleChar">
    <w:name w:val="Title Char"/>
    <w:basedOn w:val="DefaultParagraphFont"/>
    <w:link w:val="Title"/>
    <w:uiPriority w:val="10"/>
    <w:rsid w:val="007C09E4"/>
    <w:rPr>
      <w:rFonts w:cs="Arial"/>
      <w:b/>
      <w:sz w:val="32"/>
      <w:szCs w:val="32"/>
      <w:lang w:val="en-US"/>
    </w:rPr>
  </w:style>
  <w:style w:type="paragraph" w:styleId="BodyText">
    <w:name w:val="Body Text"/>
    <w:basedOn w:val="Normal"/>
    <w:link w:val="BodyTextChar"/>
    <w:unhideWhenUsed/>
    <w:rsid w:val="0092728B"/>
    <w:rPr>
      <w:rFonts w:ascii="Tahoma" w:hAnsi="Tahoma" w:cs="Tahoma"/>
      <w:color w:val="000000"/>
      <w:lang w:val="en-US"/>
    </w:rPr>
  </w:style>
  <w:style w:type="character" w:customStyle="1" w:styleId="BodyTextChar">
    <w:name w:val="Body Text Char"/>
    <w:basedOn w:val="DefaultParagraphFont"/>
    <w:link w:val="BodyText"/>
    <w:rsid w:val="0092728B"/>
    <w:rPr>
      <w:rFonts w:ascii="Tahoma" w:hAnsi="Tahoma" w:cs="Tahoma"/>
      <w:color w:val="000000"/>
      <w:sz w:val="22"/>
      <w:lang w:val="en-US"/>
    </w:rPr>
  </w:style>
  <w:style w:type="paragraph" w:styleId="BodyText2">
    <w:name w:val="Body Text 2"/>
    <w:basedOn w:val="Normal"/>
    <w:link w:val="BodyText2Char"/>
    <w:unhideWhenUsed/>
    <w:rsid w:val="00791684"/>
    <w:pPr>
      <w:spacing w:line="480" w:lineRule="auto"/>
    </w:pPr>
  </w:style>
  <w:style w:type="character" w:customStyle="1" w:styleId="BodyText2Char">
    <w:name w:val="Body Text 2 Char"/>
    <w:basedOn w:val="DefaultParagraphFont"/>
    <w:link w:val="BodyText2"/>
    <w:rsid w:val="00791684"/>
  </w:style>
  <w:style w:type="character" w:customStyle="1" w:styleId="Heading1Char">
    <w:name w:val="Heading 1 Char"/>
    <w:basedOn w:val="DefaultParagraphFont"/>
    <w:link w:val="Heading1"/>
    <w:uiPriority w:val="9"/>
    <w:rsid w:val="00193BD1"/>
    <w:rPr>
      <w:rFonts w:cs="Arial"/>
      <w:b/>
      <w:sz w:val="28"/>
      <w:lang w:val="en-US"/>
    </w:rPr>
  </w:style>
  <w:style w:type="character" w:customStyle="1" w:styleId="Heading2Char">
    <w:name w:val="Heading 2 Char"/>
    <w:basedOn w:val="DefaultParagraphFont"/>
    <w:link w:val="Heading2"/>
    <w:uiPriority w:val="9"/>
    <w:rsid w:val="007C09E4"/>
    <w:rPr>
      <w:rFonts w:cs="Arial"/>
      <w:b/>
      <w:i/>
      <w:iCs/>
      <w:sz w:val="24"/>
      <w:lang w:val="en-US"/>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rsid w:val="007C09E4"/>
    <w:rPr>
      <w:rFonts w:cs="Arial"/>
      <w:b/>
      <w:i/>
      <w:iCs/>
      <w:lang w:val="en-US"/>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nhideWhenUsed/>
    <w:rsid w:val="00313561"/>
    <w:rPr>
      <w:rFonts w:ascii="Tahoma" w:hAnsi="Tahoma" w:cs="Tahoma"/>
      <w:sz w:val="16"/>
      <w:szCs w:val="16"/>
    </w:rPr>
  </w:style>
  <w:style w:type="character" w:customStyle="1" w:styleId="BalloonTextChar">
    <w:name w:val="Balloon Text Char"/>
    <w:basedOn w:val="DefaultParagraphFont"/>
    <w:link w:val="BalloonText"/>
    <w:rsid w:val="00313561"/>
    <w:rPr>
      <w:rFonts w:ascii="Tahoma" w:hAnsi="Tahoma" w:cs="Tahoma"/>
      <w:sz w:val="16"/>
      <w:szCs w:val="16"/>
    </w:rPr>
  </w:style>
  <w:style w:type="character" w:styleId="CommentReference">
    <w:name w:val="annotation reference"/>
    <w:basedOn w:val="DefaultParagraphFont"/>
    <w:uiPriority w:val="99"/>
    <w:semiHidden/>
    <w:unhideWhenUsed/>
    <w:rsid w:val="000418CC"/>
    <w:rPr>
      <w:sz w:val="16"/>
      <w:szCs w:val="16"/>
    </w:rPr>
  </w:style>
  <w:style w:type="paragraph" w:styleId="CommentText">
    <w:name w:val="annotation text"/>
    <w:basedOn w:val="Normal"/>
    <w:link w:val="CommentTextChar"/>
    <w:uiPriority w:val="99"/>
    <w:semiHidden/>
    <w:unhideWhenUsed/>
    <w:rsid w:val="000418CC"/>
    <w:rPr>
      <w:sz w:val="20"/>
      <w:szCs w:val="20"/>
    </w:rPr>
  </w:style>
  <w:style w:type="character" w:customStyle="1" w:styleId="CommentTextChar">
    <w:name w:val="Comment Text Char"/>
    <w:basedOn w:val="DefaultParagraphFont"/>
    <w:link w:val="CommentText"/>
    <w:uiPriority w:val="99"/>
    <w:semiHidden/>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character" w:customStyle="1" w:styleId="apple-converted-space">
    <w:name w:val="apple-converted-space"/>
    <w:basedOn w:val="DefaultParagraphFont"/>
    <w:rsid w:val="00EB2E8B"/>
  </w:style>
  <w:style w:type="character" w:styleId="Emphasis">
    <w:name w:val="Emphasis"/>
    <w:basedOn w:val="DefaultParagraphFont"/>
    <w:uiPriority w:val="20"/>
    <w:qFormat/>
    <w:rsid w:val="007C09E4"/>
    <w:rPr>
      <w:i/>
      <w:iCs/>
    </w:rPr>
  </w:style>
  <w:style w:type="paragraph" w:styleId="NoSpacing">
    <w:name w:val="No Spacing"/>
    <w:link w:val="NoSpacingChar"/>
    <w:uiPriority w:val="1"/>
    <w:rsid w:val="00177B0C"/>
    <w:pPr>
      <w:spacing w:after="0" w:line="240" w:lineRule="auto"/>
    </w:pPr>
    <w:rPr>
      <w:rFonts w:ascii="Tahoma" w:hAnsi="Tahoma"/>
    </w:rPr>
  </w:style>
  <w:style w:type="paragraph" w:styleId="FootnoteText">
    <w:name w:val="footnote text"/>
    <w:basedOn w:val="Normal"/>
    <w:link w:val="FootnoteTextChar"/>
    <w:uiPriority w:val="99"/>
    <w:unhideWhenUsed/>
    <w:rsid w:val="00A03AB7"/>
    <w:rPr>
      <w:sz w:val="20"/>
      <w:szCs w:val="20"/>
    </w:rPr>
  </w:style>
  <w:style w:type="character" w:customStyle="1" w:styleId="FootnoteTextChar">
    <w:name w:val="Footnote Text Char"/>
    <w:basedOn w:val="DefaultParagraphFont"/>
    <w:link w:val="FootnoteText"/>
    <w:uiPriority w:val="99"/>
    <w:rsid w:val="00A03AB7"/>
    <w:rPr>
      <w:sz w:val="20"/>
      <w:szCs w:val="20"/>
    </w:rPr>
  </w:style>
  <w:style w:type="character" w:styleId="FootnoteReference">
    <w:name w:val="footnote reference"/>
    <w:basedOn w:val="DefaultParagraphFont"/>
    <w:uiPriority w:val="99"/>
    <w:semiHidden/>
    <w:unhideWhenUsed/>
    <w:rsid w:val="00A03AB7"/>
    <w:rPr>
      <w:vertAlign w:val="superscript"/>
    </w:rPr>
  </w:style>
  <w:style w:type="paragraph" w:styleId="NormalWeb">
    <w:name w:val="Normal (Web)"/>
    <w:basedOn w:val="Normal"/>
    <w:uiPriority w:val="99"/>
    <w:semiHidden/>
    <w:unhideWhenUsed/>
    <w:rsid w:val="001E42A7"/>
    <w:pPr>
      <w:spacing w:before="100" w:beforeAutospacing="1" w:after="100" w:afterAutospacing="1"/>
    </w:pPr>
    <w:rPr>
      <w:rFonts w:eastAsia="Times New Roman" w:cs="Times New Roman"/>
      <w:lang w:eastAsia="en-AU"/>
    </w:rPr>
  </w:style>
  <w:style w:type="character" w:styleId="Strong">
    <w:name w:val="Strong"/>
    <w:basedOn w:val="DefaultParagraphFont"/>
    <w:uiPriority w:val="22"/>
    <w:rsid w:val="001230F2"/>
    <w:rPr>
      <w:b/>
      <w:bCs/>
    </w:rPr>
  </w:style>
  <w:style w:type="paragraph" w:styleId="ListParagraph">
    <w:name w:val="List Paragraph"/>
    <w:aliases w:val="Bullet List Paragraph"/>
    <w:basedOn w:val="Normal"/>
    <w:link w:val="ListParagraphChar"/>
    <w:uiPriority w:val="34"/>
    <w:qFormat/>
    <w:rsid w:val="007C09E4"/>
    <w:pPr>
      <w:ind w:left="360" w:hanging="360"/>
      <w:contextualSpacing/>
    </w:pPr>
    <w:rPr>
      <w:rFonts w:cs="Arial"/>
      <w:lang w:val="en-US"/>
    </w:rPr>
  </w:style>
  <w:style w:type="paragraph" w:customStyle="1" w:styleId="authors">
    <w:name w:val="authors"/>
    <w:basedOn w:val="Normal"/>
    <w:rsid w:val="00E86FC0"/>
    <w:pPr>
      <w:spacing w:before="100" w:beforeAutospacing="1" w:after="100" w:afterAutospacing="1"/>
    </w:pPr>
    <w:rPr>
      <w:rFonts w:eastAsia="Times New Roman" w:cs="Times New Roman"/>
      <w:lang w:eastAsia="en-AU"/>
    </w:rPr>
  </w:style>
  <w:style w:type="paragraph" w:customStyle="1" w:styleId="options">
    <w:name w:val="options"/>
    <w:basedOn w:val="Normal"/>
    <w:rsid w:val="00E86FC0"/>
    <w:pPr>
      <w:spacing w:before="100" w:beforeAutospacing="1" w:after="100" w:afterAutospacing="1"/>
    </w:pPr>
    <w:rPr>
      <w:rFonts w:eastAsia="Times New Roman" w:cs="Times New Roman"/>
      <w:lang w:eastAsia="en-AU"/>
    </w:rPr>
  </w:style>
  <w:style w:type="character" w:customStyle="1" w:styleId="ref-journal">
    <w:name w:val="ref-journal"/>
    <w:basedOn w:val="DefaultParagraphFont"/>
    <w:rsid w:val="007C1B75"/>
  </w:style>
  <w:style w:type="character" w:customStyle="1" w:styleId="ref-vol">
    <w:name w:val="ref-vol"/>
    <w:basedOn w:val="DefaultParagraphFont"/>
    <w:rsid w:val="007C1B75"/>
  </w:style>
  <w:style w:type="character" w:customStyle="1" w:styleId="nowrap">
    <w:name w:val="nowrap"/>
    <w:basedOn w:val="DefaultParagraphFont"/>
    <w:rsid w:val="007C1B75"/>
  </w:style>
  <w:style w:type="paragraph" w:customStyle="1" w:styleId="Healthbullet1">
    <w:name w:val="Health bullet 1"/>
    <w:basedOn w:val="Normal"/>
    <w:rsid w:val="00FD34BC"/>
    <w:pPr>
      <w:numPr>
        <w:numId w:val="2"/>
      </w:numPr>
      <w:spacing w:after="40" w:line="270" w:lineRule="atLeast"/>
    </w:pPr>
    <w:rPr>
      <w:rFonts w:eastAsia="MS Mincho" w:cs="Times New Roman"/>
      <w:sz w:val="20"/>
    </w:rPr>
  </w:style>
  <w:style w:type="character" w:customStyle="1" w:styleId="nowrap1">
    <w:name w:val="nowrap1"/>
    <w:basedOn w:val="DefaultParagraphFont"/>
    <w:rsid w:val="003763DF"/>
  </w:style>
  <w:style w:type="character" w:customStyle="1" w:styleId="Heading8Char">
    <w:name w:val="Heading 8 Char"/>
    <w:aliases w:val="Numbered list paragraph Char"/>
    <w:basedOn w:val="DefaultParagraphFont"/>
    <w:link w:val="Heading8"/>
    <w:uiPriority w:val="9"/>
    <w:rsid w:val="007C09E4"/>
    <w:rPr>
      <w:rFonts w:cs="Arial"/>
      <w:lang w:val="en-US"/>
    </w:rPr>
  </w:style>
  <w:style w:type="character" w:customStyle="1" w:styleId="Heading9Char">
    <w:name w:val="Heading 9 Char"/>
    <w:aliases w:val="Appendicies heading Char"/>
    <w:basedOn w:val="DefaultParagraphFont"/>
    <w:link w:val="Heading9"/>
    <w:uiPriority w:val="9"/>
    <w:rsid w:val="007C09E4"/>
    <w:rPr>
      <w:rFonts w:cs="Arial"/>
      <w:b/>
      <w:sz w:val="28"/>
      <w:lang w:val="en-US"/>
    </w:rPr>
  </w:style>
  <w:style w:type="character" w:customStyle="1" w:styleId="Heading4Char">
    <w:name w:val="Heading 4 Char"/>
    <w:basedOn w:val="DefaultParagraphFont"/>
    <w:link w:val="Heading4"/>
    <w:rsid w:val="007C09E4"/>
    <w:rPr>
      <w:rFonts w:cs="Arial"/>
      <w:i/>
      <w:iCs/>
      <w:lang w:val="en-US"/>
    </w:rPr>
  </w:style>
  <w:style w:type="character" w:customStyle="1" w:styleId="Heading5Char">
    <w:name w:val="Heading 5 Char"/>
    <w:basedOn w:val="DefaultParagraphFont"/>
    <w:link w:val="Heading5"/>
    <w:uiPriority w:val="9"/>
    <w:rsid w:val="007C09E4"/>
    <w:rPr>
      <w:rFonts w:cs="Arial"/>
      <w:iCs/>
      <w:lang w:val="en-GB"/>
    </w:rPr>
  </w:style>
  <w:style w:type="numbering" w:customStyle="1" w:styleId="NoList1">
    <w:name w:val="No List1"/>
    <w:next w:val="NoList"/>
    <w:uiPriority w:val="99"/>
    <w:semiHidden/>
    <w:unhideWhenUsed/>
    <w:rsid w:val="00B7410F"/>
  </w:style>
  <w:style w:type="paragraph" w:styleId="Caption">
    <w:name w:val="caption"/>
    <w:aliases w:val="Footnote text"/>
    <w:basedOn w:val="FootnoteText"/>
    <w:next w:val="Normal"/>
    <w:uiPriority w:val="35"/>
    <w:unhideWhenUsed/>
    <w:qFormat/>
    <w:rsid w:val="007C09E4"/>
    <w:pPr>
      <w:spacing w:after="0"/>
    </w:pPr>
    <w:rPr>
      <w:sz w:val="16"/>
    </w:rPr>
  </w:style>
  <w:style w:type="paragraph" w:styleId="BodyTextIndent">
    <w:name w:val="Body Text Indent"/>
    <w:basedOn w:val="Normal"/>
    <w:link w:val="BodyTextIndentChar"/>
    <w:rsid w:val="00B7410F"/>
    <w:pPr>
      <w:overflowPunct w:val="0"/>
      <w:ind w:left="-142"/>
      <w:jc w:val="right"/>
      <w:textAlignment w:val="baseline"/>
    </w:pPr>
    <w:rPr>
      <w:rFonts w:ascii="Arial Narrow" w:eastAsia="Times New Roman" w:hAnsi="Arial Narrow" w:cs="Times New Roman"/>
      <w:b/>
      <w:bCs/>
      <w:i/>
      <w:iCs/>
    </w:rPr>
  </w:style>
  <w:style w:type="character" w:customStyle="1" w:styleId="BodyTextIndentChar">
    <w:name w:val="Body Text Indent Char"/>
    <w:basedOn w:val="DefaultParagraphFont"/>
    <w:link w:val="BodyTextIndent"/>
    <w:rsid w:val="00B7410F"/>
    <w:rPr>
      <w:rFonts w:ascii="Arial Narrow" w:eastAsia="Times New Roman" w:hAnsi="Arial Narrow" w:cs="Times New Roman"/>
      <w:b/>
      <w:bCs/>
      <w:i/>
      <w:iCs/>
      <w:sz w:val="22"/>
      <w:szCs w:val="22"/>
    </w:rPr>
  </w:style>
  <w:style w:type="table" w:styleId="TableGrid">
    <w:name w:val="Table Grid"/>
    <w:basedOn w:val="TableNormal"/>
    <w:rsid w:val="00B7410F"/>
    <w:pPr>
      <w:overflowPunct w:val="0"/>
      <w:autoSpaceDE w:val="0"/>
      <w:autoSpaceDN w:val="0"/>
      <w:adjustRightInd w:val="0"/>
      <w:spacing w:after="0" w:line="240" w:lineRule="auto"/>
      <w:textAlignment w:val="baseline"/>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B7410F"/>
    <w:pPr>
      <w:spacing w:after="0" w:line="240" w:lineRule="auto"/>
    </w:pPr>
    <w:rPr>
      <w:rFonts w:eastAsia="Times New Roman" w:cs="Times New Roman"/>
      <w:sz w:val="20"/>
      <w:szCs w:val="20"/>
      <w:lang w:eastAsia="en-AU"/>
    </w:rPr>
    <w:tblPr>
      <w:tblInd w:w="0"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CellMar>
        <w:top w:w="0" w:type="dxa"/>
        <w:left w:w="108" w:type="dxa"/>
        <w:bottom w:w="0" w:type="dxa"/>
        <w:right w:w="108" w:type="dxa"/>
      </w:tblCellMar>
    </w:tblPr>
  </w:style>
  <w:style w:type="paragraph" w:styleId="BodyText3">
    <w:name w:val="Body Text 3"/>
    <w:basedOn w:val="Normal"/>
    <w:link w:val="BodyText3Char"/>
    <w:rsid w:val="00B7410F"/>
    <w:pPr>
      <w:spacing w:after="120"/>
    </w:pPr>
    <w:rPr>
      <w:rFonts w:eastAsia="Times New Roman" w:cs="Times New Roman"/>
      <w:sz w:val="16"/>
      <w:szCs w:val="16"/>
    </w:rPr>
  </w:style>
  <w:style w:type="character" w:customStyle="1" w:styleId="BodyText3Char">
    <w:name w:val="Body Text 3 Char"/>
    <w:basedOn w:val="DefaultParagraphFont"/>
    <w:link w:val="BodyText3"/>
    <w:rsid w:val="00B7410F"/>
    <w:rPr>
      <w:rFonts w:ascii="Arial" w:eastAsia="Times New Roman" w:hAnsi="Arial" w:cs="Times New Roman"/>
      <w:sz w:val="16"/>
      <w:szCs w:val="16"/>
    </w:rPr>
  </w:style>
  <w:style w:type="paragraph" w:styleId="Revision">
    <w:name w:val="Revision"/>
    <w:hidden/>
    <w:uiPriority w:val="99"/>
    <w:semiHidden/>
    <w:rsid w:val="00991653"/>
    <w:pPr>
      <w:spacing w:after="0" w:line="240" w:lineRule="auto"/>
    </w:pPr>
  </w:style>
  <w:style w:type="paragraph" w:customStyle="1" w:styleId="EndNoteBibliographyTitle">
    <w:name w:val="EndNote Bibliography Title"/>
    <w:basedOn w:val="Normal"/>
    <w:link w:val="EndNoteBibliographyTitleChar"/>
    <w:rsid w:val="00D460D6"/>
    <w:pPr>
      <w:jc w:val="center"/>
    </w:pPr>
    <w:rPr>
      <w:rFonts w:cs="Times New Roman"/>
      <w:noProof/>
      <w:lang w:val="en-US"/>
    </w:rPr>
  </w:style>
  <w:style w:type="character" w:customStyle="1" w:styleId="EndNoteBibliographyTitleChar">
    <w:name w:val="EndNote Bibliography Title Char"/>
    <w:basedOn w:val="BodyTextChar"/>
    <w:link w:val="EndNoteBibliographyTitle"/>
    <w:rsid w:val="00D460D6"/>
    <w:rPr>
      <w:rFonts w:ascii="Tahoma" w:hAnsi="Tahoma" w:cs="Times New Roman"/>
      <w:noProof/>
      <w:color w:val="000000"/>
      <w:sz w:val="22"/>
      <w:lang w:val="en-US"/>
    </w:rPr>
  </w:style>
  <w:style w:type="paragraph" w:customStyle="1" w:styleId="EndNoteBibliography">
    <w:name w:val="EndNote Bibliography"/>
    <w:basedOn w:val="Normal"/>
    <w:link w:val="EndNoteBibliographyChar"/>
    <w:rsid w:val="00D460D6"/>
    <w:rPr>
      <w:rFonts w:cs="Times New Roman"/>
      <w:noProof/>
      <w:lang w:val="en-US"/>
    </w:rPr>
  </w:style>
  <w:style w:type="character" w:customStyle="1" w:styleId="EndNoteBibliographyChar">
    <w:name w:val="EndNote Bibliography Char"/>
    <w:basedOn w:val="BodyTextChar"/>
    <w:link w:val="EndNoteBibliography"/>
    <w:rsid w:val="00D460D6"/>
    <w:rPr>
      <w:rFonts w:ascii="Tahoma" w:hAnsi="Tahoma" w:cs="Times New Roman"/>
      <w:noProof/>
      <w:color w:val="000000"/>
      <w:sz w:val="22"/>
      <w:lang w:val="en-US"/>
    </w:rPr>
  </w:style>
  <w:style w:type="character" w:customStyle="1" w:styleId="NoSpacingChar">
    <w:name w:val="No Spacing Char"/>
    <w:basedOn w:val="DefaultParagraphFont"/>
    <w:link w:val="NoSpacing"/>
    <w:uiPriority w:val="1"/>
    <w:rsid w:val="008C6FBE"/>
    <w:rPr>
      <w:rFonts w:ascii="Tahoma" w:hAnsi="Tahoma"/>
      <w:sz w:val="22"/>
    </w:rPr>
  </w:style>
  <w:style w:type="paragraph" w:styleId="PlainText">
    <w:name w:val="Plain Text"/>
    <w:basedOn w:val="Normal"/>
    <w:link w:val="PlainTextChar"/>
    <w:uiPriority w:val="99"/>
    <w:semiHidden/>
    <w:unhideWhenUsed/>
    <w:rsid w:val="00DA4A3D"/>
    <w:rPr>
      <w:rFonts w:cs="Consolas"/>
      <w:sz w:val="18"/>
      <w:szCs w:val="21"/>
    </w:rPr>
  </w:style>
  <w:style w:type="character" w:customStyle="1" w:styleId="PlainTextChar">
    <w:name w:val="Plain Text Char"/>
    <w:basedOn w:val="DefaultParagraphFont"/>
    <w:link w:val="PlainText"/>
    <w:uiPriority w:val="99"/>
    <w:semiHidden/>
    <w:rsid w:val="00DA4A3D"/>
    <w:rPr>
      <w:rFonts w:ascii="Arial" w:hAnsi="Arial" w:cs="Consolas"/>
      <w:sz w:val="18"/>
      <w:szCs w:val="21"/>
    </w:rPr>
  </w:style>
  <w:style w:type="paragraph" w:customStyle="1" w:styleId="References">
    <w:name w:val="References"/>
    <w:basedOn w:val="Normal"/>
    <w:qFormat/>
    <w:rsid w:val="007C09E4"/>
    <w:pPr>
      <w:spacing w:after="0"/>
    </w:pPr>
  </w:style>
  <w:style w:type="paragraph" w:customStyle="1" w:styleId="Footertext">
    <w:name w:val="Footer text"/>
    <w:basedOn w:val="Footer"/>
    <w:qFormat/>
    <w:rsid w:val="007C09E4"/>
    <w:rPr>
      <w:sz w:val="16"/>
      <w:lang w:val="en-AU"/>
    </w:rPr>
  </w:style>
  <w:style w:type="paragraph" w:styleId="Subtitle">
    <w:name w:val="Subtitle"/>
    <w:basedOn w:val="Title"/>
    <w:next w:val="Normal"/>
    <w:link w:val="SubtitleChar"/>
    <w:uiPriority w:val="11"/>
    <w:qFormat/>
    <w:rsid w:val="007C09E4"/>
    <w:pPr>
      <w:spacing w:after="720"/>
    </w:pPr>
    <w:rPr>
      <w:b w:val="0"/>
    </w:rPr>
  </w:style>
  <w:style w:type="character" w:customStyle="1" w:styleId="SubtitleChar">
    <w:name w:val="Subtitle Char"/>
    <w:basedOn w:val="DefaultParagraphFont"/>
    <w:link w:val="Subtitle"/>
    <w:uiPriority w:val="11"/>
    <w:rsid w:val="007C09E4"/>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7C09E4"/>
    <w:rPr>
      <w:rFonts w:cs="Arial"/>
      <w:lang w:val="en-US"/>
    </w:rPr>
  </w:style>
  <w:style w:type="character" w:styleId="SubtleReference">
    <w:name w:val="Subtle Reference"/>
    <w:aliases w:val="Figure text"/>
    <w:uiPriority w:val="31"/>
    <w:qFormat/>
    <w:rsid w:val="007C09E4"/>
    <w:rPr>
      <w:rFonts w:ascii="Arial" w:hAnsi="Arial"/>
      <w:b/>
      <w:sz w:val="22"/>
    </w:rPr>
  </w:style>
  <w:style w:type="character" w:styleId="IntenseReference">
    <w:name w:val="Intense Reference"/>
    <w:aliases w:val="Table header text"/>
    <w:uiPriority w:val="32"/>
    <w:qFormat/>
    <w:rsid w:val="007C09E4"/>
    <w:rPr>
      <w:rFonts w:ascii="Arial" w:hAnsi="Arial"/>
      <w:b/>
      <w:sz w:val="22"/>
      <w:szCs w:val="22"/>
    </w:rPr>
  </w:style>
  <w:style w:type="character" w:styleId="BookTitle">
    <w:name w:val="Book Title"/>
    <w:aliases w:val="Table body text"/>
    <w:uiPriority w:val="33"/>
    <w:qFormat/>
    <w:rsid w:val="007C09E4"/>
    <w:rPr>
      <w:rFonts w:ascii="Arial" w:hAnsi="Arial"/>
      <w:sz w:val="22"/>
      <w:szCs w:val="22"/>
    </w:rPr>
  </w:style>
  <w:style w:type="paragraph" w:styleId="TOCHeading">
    <w:name w:val="TOC Heading"/>
    <w:basedOn w:val="Heading1"/>
    <w:next w:val="Normal"/>
    <w:uiPriority w:val="39"/>
    <w:semiHidden/>
    <w:unhideWhenUsed/>
    <w:qFormat/>
    <w:rsid w:val="007C09E4"/>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 w:type="character" w:styleId="PlaceholderText">
    <w:name w:val="Placeholder Text"/>
    <w:basedOn w:val="DefaultParagraphFont"/>
    <w:uiPriority w:val="99"/>
    <w:semiHidden/>
    <w:rsid w:val="00EA1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6993">
      <w:bodyDiv w:val="1"/>
      <w:marLeft w:val="0"/>
      <w:marRight w:val="0"/>
      <w:marTop w:val="0"/>
      <w:marBottom w:val="0"/>
      <w:divBdr>
        <w:top w:val="none" w:sz="0" w:space="0" w:color="auto"/>
        <w:left w:val="none" w:sz="0" w:space="0" w:color="auto"/>
        <w:bottom w:val="none" w:sz="0" w:space="0" w:color="auto"/>
        <w:right w:val="none" w:sz="0" w:space="0" w:color="auto"/>
      </w:divBdr>
      <w:divsChild>
        <w:div w:id="733237130">
          <w:marLeft w:val="0"/>
          <w:marRight w:val="0"/>
          <w:marTop w:val="240"/>
          <w:marBottom w:val="480"/>
          <w:divBdr>
            <w:top w:val="none" w:sz="0" w:space="0" w:color="auto"/>
            <w:left w:val="none" w:sz="0" w:space="0" w:color="auto"/>
            <w:bottom w:val="none" w:sz="0" w:space="0" w:color="auto"/>
            <w:right w:val="none" w:sz="0" w:space="0" w:color="auto"/>
          </w:divBdr>
          <w:divsChild>
            <w:div w:id="1310671958">
              <w:marLeft w:val="0"/>
              <w:marRight w:val="0"/>
              <w:marTop w:val="0"/>
              <w:marBottom w:val="0"/>
              <w:divBdr>
                <w:top w:val="none" w:sz="0" w:space="0" w:color="auto"/>
                <w:left w:val="none" w:sz="0" w:space="0" w:color="auto"/>
                <w:bottom w:val="none" w:sz="0" w:space="0" w:color="auto"/>
                <w:right w:val="none" w:sz="0" w:space="0" w:color="auto"/>
              </w:divBdr>
              <w:divsChild>
                <w:div w:id="350952779">
                  <w:marLeft w:val="0"/>
                  <w:marRight w:val="0"/>
                  <w:marTop w:val="0"/>
                  <w:marBottom w:val="0"/>
                  <w:divBdr>
                    <w:top w:val="none" w:sz="0" w:space="0" w:color="auto"/>
                    <w:left w:val="none" w:sz="0" w:space="0" w:color="auto"/>
                    <w:bottom w:val="none" w:sz="0" w:space="0" w:color="auto"/>
                    <w:right w:val="none" w:sz="0" w:space="0" w:color="auto"/>
                  </w:divBdr>
                  <w:divsChild>
                    <w:div w:id="1854764591">
                      <w:marLeft w:val="0"/>
                      <w:marRight w:val="0"/>
                      <w:marTop w:val="0"/>
                      <w:marBottom w:val="0"/>
                      <w:divBdr>
                        <w:top w:val="none" w:sz="0" w:space="0" w:color="auto"/>
                        <w:left w:val="none" w:sz="0" w:space="0" w:color="auto"/>
                        <w:bottom w:val="none" w:sz="0" w:space="0" w:color="auto"/>
                        <w:right w:val="none" w:sz="0" w:space="0" w:color="auto"/>
                      </w:divBdr>
                      <w:divsChild>
                        <w:div w:id="1390687725">
                          <w:marLeft w:val="0"/>
                          <w:marRight w:val="0"/>
                          <w:marTop w:val="0"/>
                          <w:marBottom w:val="0"/>
                          <w:divBdr>
                            <w:top w:val="none" w:sz="0" w:space="0" w:color="auto"/>
                            <w:left w:val="none" w:sz="0" w:space="0" w:color="auto"/>
                            <w:bottom w:val="none" w:sz="0" w:space="0" w:color="auto"/>
                            <w:right w:val="none" w:sz="0" w:space="0" w:color="auto"/>
                          </w:divBdr>
                          <w:divsChild>
                            <w:div w:id="8361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5747">
      <w:bodyDiv w:val="1"/>
      <w:marLeft w:val="0"/>
      <w:marRight w:val="0"/>
      <w:marTop w:val="0"/>
      <w:marBottom w:val="0"/>
      <w:divBdr>
        <w:top w:val="none" w:sz="0" w:space="0" w:color="auto"/>
        <w:left w:val="none" w:sz="0" w:space="0" w:color="auto"/>
        <w:bottom w:val="none" w:sz="0" w:space="0" w:color="auto"/>
        <w:right w:val="none" w:sz="0" w:space="0" w:color="auto"/>
      </w:divBdr>
    </w:div>
    <w:div w:id="240988587">
      <w:bodyDiv w:val="1"/>
      <w:marLeft w:val="0"/>
      <w:marRight w:val="0"/>
      <w:marTop w:val="0"/>
      <w:marBottom w:val="0"/>
      <w:divBdr>
        <w:top w:val="none" w:sz="0" w:space="0" w:color="auto"/>
        <w:left w:val="none" w:sz="0" w:space="0" w:color="auto"/>
        <w:bottom w:val="none" w:sz="0" w:space="0" w:color="auto"/>
        <w:right w:val="none" w:sz="0" w:space="0" w:color="auto"/>
      </w:divBdr>
      <w:divsChild>
        <w:div w:id="1783723513">
          <w:marLeft w:val="0"/>
          <w:marRight w:val="0"/>
          <w:marTop w:val="75"/>
          <w:marBottom w:val="0"/>
          <w:divBdr>
            <w:top w:val="none" w:sz="0" w:space="0" w:color="auto"/>
            <w:left w:val="none" w:sz="0" w:space="0" w:color="auto"/>
            <w:bottom w:val="none" w:sz="0" w:space="0" w:color="auto"/>
            <w:right w:val="none" w:sz="0" w:space="0" w:color="auto"/>
          </w:divBdr>
          <w:divsChild>
            <w:div w:id="1270771596">
              <w:marLeft w:val="0"/>
              <w:marRight w:val="0"/>
              <w:marTop w:val="0"/>
              <w:marBottom w:val="120"/>
              <w:divBdr>
                <w:top w:val="none" w:sz="0" w:space="0" w:color="auto"/>
                <w:left w:val="none" w:sz="0" w:space="0" w:color="auto"/>
                <w:bottom w:val="none" w:sz="0" w:space="0" w:color="auto"/>
                <w:right w:val="none" w:sz="0" w:space="0" w:color="auto"/>
              </w:divBdr>
              <w:divsChild>
                <w:div w:id="2133472265">
                  <w:marLeft w:val="0"/>
                  <w:marRight w:val="0"/>
                  <w:marTop w:val="0"/>
                  <w:marBottom w:val="0"/>
                  <w:divBdr>
                    <w:top w:val="single" w:sz="6" w:space="7" w:color="E6E5E5"/>
                    <w:left w:val="single" w:sz="6" w:space="6" w:color="E6E5E5"/>
                    <w:bottom w:val="single" w:sz="6" w:space="7" w:color="E6E5E5"/>
                    <w:right w:val="single" w:sz="6" w:space="6" w:color="E6E5E5"/>
                  </w:divBdr>
                  <w:divsChild>
                    <w:div w:id="10237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239">
          <w:marLeft w:val="0"/>
          <w:marRight w:val="0"/>
          <w:marTop w:val="0"/>
          <w:marBottom w:val="0"/>
          <w:divBdr>
            <w:top w:val="none" w:sz="0" w:space="0" w:color="auto"/>
            <w:left w:val="none" w:sz="0" w:space="0" w:color="auto"/>
            <w:bottom w:val="none" w:sz="0" w:space="0" w:color="auto"/>
            <w:right w:val="none" w:sz="0" w:space="0" w:color="auto"/>
          </w:divBdr>
        </w:div>
      </w:divsChild>
    </w:div>
    <w:div w:id="356083639">
      <w:bodyDiv w:val="1"/>
      <w:marLeft w:val="0"/>
      <w:marRight w:val="0"/>
      <w:marTop w:val="0"/>
      <w:marBottom w:val="0"/>
      <w:divBdr>
        <w:top w:val="none" w:sz="0" w:space="0" w:color="auto"/>
        <w:left w:val="none" w:sz="0" w:space="0" w:color="auto"/>
        <w:bottom w:val="none" w:sz="0" w:space="0" w:color="auto"/>
        <w:right w:val="none" w:sz="0" w:space="0" w:color="auto"/>
      </w:divBdr>
    </w:div>
    <w:div w:id="415826797">
      <w:bodyDiv w:val="1"/>
      <w:marLeft w:val="0"/>
      <w:marRight w:val="0"/>
      <w:marTop w:val="0"/>
      <w:marBottom w:val="0"/>
      <w:divBdr>
        <w:top w:val="none" w:sz="0" w:space="0" w:color="auto"/>
        <w:left w:val="none" w:sz="0" w:space="0" w:color="auto"/>
        <w:bottom w:val="none" w:sz="0" w:space="0" w:color="auto"/>
        <w:right w:val="none" w:sz="0" w:space="0" w:color="auto"/>
      </w:divBdr>
    </w:div>
    <w:div w:id="490950725">
      <w:bodyDiv w:val="1"/>
      <w:marLeft w:val="0"/>
      <w:marRight w:val="0"/>
      <w:marTop w:val="0"/>
      <w:marBottom w:val="0"/>
      <w:divBdr>
        <w:top w:val="none" w:sz="0" w:space="0" w:color="auto"/>
        <w:left w:val="none" w:sz="0" w:space="0" w:color="auto"/>
        <w:bottom w:val="none" w:sz="0" w:space="0" w:color="auto"/>
        <w:right w:val="none" w:sz="0" w:space="0" w:color="auto"/>
      </w:divBdr>
      <w:divsChild>
        <w:div w:id="1320310574">
          <w:marLeft w:val="0"/>
          <w:marRight w:val="0"/>
          <w:marTop w:val="0"/>
          <w:marBottom w:val="0"/>
          <w:divBdr>
            <w:top w:val="none" w:sz="0" w:space="0" w:color="auto"/>
            <w:left w:val="none" w:sz="0" w:space="0" w:color="auto"/>
            <w:bottom w:val="none" w:sz="0" w:space="0" w:color="auto"/>
            <w:right w:val="none" w:sz="0" w:space="0" w:color="auto"/>
          </w:divBdr>
          <w:divsChild>
            <w:div w:id="381291242">
              <w:marLeft w:val="0"/>
              <w:marRight w:val="0"/>
              <w:marTop w:val="0"/>
              <w:marBottom w:val="0"/>
              <w:divBdr>
                <w:top w:val="none" w:sz="0" w:space="0" w:color="auto"/>
                <w:left w:val="none" w:sz="0" w:space="0" w:color="auto"/>
                <w:bottom w:val="none" w:sz="0" w:space="0" w:color="auto"/>
                <w:right w:val="none" w:sz="0" w:space="0" w:color="auto"/>
              </w:divBdr>
              <w:divsChild>
                <w:div w:id="293023514">
                  <w:marLeft w:val="0"/>
                  <w:marRight w:val="0"/>
                  <w:marTop w:val="0"/>
                  <w:marBottom w:val="0"/>
                  <w:divBdr>
                    <w:top w:val="none" w:sz="0" w:space="0" w:color="auto"/>
                    <w:left w:val="none" w:sz="0" w:space="0" w:color="auto"/>
                    <w:bottom w:val="none" w:sz="0" w:space="0" w:color="auto"/>
                    <w:right w:val="none" w:sz="0" w:space="0" w:color="auto"/>
                  </w:divBdr>
                  <w:divsChild>
                    <w:div w:id="1027683572">
                      <w:marLeft w:val="0"/>
                      <w:marRight w:val="0"/>
                      <w:marTop w:val="0"/>
                      <w:marBottom w:val="0"/>
                      <w:divBdr>
                        <w:top w:val="none" w:sz="0" w:space="0" w:color="auto"/>
                        <w:left w:val="none" w:sz="0" w:space="0" w:color="auto"/>
                        <w:bottom w:val="none" w:sz="0" w:space="0" w:color="auto"/>
                        <w:right w:val="none" w:sz="0" w:space="0" w:color="auto"/>
                      </w:divBdr>
                      <w:divsChild>
                        <w:div w:id="1643926158">
                          <w:marLeft w:val="0"/>
                          <w:marRight w:val="0"/>
                          <w:marTop w:val="0"/>
                          <w:marBottom w:val="0"/>
                          <w:divBdr>
                            <w:top w:val="none" w:sz="0" w:space="0" w:color="auto"/>
                            <w:left w:val="none" w:sz="0" w:space="0" w:color="auto"/>
                            <w:bottom w:val="none" w:sz="0" w:space="0" w:color="auto"/>
                            <w:right w:val="none" w:sz="0" w:space="0" w:color="auto"/>
                          </w:divBdr>
                          <w:divsChild>
                            <w:div w:id="468326631">
                              <w:marLeft w:val="0"/>
                              <w:marRight w:val="0"/>
                              <w:marTop w:val="0"/>
                              <w:marBottom w:val="0"/>
                              <w:divBdr>
                                <w:top w:val="none" w:sz="0" w:space="0" w:color="auto"/>
                                <w:left w:val="none" w:sz="0" w:space="0" w:color="auto"/>
                                <w:bottom w:val="none" w:sz="0" w:space="0" w:color="auto"/>
                                <w:right w:val="none" w:sz="0" w:space="0" w:color="auto"/>
                              </w:divBdr>
                              <w:divsChild>
                                <w:div w:id="931276910">
                                  <w:marLeft w:val="0"/>
                                  <w:marRight w:val="0"/>
                                  <w:marTop w:val="0"/>
                                  <w:marBottom w:val="0"/>
                                  <w:divBdr>
                                    <w:top w:val="none" w:sz="0" w:space="0" w:color="auto"/>
                                    <w:left w:val="none" w:sz="0" w:space="0" w:color="auto"/>
                                    <w:bottom w:val="none" w:sz="0" w:space="0" w:color="auto"/>
                                    <w:right w:val="none" w:sz="0" w:space="0" w:color="auto"/>
                                  </w:divBdr>
                                  <w:divsChild>
                                    <w:div w:id="4122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48688">
      <w:bodyDiv w:val="1"/>
      <w:marLeft w:val="0"/>
      <w:marRight w:val="0"/>
      <w:marTop w:val="0"/>
      <w:marBottom w:val="0"/>
      <w:divBdr>
        <w:top w:val="none" w:sz="0" w:space="0" w:color="auto"/>
        <w:left w:val="none" w:sz="0" w:space="0" w:color="auto"/>
        <w:bottom w:val="none" w:sz="0" w:space="0" w:color="auto"/>
        <w:right w:val="none" w:sz="0" w:space="0" w:color="auto"/>
      </w:divBdr>
      <w:divsChild>
        <w:div w:id="921647646">
          <w:marLeft w:val="0"/>
          <w:marRight w:val="0"/>
          <w:marTop w:val="120"/>
          <w:marBottom w:val="360"/>
          <w:divBdr>
            <w:top w:val="none" w:sz="0" w:space="0" w:color="auto"/>
            <w:left w:val="none" w:sz="0" w:space="0" w:color="auto"/>
            <w:bottom w:val="none" w:sz="0" w:space="0" w:color="auto"/>
            <w:right w:val="none" w:sz="0" w:space="0" w:color="auto"/>
          </w:divBdr>
          <w:divsChild>
            <w:div w:id="204024913">
              <w:marLeft w:val="0"/>
              <w:marRight w:val="0"/>
              <w:marTop w:val="0"/>
              <w:marBottom w:val="0"/>
              <w:divBdr>
                <w:top w:val="none" w:sz="0" w:space="0" w:color="auto"/>
                <w:left w:val="none" w:sz="0" w:space="0" w:color="auto"/>
                <w:bottom w:val="none" w:sz="0" w:space="0" w:color="auto"/>
                <w:right w:val="none" w:sz="0" w:space="0" w:color="auto"/>
              </w:divBdr>
            </w:div>
            <w:div w:id="6160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2149">
      <w:bodyDiv w:val="1"/>
      <w:marLeft w:val="0"/>
      <w:marRight w:val="0"/>
      <w:marTop w:val="0"/>
      <w:marBottom w:val="0"/>
      <w:divBdr>
        <w:top w:val="none" w:sz="0" w:space="0" w:color="auto"/>
        <w:left w:val="none" w:sz="0" w:space="0" w:color="auto"/>
        <w:bottom w:val="none" w:sz="0" w:space="0" w:color="auto"/>
        <w:right w:val="none" w:sz="0" w:space="0" w:color="auto"/>
      </w:divBdr>
      <w:divsChild>
        <w:div w:id="313023145">
          <w:marLeft w:val="0"/>
          <w:marRight w:val="0"/>
          <w:marTop w:val="0"/>
          <w:marBottom w:val="0"/>
          <w:divBdr>
            <w:top w:val="none" w:sz="0" w:space="0" w:color="auto"/>
            <w:left w:val="none" w:sz="0" w:space="0" w:color="auto"/>
            <w:bottom w:val="none" w:sz="0" w:space="0" w:color="auto"/>
            <w:right w:val="none" w:sz="0" w:space="0" w:color="auto"/>
          </w:divBdr>
          <w:divsChild>
            <w:div w:id="1574897695">
              <w:marLeft w:val="0"/>
              <w:marRight w:val="0"/>
              <w:marTop w:val="0"/>
              <w:marBottom w:val="0"/>
              <w:divBdr>
                <w:top w:val="none" w:sz="0" w:space="0" w:color="auto"/>
                <w:left w:val="none" w:sz="0" w:space="0" w:color="auto"/>
                <w:bottom w:val="none" w:sz="0" w:space="0" w:color="auto"/>
                <w:right w:val="none" w:sz="0" w:space="0" w:color="auto"/>
              </w:divBdr>
              <w:divsChild>
                <w:div w:id="669790574">
                  <w:marLeft w:val="0"/>
                  <w:marRight w:val="0"/>
                  <w:marTop w:val="0"/>
                  <w:marBottom w:val="0"/>
                  <w:divBdr>
                    <w:top w:val="none" w:sz="0" w:space="0" w:color="auto"/>
                    <w:left w:val="none" w:sz="0" w:space="0" w:color="auto"/>
                    <w:bottom w:val="none" w:sz="0" w:space="0" w:color="auto"/>
                    <w:right w:val="none" w:sz="0" w:space="0" w:color="auto"/>
                  </w:divBdr>
                  <w:divsChild>
                    <w:div w:id="527527621">
                      <w:marLeft w:val="0"/>
                      <w:marRight w:val="0"/>
                      <w:marTop w:val="0"/>
                      <w:marBottom w:val="0"/>
                      <w:divBdr>
                        <w:top w:val="none" w:sz="0" w:space="0" w:color="auto"/>
                        <w:left w:val="none" w:sz="0" w:space="0" w:color="auto"/>
                        <w:bottom w:val="none" w:sz="0" w:space="0" w:color="auto"/>
                        <w:right w:val="none" w:sz="0" w:space="0" w:color="auto"/>
                      </w:divBdr>
                      <w:divsChild>
                        <w:div w:id="491721590">
                          <w:marLeft w:val="0"/>
                          <w:marRight w:val="0"/>
                          <w:marTop w:val="0"/>
                          <w:marBottom w:val="0"/>
                          <w:divBdr>
                            <w:top w:val="none" w:sz="0" w:space="0" w:color="auto"/>
                            <w:left w:val="none" w:sz="0" w:space="0" w:color="auto"/>
                            <w:bottom w:val="none" w:sz="0" w:space="0" w:color="auto"/>
                            <w:right w:val="none" w:sz="0" w:space="0" w:color="auto"/>
                          </w:divBdr>
                          <w:divsChild>
                            <w:div w:id="1893149056">
                              <w:marLeft w:val="0"/>
                              <w:marRight w:val="0"/>
                              <w:marTop w:val="0"/>
                              <w:marBottom w:val="0"/>
                              <w:divBdr>
                                <w:top w:val="none" w:sz="0" w:space="0" w:color="auto"/>
                                <w:left w:val="none" w:sz="0" w:space="0" w:color="auto"/>
                                <w:bottom w:val="none" w:sz="0" w:space="0" w:color="auto"/>
                                <w:right w:val="none" w:sz="0" w:space="0" w:color="auto"/>
                              </w:divBdr>
                              <w:divsChild>
                                <w:div w:id="1794202473">
                                  <w:marLeft w:val="0"/>
                                  <w:marRight w:val="0"/>
                                  <w:marTop w:val="0"/>
                                  <w:marBottom w:val="0"/>
                                  <w:divBdr>
                                    <w:top w:val="none" w:sz="0" w:space="0" w:color="auto"/>
                                    <w:left w:val="none" w:sz="0" w:space="0" w:color="auto"/>
                                    <w:bottom w:val="none" w:sz="0" w:space="0" w:color="auto"/>
                                    <w:right w:val="none" w:sz="0" w:space="0" w:color="auto"/>
                                  </w:divBdr>
                                  <w:divsChild>
                                    <w:div w:id="734208465">
                                      <w:marLeft w:val="0"/>
                                      <w:marRight w:val="0"/>
                                      <w:marTop w:val="0"/>
                                      <w:marBottom w:val="0"/>
                                      <w:divBdr>
                                        <w:top w:val="none" w:sz="0" w:space="0" w:color="auto"/>
                                        <w:left w:val="none" w:sz="0" w:space="0" w:color="auto"/>
                                        <w:bottom w:val="none" w:sz="0" w:space="0" w:color="auto"/>
                                        <w:right w:val="none" w:sz="0" w:space="0" w:color="auto"/>
                                      </w:divBdr>
                                      <w:divsChild>
                                        <w:div w:id="1819296744">
                                          <w:marLeft w:val="0"/>
                                          <w:marRight w:val="0"/>
                                          <w:marTop w:val="0"/>
                                          <w:marBottom w:val="0"/>
                                          <w:divBdr>
                                            <w:top w:val="none" w:sz="0" w:space="0" w:color="auto"/>
                                            <w:left w:val="none" w:sz="0" w:space="0" w:color="auto"/>
                                            <w:bottom w:val="none" w:sz="0" w:space="0" w:color="auto"/>
                                            <w:right w:val="none" w:sz="0" w:space="0" w:color="auto"/>
                                          </w:divBdr>
                                          <w:divsChild>
                                            <w:div w:id="1924684332">
                                              <w:marLeft w:val="0"/>
                                              <w:marRight w:val="0"/>
                                              <w:marTop w:val="0"/>
                                              <w:marBottom w:val="0"/>
                                              <w:divBdr>
                                                <w:top w:val="none" w:sz="0" w:space="0" w:color="auto"/>
                                                <w:left w:val="none" w:sz="0" w:space="0" w:color="auto"/>
                                                <w:bottom w:val="none" w:sz="0" w:space="0" w:color="auto"/>
                                                <w:right w:val="none" w:sz="0" w:space="0" w:color="auto"/>
                                              </w:divBdr>
                                              <w:divsChild>
                                                <w:div w:id="1464542307">
                                                  <w:marLeft w:val="0"/>
                                                  <w:marRight w:val="0"/>
                                                  <w:marTop w:val="0"/>
                                                  <w:marBottom w:val="0"/>
                                                  <w:divBdr>
                                                    <w:top w:val="none" w:sz="0" w:space="0" w:color="auto"/>
                                                    <w:left w:val="none" w:sz="0" w:space="0" w:color="auto"/>
                                                    <w:bottom w:val="none" w:sz="0" w:space="0" w:color="auto"/>
                                                    <w:right w:val="none" w:sz="0" w:space="0" w:color="auto"/>
                                                  </w:divBdr>
                                                  <w:divsChild>
                                                    <w:div w:id="1114708175">
                                                      <w:marLeft w:val="0"/>
                                                      <w:marRight w:val="0"/>
                                                      <w:marTop w:val="0"/>
                                                      <w:marBottom w:val="0"/>
                                                      <w:divBdr>
                                                        <w:top w:val="none" w:sz="0" w:space="0" w:color="auto"/>
                                                        <w:left w:val="none" w:sz="0" w:space="0" w:color="auto"/>
                                                        <w:bottom w:val="none" w:sz="0" w:space="0" w:color="auto"/>
                                                        <w:right w:val="none" w:sz="0" w:space="0" w:color="auto"/>
                                                      </w:divBdr>
                                                      <w:divsChild>
                                                        <w:div w:id="442967505">
                                                          <w:marLeft w:val="0"/>
                                                          <w:marRight w:val="0"/>
                                                          <w:marTop w:val="0"/>
                                                          <w:marBottom w:val="0"/>
                                                          <w:divBdr>
                                                            <w:top w:val="none" w:sz="0" w:space="0" w:color="auto"/>
                                                            <w:left w:val="none" w:sz="0" w:space="0" w:color="auto"/>
                                                            <w:bottom w:val="none" w:sz="0" w:space="0" w:color="auto"/>
                                                            <w:right w:val="none" w:sz="0" w:space="0" w:color="auto"/>
                                                          </w:divBdr>
                                                        </w:div>
                                                        <w:div w:id="15426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374741">
      <w:bodyDiv w:val="1"/>
      <w:marLeft w:val="0"/>
      <w:marRight w:val="0"/>
      <w:marTop w:val="0"/>
      <w:marBottom w:val="0"/>
      <w:divBdr>
        <w:top w:val="none" w:sz="0" w:space="0" w:color="auto"/>
        <w:left w:val="none" w:sz="0" w:space="0" w:color="auto"/>
        <w:bottom w:val="none" w:sz="0" w:space="0" w:color="auto"/>
        <w:right w:val="none" w:sz="0" w:space="0" w:color="auto"/>
      </w:divBdr>
    </w:div>
    <w:div w:id="638651495">
      <w:bodyDiv w:val="1"/>
      <w:marLeft w:val="0"/>
      <w:marRight w:val="0"/>
      <w:marTop w:val="0"/>
      <w:marBottom w:val="0"/>
      <w:divBdr>
        <w:top w:val="none" w:sz="0" w:space="0" w:color="auto"/>
        <w:left w:val="none" w:sz="0" w:space="0" w:color="auto"/>
        <w:bottom w:val="none" w:sz="0" w:space="0" w:color="auto"/>
        <w:right w:val="none" w:sz="0" w:space="0" w:color="auto"/>
      </w:divBdr>
    </w:div>
    <w:div w:id="669066191">
      <w:bodyDiv w:val="1"/>
      <w:marLeft w:val="0"/>
      <w:marRight w:val="0"/>
      <w:marTop w:val="0"/>
      <w:marBottom w:val="0"/>
      <w:divBdr>
        <w:top w:val="none" w:sz="0" w:space="0" w:color="auto"/>
        <w:left w:val="none" w:sz="0" w:space="0" w:color="auto"/>
        <w:bottom w:val="none" w:sz="0" w:space="0" w:color="auto"/>
        <w:right w:val="none" w:sz="0" w:space="0" w:color="auto"/>
      </w:divBdr>
    </w:div>
    <w:div w:id="673149088">
      <w:bodyDiv w:val="1"/>
      <w:marLeft w:val="0"/>
      <w:marRight w:val="0"/>
      <w:marTop w:val="0"/>
      <w:marBottom w:val="0"/>
      <w:divBdr>
        <w:top w:val="none" w:sz="0" w:space="0" w:color="auto"/>
        <w:left w:val="none" w:sz="0" w:space="0" w:color="auto"/>
        <w:bottom w:val="none" w:sz="0" w:space="0" w:color="auto"/>
        <w:right w:val="none" w:sz="0" w:space="0" w:color="auto"/>
      </w:divBdr>
    </w:div>
    <w:div w:id="852456011">
      <w:bodyDiv w:val="1"/>
      <w:marLeft w:val="0"/>
      <w:marRight w:val="0"/>
      <w:marTop w:val="0"/>
      <w:marBottom w:val="0"/>
      <w:divBdr>
        <w:top w:val="none" w:sz="0" w:space="0" w:color="auto"/>
        <w:left w:val="none" w:sz="0" w:space="0" w:color="auto"/>
        <w:bottom w:val="none" w:sz="0" w:space="0" w:color="auto"/>
        <w:right w:val="none" w:sz="0" w:space="0" w:color="auto"/>
      </w:divBdr>
    </w:div>
    <w:div w:id="1045059425">
      <w:bodyDiv w:val="1"/>
      <w:marLeft w:val="0"/>
      <w:marRight w:val="0"/>
      <w:marTop w:val="0"/>
      <w:marBottom w:val="0"/>
      <w:divBdr>
        <w:top w:val="none" w:sz="0" w:space="0" w:color="auto"/>
        <w:left w:val="none" w:sz="0" w:space="0" w:color="auto"/>
        <w:bottom w:val="none" w:sz="0" w:space="0" w:color="auto"/>
        <w:right w:val="none" w:sz="0" w:space="0" w:color="auto"/>
      </w:divBdr>
    </w:div>
    <w:div w:id="1285388909">
      <w:bodyDiv w:val="1"/>
      <w:marLeft w:val="0"/>
      <w:marRight w:val="0"/>
      <w:marTop w:val="0"/>
      <w:marBottom w:val="0"/>
      <w:divBdr>
        <w:top w:val="none" w:sz="0" w:space="0" w:color="auto"/>
        <w:left w:val="none" w:sz="0" w:space="0" w:color="auto"/>
        <w:bottom w:val="none" w:sz="0" w:space="0" w:color="auto"/>
        <w:right w:val="none" w:sz="0" w:space="0" w:color="auto"/>
      </w:divBdr>
    </w:div>
    <w:div w:id="1439564118">
      <w:bodyDiv w:val="1"/>
      <w:marLeft w:val="0"/>
      <w:marRight w:val="0"/>
      <w:marTop w:val="0"/>
      <w:marBottom w:val="0"/>
      <w:divBdr>
        <w:top w:val="none" w:sz="0" w:space="0" w:color="auto"/>
        <w:left w:val="none" w:sz="0" w:space="0" w:color="auto"/>
        <w:bottom w:val="none" w:sz="0" w:space="0" w:color="auto"/>
        <w:right w:val="none" w:sz="0" w:space="0" w:color="auto"/>
      </w:divBdr>
    </w:div>
    <w:div w:id="1464039368">
      <w:bodyDiv w:val="1"/>
      <w:marLeft w:val="0"/>
      <w:marRight w:val="0"/>
      <w:marTop w:val="0"/>
      <w:marBottom w:val="0"/>
      <w:divBdr>
        <w:top w:val="none" w:sz="0" w:space="0" w:color="auto"/>
        <w:left w:val="none" w:sz="0" w:space="0" w:color="auto"/>
        <w:bottom w:val="none" w:sz="0" w:space="0" w:color="auto"/>
        <w:right w:val="none" w:sz="0" w:space="0" w:color="auto"/>
      </w:divBdr>
    </w:div>
    <w:div w:id="1660186339">
      <w:bodyDiv w:val="1"/>
      <w:marLeft w:val="0"/>
      <w:marRight w:val="0"/>
      <w:marTop w:val="0"/>
      <w:marBottom w:val="0"/>
      <w:divBdr>
        <w:top w:val="none" w:sz="0" w:space="0" w:color="auto"/>
        <w:left w:val="none" w:sz="0" w:space="0" w:color="auto"/>
        <w:bottom w:val="none" w:sz="0" w:space="0" w:color="auto"/>
        <w:right w:val="none" w:sz="0" w:space="0" w:color="auto"/>
      </w:divBdr>
    </w:div>
    <w:div w:id="1790198791">
      <w:bodyDiv w:val="1"/>
      <w:marLeft w:val="0"/>
      <w:marRight w:val="0"/>
      <w:marTop w:val="0"/>
      <w:marBottom w:val="0"/>
      <w:divBdr>
        <w:top w:val="none" w:sz="0" w:space="0" w:color="auto"/>
        <w:left w:val="none" w:sz="0" w:space="0" w:color="auto"/>
        <w:bottom w:val="none" w:sz="0" w:space="0" w:color="auto"/>
        <w:right w:val="none" w:sz="0" w:space="0" w:color="auto"/>
      </w:divBdr>
    </w:div>
    <w:div w:id="1838812476">
      <w:bodyDiv w:val="1"/>
      <w:marLeft w:val="0"/>
      <w:marRight w:val="0"/>
      <w:marTop w:val="0"/>
      <w:marBottom w:val="0"/>
      <w:divBdr>
        <w:top w:val="none" w:sz="0" w:space="0" w:color="auto"/>
        <w:left w:val="none" w:sz="0" w:space="0" w:color="auto"/>
        <w:bottom w:val="none" w:sz="0" w:space="0" w:color="auto"/>
        <w:right w:val="none" w:sz="0" w:space="0" w:color="auto"/>
      </w:divBdr>
    </w:div>
    <w:div w:id="1977638272">
      <w:bodyDiv w:val="1"/>
      <w:marLeft w:val="0"/>
      <w:marRight w:val="0"/>
      <w:marTop w:val="0"/>
      <w:marBottom w:val="0"/>
      <w:divBdr>
        <w:top w:val="none" w:sz="0" w:space="0" w:color="auto"/>
        <w:left w:val="none" w:sz="0" w:space="0" w:color="auto"/>
        <w:bottom w:val="none" w:sz="0" w:space="0" w:color="auto"/>
        <w:right w:val="none" w:sz="0" w:space="0" w:color="auto"/>
      </w:divBdr>
    </w:div>
    <w:div w:id="2072382606">
      <w:bodyDiv w:val="1"/>
      <w:marLeft w:val="0"/>
      <w:marRight w:val="0"/>
      <w:marTop w:val="0"/>
      <w:marBottom w:val="0"/>
      <w:divBdr>
        <w:top w:val="none" w:sz="0" w:space="0" w:color="auto"/>
        <w:left w:val="none" w:sz="0" w:space="0" w:color="auto"/>
        <w:bottom w:val="none" w:sz="0" w:space="0" w:color="auto"/>
        <w:right w:val="none" w:sz="0" w:space="0" w:color="auto"/>
      </w:divBdr>
    </w:div>
    <w:div w:id="2077438150">
      <w:bodyDiv w:val="1"/>
      <w:marLeft w:val="0"/>
      <w:marRight w:val="0"/>
      <w:marTop w:val="0"/>
      <w:marBottom w:val="0"/>
      <w:divBdr>
        <w:top w:val="none" w:sz="0" w:space="0" w:color="auto"/>
        <w:left w:val="none" w:sz="0" w:space="0" w:color="auto"/>
        <w:bottom w:val="none" w:sz="0" w:space="0" w:color="auto"/>
        <w:right w:val="none" w:sz="0" w:space="0" w:color="auto"/>
      </w:divBdr>
    </w:div>
    <w:div w:id="2092464770">
      <w:bodyDiv w:val="1"/>
      <w:marLeft w:val="0"/>
      <w:marRight w:val="0"/>
      <w:marTop w:val="0"/>
      <w:marBottom w:val="0"/>
      <w:divBdr>
        <w:top w:val="none" w:sz="0" w:space="0" w:color="auto"/>
        <w:left w:val="none" w:sz="0" w:space="0" w:color="auto"/>
        <w:bottom w:val="none" w:sz="0" w:space="0" w:color="auto"/>
        <w:right w:val="none" w:sz="0" w:space="0" w:color="auto"/>
      </w:divBdr>
      <w:divsChild>
        <w:div w:id="632904240">
          <w:marLeft w:val="0"/>
          <w:marRight w:val="0"/>
          <w:marTop w:val="240"/>
          <w:marBottom w:val="480"/>
          <w:divBdr>
            <w:top w:val="none" w:sz="0" w:space="0" w:color="auto"/>
            <w:left w:val="none" w:sz="0" w:space="0" w:color="auto"/>
            <w:bottom w:val="none" w:sz="0" w:space="0" w:color="auto"/>
            <w:right w:val="none" w:sz="0" w:space="0" w:color="auto"/>
          </w:divBdr>
          <w:divsChild>
            <w:div w:id="1333994920">
              <w:marLeft w:val="0"/>
              <w:marRight w:val="0"/>
              <w:marTop w:val="0"/>
              <w:marBottom w:val="0"/>
              <w:divBdr>
                <w:top w:val="none" w:sz="0" w:space="0" w:color="auto"/>
                <w:left w:val="none" w:sz="0" w:space="0" w:color="auto"/>
                <w:bottom w:val="none" w:sz="0" w:space="0" w:color="auto"/>
                <w:right w:val="none" w:sz="0" w:space="0" w:color="auto"/>
              </w:divBdr>
              <w:divsChild>
                <w:div w:id="307058442">
                  <w:marLeft w:val="0"/>
                  <w:marRight w:val="0"/>
                  <w:marTop w:val="0"/>
                  <w:marBottom w:val="0"/>
                  <w:divBdr>
                    <w:top w:val="none" w:sz="0" w:space="0" w:color="auto"/>
                    <w:left w:val="none" w:sz="0" w:space="0" w:color="auto"/>
                    <w:bottom w:val="none" w:sz="0" w:space="0" w:color="auto"/>
                    <w:right w:val="none" w:sz="0" w:space="0" w:color="auto"/>
                  </w:divBdr>
                  <w:divsChild>
                    <w:div w:id="63963146">
                      <w:marLeft w:val="0"/>
                      <w:marRight w:val="0"/>
                      <w:marTop w:val="0"/>
                      <w:marBottom w:val="0"/>
                      <w:divBdr>
                        <w:top w:val="none" w:sz="0" w:space="0" w:color="auto"/>
                        <w:left w:val="none" w:sz="0" w:space="0" w:color="auto"/>
                        <w:bottom w:val="none" w:sz="0" w:space="0" w:color="auto"/>
                        <w:right w:val="none" w:sz="0" w:space="0" w:color="auto"/>
                      </w:divBdr>
                      <w:divsChild>
                        <w:div w:id="16794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health.gov.au/internet/main/publishing.nsf/Content/health-comments.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gov.au/internet/main/publishing.nsf/Content/cdna-song-typhoid-paratyphoid.ht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9.health.gov.au/cda/source/cda-index.cfm;jsessionid=BC0CB9439D6ABE3285BA8895969D6A67.instance2?CFID=708046&amp;CFTOKEN=b8c0538ba169a7f7-C63907C3-AEAD-D23E-5446577BD62D10CC" TargetMode="External"/><Relationship Id="rId14" Type="http://schemas.openxmlformats.org/officeDocument/2006/relationships/header" Target="header3.xml"/><Relationship Id="rId2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C1500-B18C-435B-919A-A371C865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9580</Words>
  <Characters>58154</Characters>
  <Application>Microsoft Office Word</Application>
  <DocSecurity>0</DocSecurity>
  <Lines>3876</Lines>
  <Paragraphs>2419</Paragraphs>
  <ScaleCrop>false</ScaleCrop>
  <HeadingPairs>
    <vt:vector size="2" baseType="variant">
      <vt:variant>
        <vt:lpstr>Title</vt:lpstr>
      </vt:variant>
      <vt:variant>
        <vt:i4>1</vt:i4>
      </vt:variant>
    </vt:vector>
  </HeadingPairs>
  <TitlesOfParts>
    <vt:vector size="1" baseType="lpstr">
      <vt:lpstr>Disease - CDNA National Guidelines for Public Health Units</vt:lpstr>
    </vt:vector>
  </TitlesOfParts>
  <Company>Dept Health And Ageing</Company>
  <LinksUpToDate>false</LinksUpToDate>
  <CharactersWithSpaces>65315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 CDNA National Guidelines for Public Health Units</dc:title>
  <dc:creator>Australian Government Department of Health</dc:creator>
  <cp:lastModifiedBy>Keane Laurie</cp:lastModifiedBy>
  <cp:revision>3</cp:revision>
  <cp:lastPrinted>2017-01-20T01:17:00Z</cp:lastPrinted>
  <dcterms:created xsi:type="dcterms:W3CDTF">2017-03-15T01:32:00Z</dcterms:created>
  <dcterms:modified xsi:type="dcterms:W3CDTF">2017-03-15T23:35:00Z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