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412" w:rsidRPr="006F7EE4" w:rsidRDefault="00C45D07" w:rsidP="006F7EE4">
      <w:pPr>
        <w:pStyle w:val="Title"/>
      </w:pPr>
      <w:bookmarkStart w:id="0" w:name="_GoBack"/>
      <w:bookmarkEnd w:id="0"/>
      <w:r w:rsidRPr="006F7EE4">
        <w:t xml:space="preserve">Prostheses List – Guidelines for Evaluation of </w:t>
      </w:r>
      <w:proofErr w:type="spellStart"/>
      <w:r w:rsidRPr="006F7EE4">
        <w:t>Transcatheter</w:t>
      </w:r>
      <w:proofErr w:type="spellEnd"/>
      <w:r w:rsidRPr="006F7EE4">
        <w:t xml:space="preserve"> Aortic Valve Implantation (TAVI) or </w:t>
      </w:r>
      <w:proofErr w:type="spellStart"/>
      <w:r w:rsidRPr="006F7EE4">
        <w:t>Transcatheter</w:t>
      </w:r>
      <w:proofErr w:type="spellEnd"/>
      <w:r w:rsidRPr="006F7EE4">
        <w:t xml:space="preserve"> Aortic Valve Replacement (TAVR) devices.</w:t>
      </w:r>
    </w:p>
    <w:p w:rsidR="009E6C99" w:rsidRDefault="00547412" w:rsidP="00006B45">
      <w:pPr>
        <w:spacing w:line="276" w:lineRule="auto"/>
        <w:rPr>
          <w:rFonts w:eastAsia="Calibri" w:cs="Arial"/>
          <w:szCs w:val="24"/>
          <w:lang w:eastAsia="en-US"/>
        </w:rPr>
      </w:pPr>
      <w:r w:rsidRPr="00006B45">
        <w:rPr>
          <w:rFonts w:eastAsia="Calibri" w:cs="Arial"/>
          <w:szCs w:val="24"/>
          <w:lang w:eastAsia="en-US"/>
        </w:rPr>
        <w:t xml:space="preserve">This guide is to be read in conjunction with the </w:t>
      </w:r>
      <w:r w:rsidR="007D3EC2" w:rsidRPr="007D3EC2">
        <w:rPr>
          <w:rFonts w:eastAsia="Calibri" w:cs="Arial"/>
          <w:szCs w:val="24"/>
          <w:lang w:eastAsia="en-US"/>
        </w:rPr>
        <w:t>Prostheses List - Guide to listing and setting benefits for prostheses</w:t>
      </w:r>
      <w:r w:rsidR="009E6C99">
        <w:rPr>
          <w:rFonts w:eastAsia="Calibri" w:cs="Arial"/>
          <w:szCs w:val="24"/>
          <w:lang w:eastAsia="en-US"/>
        </w:rPr>
        <w:t>.</w:t>
      </w:r>
    </w:p>
    <w:p w:rsidR="00006B45" w:rsidRPr="002741C9" w:rsidRDefault="00006B45" w:rsidP="00547412">
      <w:pPr>
        <w:spacing w:line="276" w:lineRule="auto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>TAVI</w:t>
      </w:r>
      <w:r w:rsidR="009625C0">
        <w:rPr>
          <w:rFonts w:eastAsia="Calibri" w:cs="Arial"/>
          <w:szCs w:val="24"/>
          <w:lang w:eastAsia="en-US"/>
        </w:rPr>
        <w:t xml:space="preserve"> are in phase o</w:t>
      </w:r>
      <w:r w:rsidRPr="002741C9">
        <w:rPr>
          <w:rFonts w:eastAsia="Calibri" w:cs="Arial"/>
          <w:szCs w:val="24"/>
          <w:lang w:eastAsia="en-US"/>
        </w:rPr>
        <w:t>f rapid evolution. Long follow up times are not feasible.</w:t>
      </w:r>
      <w:r>
        <w:rPr>
          <w:rFonts w:eastAsia="Calibri" w:cs="Arial"/>
          <w:szCs w:val="24"/>
          <w:lang w:eastAsia="en-US"/>
        </w:rPr>
        <w:t xml:space="preserve">  </w:t>
      </w:r>
      <w:r w:rsidRPr="002741C9">
        <w:rPr>
          <w:rFonts w:eastAsia="Calibri" w:cs="Arial"/>
          <w:szCs w:val="24"/>
          <w:lang w:eastAsia="en-US"/>
        </w:rPr>
        <w:t>However, the clinical importance of valves dictates a minimum of two years for the first in a series. Additionally valve durability becomes increasingly important when used in lower risk groups.</w:t>
      </w:r>
    </w:p>
    <w:p w:rsidR="00E964F2" w:rsidRDefault="00E964F2" w:rsidP="00E964F2">
      <w:pPr>
        <w:spacing w:line="276" w:lineRule="auto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>All Therapeutic Products must be included in the Australian Register of Therapeutic Goods (ARTG) before they can be lawfully supplied.</w:t>
      </w:r>
    </w:p>
    <w:p w:rsidR="00E964F2" w:rsidRPr="002741C9" w:rsidRDefault="00E964F2" w:rsidP="00E964F2">
      <w:pPr>
        <w:spacing w:line="276" w:lineRule="auto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>While sponsors may apply for this registration concurrently with an application for</w:t>
      </w:r>
      <w:r w:rsidR="006613B2">
        <w:rPr>
          <w:rFonts w:eastAsia="Calibri" w:cs="Arial"/>
          <w:szCs w:val="24"/>
          <w:lang w:eastAsia="en-US"/>
        </w:rPr>
        <w:t xml:space="preserve"> </w:t>
      </w:r>
      <w:r>
        <w:rPr>
          <w:rFonts w:eastAsia="Calibri" w:cs="Arial"/>
          <w:szCs w:val="24"/>
          <w:lang w:eastAsia="en-US"/>
        </w:rPr>
        <w:t>listing a product on the Prostheses List, listing a product on the Prostheses List is conditional upon receiving an ARTG certificate.</w:t>
      </w:r>
    </w:p>
    <w:p w:rsidR="00F022AD" w:rsidRPr="002741C9" w:rsidRDefault="00F022AD" w:rsidP="00010952">
      <w:pPr>
        <w:pStyle w:val="Heading1"/>
      </w:pPr>
      <w:r w:rsidRPr="002741C9">
        <w:t xml:space="preserve">PARAMETERS </w:t>
      </w:r>
    </w:p>
    <w:p w:rsidR="00547412" w:rsidRPr="00010952" w:rsidRDefault="00FC3B12" w:rsidP="00547412">
      <w:pPr>
        <w:spacing w:after="240"/>
        <w:rPr>
          <w:rStyle w:val="Strong"/>
        </w:rPr>
      </w:pPr>
      <w:r w:rsidRPr="00010952">
        <w:rPr>
          <w:rStyle w:val="Strong"/>
        </w:rPr>
        <w:t>The following</w:t>
      </w:r>
      <w:r w:rsidR="00547412" w:rsidRPr="00010952">
        <w:rPr>
          <w:rStyle w:val="Strong"/>
        </w:rPr>
        <w:t xml:space="preserve"> must be addressed </w:t>
      </w:r>
      <w:r w:rsidR="002741C9" w:rsidRPr="00010952">
        <w:rPr>
          <w:rStyle w:val="Strong"/>
        </w:rPr>
        <w:t xml:space="preserve">in a submission </w:t>
      </w:r>
      <w:r w:rsidR="00482DD0" w:rsidRPr="00010952">
        <w:rPr>
          <w:rStyle w:val="Strong"/>
        </w:rPr>
        <w:t xml:space="preserve">for </w:t>
      </w:r>
      <w:r w:rsidR="002741C9" w:rsidRPr="00010952">
        <w:rPr>
          <w:rStyle w:val="Strong"/>
        </w:rPr>
        <w:t>consideration of a TAVI device</w:t>
      </w:r>
    </w:p>
    <w:p w:rsidR="00F022AD" w:rsidRPr="00010952" w:rsidRDefault="00F022AD" w:rsidP="00010952">
      <w:pPr>
        <w:pStyle w:val="Heading2"/>
        <w:numPr>
          <w:ilvl w:val="0"/>
          <w:numId w:val="4"/>
        </w:numPr>
        <w:ind w:left="360"/>
        <w:rPr>
          <w:rFonts w:eastAsia="Calibri"/>
        </w:rPr>
      </w:pPr>
      <w:r w:rsidRPr="00010952">
        <w:rPr>
          <w:rFonts w:eastAsia="Calibri"/>
        </w:rPr>
        <w:t>Structural valve durability</w:t>
      </w:r>
    </w:p>
    <w:p w:rsidR="00547412" w:rsidRPr="002741C9" w:rsidRDefault="00547412" w:rsidP="00010952">
      <w:pPr>
        <w:rPr>
          <w:rFonts w:eastAsia="Calibri"/>
          <w:lang w:eastAsia="en-US"/>
        </w:rPr>
      </w:pPr>
      <w:r w:rsidRPr="002741C9">
        <w:rPr>
          <w:rFonts w:eastAsia="Calibri"/>
          <w:lang w:eastAsia="en-US"/>
        </w:rPr>
        <w:t>Should conform to that of currently available Tissue valves. Preferably analysed on a</w:t>
      </w:r>
      <w:r w:rsidR="002741C9">
        <w:rPr>
          <w:rFonts w:eastAsia="Calibri"/>
          <w:lang w:eastAsia="en-US"/>
        </w:rPr>
        <w:t xml:space="preserve"> </w:t>
      </w:r>
      <w:r w:rsidRPr="002741C9">
        <w:rPr>
          <w:rFonts w:eastAsia="Calibri"/>
          <w:lang w:eastAsia="en-US"/>
        </w:rPr>
        <w:t>competing-risk basis.</w:t>
      </w:r>
    </w:p>
    <w:p w:rsidR="004B0E43" w:rsidRPr="002741C9" w:rsidRDefault="009625C0" w:rsidP="00010952">
      <w:pPr>
        <w:pStyle w:val="Heading2"/>
        <w:numPr>
          <w:ilvl w:val="0"/>
          <w:numId w:val="4"/>
        </w:numPr>
        <w:ind w:left="360"/>
        <w:rPr>
          <w:rFonts w:eastAsia="Calibri"/>
          <w:lang w:eastAsia="en-US"/>
        </w:rPr>
      </w:pPr>
      <w:r>
        <w:rPr>
          <w:rFonts w:eastAsia="Calibri"/>
          <w:lang w:eastAsia="en-US"/>
        </w:rPr>
        <w:t>P</w:t>
      </w:r>
      <w:r w:rsidR="00F022AD" w:rsidRPr="002741C9">
        <w:rPr>
          <w:rFonts w:eastAsia="Calibri"/>
          <w:lang w:eastAsia="en-US"/>
        </w:rPr>
        <w:t>aravalvular leak</w:t>
      </w:r>
      <w:r>
        <w:rPr>
          <w:rFonts w:eastAsia="Calibri"/>
          <w:lang w:eastAsia="en-US"/>
        </w:rPr>
        <w:t>age</w:t>
      </w:r>
    </w:p>
    <w:p w:rsidR="00547412" w:rsidRPr="002741C9" w:rsidRDefault="00547412" w:rsidP="00010952">
      <w:pPr>
        <w:rPr>
          <w:rFonts w:eastAsia="Calibri"/>
          <w:lang w:eastAsia="en-US"/>
        </w:rPr>
      </w:pPr>
      <w:r w:rsidRPr="002741C9">
        <w:rPr>
          <w:rFonts w:eastAsia="Calibri"/>
          <w:lang w:eastAsia="en-US"/>
        </w:rPr>
        <w:t xml:space="preserve">Permissible Incidence of aortic regurgitation </w:t>
      </w:r>
      <w:r w:rsidR="004B0E43" w:rsidRPr="002741C9">
        <w:rPr>
          <w:rFonts w:eastAsia="Calibri"/>
          <w:lang w:eastAsia="en-US"/>
        </w:rPr>
        <w:t xml:space="preserve">(AR) </w:t>
      </w:r>
      <w:r w:rsidRPr="002741C9">
        <w:rPr>
          <w:rFonts w:eastAsia="Calibri"/>
          <w:lang w:eastAsia="en-US"/>
        </w:rPr>
        <w:t>post TAVI at any follow up period, including 30 day:</w:t>
      </w:r>
    </w:p>
    <w:p w:rsidR="00547412" w:rsidRPr="002741C9" w:rsidRDefault="00547412" w:rsidP="00010952">
      <w:pPr>
        <w:numPr>
          <w:ilvl w:val="0"/>
          <w:numId w:val="11"/>
        </w:numPr>
        <w:rPr>
          <w:rFonts w:eastAsia="Calibri"/>
          <w:lang w:eastAsia="en-US"/>
        </w:rPr>
      </w:pPr>
      <w:r w:rsidRPr="002741C9">
        <w:rPr>
          <w:rFonts w:eastAsia="Calibri"/>
          <w:lang w:eastAsia="en-US"/>
        </w:rPr>
        <w:t>Severe AR: 1.5%</w:t>
      </w:r>
      <w:r w:rsidR="00FC3B12">
        <w:rPr>
          <w:rFonts w:eastAsia="Calibri"/>
          <w:lang w:eastAsia="en-US"/>
        </w:rPr>
        <w:t xml:space="preserve"> or less</w:t>
      </w:r>
    </w:p>
    <w:p w:rsidR="00547412" w:rsidRPr="002741C9" w:rsidRDefault="00547412" w:rsidP="00010952">
      <w:pPr>
        <w:numPr>
          <w:ilvl w:val="0"/>
          <w:numId w:val="11"/>
        </w:numPr>
        <w:rPr>
          <w:rFonts w:eastAsia="Calibri"/>
          <w:lang w:eastAsia="en-US"/>
        </w:rPr>
      </w:pPr>
      <w:r w:rsidRPr="002741C9">
        <w:rPr>
          <w:rFonts w:eastAsia="Calibri"/>
          <w:lang w:eastAsia="en-US"/>
        </w:rPr>
        <w:t>Moderate AR: 5.0% or less</w:t>
      </w:r>
    </w:p>
    <w:p w:rsidR="00547412" w:rsidRPr="002741C9" w:rsidRDefault="00547412" w:rsidP="00010952">
      <w:pPr>
        <w:numPr>
          <w:ilvl w:val="0"/>
          <w:numId w:val="11"/>
        </w:numPr>
        <w:rPr>
          <w:rFonts w:eastAsia="Calibri"/>
          <w:lang w:eastAsia="en-US"/>
        </w:rPr>
      </w:pPr>
      <w:r w:rsidRPr="002741C9">
        <w:rPr>
          <w:rFonts w:eastAsia="Calibri"/>
          <w:lang w:eastAsia="en-US"/>
        </w:rPr>
        <w:t>Mild AR: 20% or less</w:t>
      </w:r>
    </w:p>
    <w:p w:rsidR="00547412" w:rsidRDefault="00547412" w:rsidP="00010952">
      <w:pPr>
        <w:numPr>
          <w:ilvl w:val="0"/>
          <w:numId w:val="11"/>
        </w:numPr>
        <w:rPr>
          <w:rFonts w:eastAsia="Calibri"/>
          <w:lang w:eastAsia="en-US"/>
        </w:rPr>
      </w:pPr>
      <w:r w:rsidRPr="002741C9">
        <w:rPr>
          <w:rFonts w:eastAsia="Calibri"/>
          <w:lang w:eastAsia="en-US"/>
        </w:rPr>
        <w:t>More than mild AR: 8% or less.</w:t>
      </w:r>
    </w:p>
    <w:p w:rsidR="00482DD0" w:rsidRPr="002741C9" w:rsidRDefault="00482DD0" w:rsidP="00010952">
      <w:pPr>
        <w:rPr>
          <w:rFonts w:eastAsia="Calibri"/>
          <w:lang w:eastAsia="en-US"/>
        </w:rPr>
      </w:pPr>
      <w:r w:rsidRPr="00E5601A">
        <w:rPr>
          <w:rFonts w:eastAsia="Calibri"/>
          <w:i/>
          <w:iCs/>
          <w:lang w:eastAsia="en-US"/>
        </w:rPr>
        <w:t>Note:</w:t>
      </w:r>
      <w:r>
        <w:rPr>
          <w:rFonts w:eastAsia="Calibri"/>
          <w:lang w:eastAsia="en-US"/>
        </w:rPr>
        <w:t xml:space="preserve"> the acceptable incidences will change as </w:t>
      </w:r>
      <w:r w:rsidR="0019297F">
        <w:rPr>
          <w:rFonts w:eastAsia="Calibri"/>
          <w:lang w:eastAsia="en-US"/>
        </w:rPr>
        <w:t>further generations of TAV</w:t>
      </w:r>
      <w:r>
        <w:rPr>
          <w:rFonts w:eastAsia="Calibri"/>
          <w:lang w:eastAsia="en-US"/>
        </w:rPr>
        <w:t xml:space="preserve"> devices </w:t>
      </w:r>
      <w:r w:rsidR="0019297F">
        <w:rPr>
          <w:rFonts w:eastAsia="Calibri"/>
          <w:lang w:eastAsia="en-US"/>
        </w:rPr>
        <w:t>reduce the incidence.</w:t>
      </w:r>
      <w:r>
        <w:rPr>
          <w:rFonts w:eastAsia="Calibri"/>
          <w:lang w:eastAsia="en-US"/>
        </w:rPr>
        <w:t xml:space="preserve"> </w:t>
      </w:r>
    </w:p>
    <w:p w:rsidR="00547412" w:rsidRPr="002741C9" w:rsidRDefault="00547412" w:rsidP="00010952">
      <w:pPr>
        <w:pStyle w:val="Heading3"/>
      </w:pPr>
      <w:r w:rsidRPr="002741C9">
        <w:t>Measurement of Severity of AR.</w:t>
      </w:r>
    </w:p>
    <w:p w:rsidR="00547412" w:rsidRPr="002741C9" w:rsidRDefault="00547412" w:rsidP="00010952">
      <w:r w:rsidRPr="002741C9">
        <w:t>Should be specified as described in:</w:t>
      </w:r>
    </w:p>
    <w:p w:rsidR="00547412" w:rsidRPr="002741C9" w:rsidRDefault="00547412" w:rsidP="00010952">
      <w:r w:rsidRPr="002741C9">
        <w:t xml:space="preserve">“Updated standardized endpoint definitions for transcatheter aortic valve implantation.  </w:t>
      </w:r>
      <w:proofErr w:type="spellStart"/>
      <w:r w:rsidRPr="002741C9">
        <w:t>Kappetein</w:t>
      </w:r>
      <w:proofErr w:type="spellEnd"/>
      <w:r w:rsidRPr="002741C9">
        <w:t xml:space="preserve"> </w:t>
      </w:r>
      <w:r w:rsidRPr="002741C9">
        <w:rPr>
          <w:i/>
        </w:rPr>
        <w:t>et al</w:t>
      </w:r>
      <w:r w:rsidRPr="002741C9">
        <w:t>, for the VARC consortium. JACC 60 (15) 1438-54, 2012.”</w:t>
      </w:r>
      <w:r w:rsidR="00025EA2" w:rsidRPr="002741C9">
        <w:t xml:space="preserve"> </w:t>
      </w:r>
      <w:r w:rsidRPr="002741C9">
        <w:t>Detailed on page 1447, para 2 and table 10.</w:t>
      </w:r>
    </w:p>
    <w:p w:rsidR="00547412" w:rsidRPr="002741C9" w:rsidRDefault="00547412" w:rsidP="00010952">
      <w:pPr>
        <w:rPr>
          <w:rFonts w:eastAsia="Calibri"/>
          <w:lang w:eastAsia="en-US"/>
        </w:rPr>
      </w:pPr>
      <w:r w:rsidRPr="002741C9">
        <w:rPr>
          <w:rFonts w:eastAsia="Calibri"/>
          <w:lang w:eastAsia="en-US"/>
        </w:rPr>
        <w:t>Reason: Current evidence that</w:t>
      </w:r>
      <w:r w:rsidR="004B0E43" w:rsidRPr="002741C9">
        <w:rPr>
          <w:rFonts w:eastAsia="Calibri"/>
          <w:lang w:eastAsia="en-US"/>
        </w:rPr>
        <w:t xml:space="preserve"> less than m</w:t>
      </w:r>
      <w:r w:rsidRPr="002741C9">
        <w:rPr>
          <w:rFonts w:eastAsia="Calibri"/>
          <w:lang w:eastAsia="en-US"/>
        </w:rPr>
        <w:t xml:space="preserve">oderate </w:t>
      </w:r>
      <w:r w:rsidR="004B0E43" w:rsidRPr="002741C9">
        <w:rPr>
          <w:rFonts w:eastAsia="Calibri"/>
          <w:lang w:eastAsia="en-US"/>
        </w:rPr>
        <w:t xml:space="preserve">paravalvular leak </w:t>
      </w:r>
      <w:r w:rsidRPr="002741C9">
        <w:rPr>
          <w:rFonts w:eastAsia="Calibri"/>
          <w:lang w:eastAsia="en-US"/>
        </w:rPr>
        <w:t>does not affect mortality.</w:t>
      </w:r>
      <w:r w:rsidR="00025EA2" w:rsidRPr="002741C9">
        <w:rPr>
          <w:rFonts w:eastAsia="Calibri"/>
          <w:lang w:eastAsia="en-US"/>
        </w:rPr>
        <w:t xml:space="preserve"> </w:t>
      </w:r>
      <w:r w:rsidR="004B0E43" w:rsidRPr="002741C9">
        <w:rPr>
          <w:rFonts w:eastAsia="Calibri"/>
          <w:lang w:eastAsia="en-US"/>
        </w:rPr>
        <w:t>In using this measurement it is r</w:t>
      </w:r>
      <w:r w:rsidRPr="002741C9">
        <w:rPr>
          <w:rFonts w:eastAsia="Calibri"/>
          <w:lang w:eastAsia="en-US"/>
        </w:rPr>
        <w:t>ecognised that</w:t>
      </w:r>
      <w:r w:rsidR="00025EA2" w:rsidRPr="002741C9">
        <w:rPr>
          <w:rFonts w:eastAsia="Calibri"/>
          <w:lang w:eastAsia="en-US"/>
        </w:rPr>
        <w:t xml:space="preserve"> </w:t>
      </w:r>
      <w:r w:rsidRPr="002741C9">
        <w:rPr>
          <w:rFonts w:eastAsia="Calibri"/>
          <w:lang w:eastAsia="en-US"/>
        </w:rPr>
        <w:t xml:space="preserve">mortality is </w:t>
      </w:r>
      <w:r w:rsidR="00025EA2" w:rsidRPr="002741C9">
        <w:rPr>
          <w:rFonts w:eastAsia="Calibri"/>
          <w:lang w:eastAsia="en-US"/>
        </w:rPr>
        <w:t xml:space="preserve">a </w:t>
      </w:r>
      <w:r w:rsidRPr="002741C9">
        <w:rPr>
          <w:rFonts w:eastAsia="Calibri"/>
          <w:lang w:eastAsia="en-US"/>
        </w:rPr>
        <w:t>crude parameter</w:t>
      </w:r>
      <w:r w:rsidR="004B0E43" w:rsidRPr="002741C9">
        <w:rPr>
          <w:rFonts w:eastAsia="Calibri"/>
          <w:lang w:eastAsia="en-US"/>
        </w:rPr>
        <w:t xml:space="preserve"> </w:t>
      </w:r>
      <w:r w:rsidR="009625C0">
        <w:rPr>
          <w:rFonts w:eastAsia="Calibri"/>
          <w:lang w:eastAsia="en-US"/>
        </w:rPr>
        <w:t xml:space="preserve">of </w:t>
      </w:r>
      <w:r w:rsidR="004B0E43" w:rsidRPr="002741C9">
        <w:rPr>
          <w:rFonts w:eastAsia="Calibri"/>
          <w:lang w:eastAsia="en-US"/>
        </w:rPr>
        <w:t xml:space="preserve">paravalvular leak </w:t>
      </w:r>
      <w:r w:rsidR="00025EA2" w:rsidRPr="002741C9">
        <w:rPr>
          <w:rFonts w:eastAsia="Calibri"/>
          <w:lang w:eastAsia="en-US"/>
        </w:rPr>
        <w:t xml:space="preserve">and that severity is subjective </w:t>
      </w:r>
      <w:r w:rsidR="00EA1EB0" w:rsidRPr="002741C9">
        <w:rPr>
          <w:rFonts w:eastAsia="Calibri"/>
          <w:lang w:eastAsia="en-US"/>
        </w:rPr>
        <w:t>with few</w:t>
      </w:r>
      <w:r w:rsidRPr="002741C9">
        <w:rPr>
          <w:rFonts w:eastAsia="Calibri"/>
          <w:lang w:eastAsia="en-US"/>
        </w:rPr>
        <w:t xml:space="preserve"> studies apply</w:t>
      </w:r>
      <w:r w:rsidR="00025EA2" w:rsidRPr="002741C9">
        <w:rPr>
          <w:rFonts w:eastAsia="Calibri"/>
          <w:lang w:eastAsia="en-US"/>
        </w:rPr>
        <w:t>ing</w:t>
      </w:r>
      <w:r w:rsidRPr="002741C9">
        <w:rPr>
          <w:rFonts w:eastAsia="Calibri"/>
          <w:lang w:eastAsia="en-US"/>
        </w:rPr>
        <w:t xml:space="preserve"> (semi) objective assessment criteria</w:t>
      </w:r>
    </w:p>
    <w:p w:rsidR="00F022AD" w:rsidRPr="002741C9" w:rsidRDefault="00F022AD" w:rsidP="00010952">
      <w:pPr>
        <w:pStyle w:val="Heading2"/>
        <w:numPr>
          <w:ilvl w:val="0"/>
          <w:numId w:val="4"/>
        </w:numPr>
        <w:ind w:left="360"/>
        <w:rPr>
          <w:rFonts w:eastAsia="Calibri"/>
          <w:lang w:eastAsia="en-US"/>
        </w:rPr>
      </w:pPr>
      <w:r w:rsidRPr="002741C9">
        <w:rPr>
          <w:rFonts w:eastAsia="Calibri"/>
          <w:lang w:eastAsia="en-US"/>
        </w:rPr>
        <w:lastRenderedPageBreak/>
        <w:t>Haemolysis</w:t>
      </w:r>
      <w:r w:rsidR="00482DD0">
        <w:rPr>
          <w:rFonts w:eastAsia="Calibri"/>
          <w:lang w:eastAsia="en-US"/>
        </w:rPr>
        <w:t>*</w:t>
      </w:r>
    </w:p>
    <w:p w:rsidR="00F022AD" w:rsidRPr="002741C9" w:rsidRDefault="00F022AD" w:rsidP="00010952">
      <w:pPr>
        <w:pStyle w:val="Heading2"/>
        <w:numPr>
          <w:ilvl w:val="0"/>
          <w:numId w:val="4"/>
        </w:numPr>
        <w:ind w:left="360"/>
        <w:rPr>
          <w:rFonts w:eastAsia="Calibri"/>
          <w:lang w:eastAsia="en-US"/>
        </w:rPr>
      </w:pPr>
      <w:r w:rsidRPr="002741C9">
        <w:rPr>
          <w:rFonts w:eastAsia="Calibri"/>
          <w:lang w:eastAsia="en-US"/>
        </w:rPr>
        <w:t>Endocarditis</w:t>
      </w:r>
      <w:r w:rsidR="00482DD0">
        <w:rPr>
          <w:rFonts w:eastAsia="Calibri"/>
          <w:lang w:eastAsia="en-US"/>
        </w:rPr>
        <w:t>*</w:t>
      </w:r>
    </w:p>
    <w:p w:rsidR="00F022AD" w:rsidRPr="002741C9" w:rsidRDefault="00F022AD" w:rsidP="00010952">
      <w:pPr>
        <w:pStyle w:val="Heading2"/>
        <w:numPr>
          <w:ilvl w:val="0"/>
          <w:numId w:val="4"/>
        </w:numPr>
        <w:ind w:left="360"/>
        <w:rPr>
          <w:rFonts w:eastAsia="Calibri"/>
          <w:lang w:eastAsia="en-US"/>
        </w:rPr>
      </w:pPr>
      <w:r w:rsidRPr="002741C9">
        <w:rPr>
          <w:rFonts w:eastAsia="Calibri"/>
          <w:lang w:eastAsia="en-US"/>
        </w:rPr>
        <w:t>Clinical status (NYHA)</w:t>
      </w:r>
    </w:p>
    <w:p w:rsidR="004B0E43" w:rsidRPr="002741C9" w:rsidRDefault="004B0E43" w:rsidP="002741C9">
      <w:pPr>
        <w:spacing w:line="276" w:lineRule="auto"/>
        <w:ind w:left="284"/>
        <w:rPr>
          <w:rFonts w:eastAsia="Calibri" w:cs="Arial"/>
          <w:szCs w:val="24"/>
          <w:lang w:eastAsia="en-US"/>
        </w:rPr>
      </w:pPr>
      <w:r w:rsidRPr="002741C9">
        <w:rPr>
          <w:rFonts w:eastAsia="Calibri" w:cs="Arial"/>
          <w:szCs w:val="24"/>
          <w:lang w:eastAsia="en-US"/>
        </w:rPr>
        <w:t>Failure to improve or to maintain clinical improvement - NYHA at 12 months</w:t>
      </w:r>
    </w:p>
    <w:p w:rsidR="00F022AD" w:rsidRPr="002741C9" w:rsidRDefault="00F022AD" w:rsidP="00010952">
      <w:pPr>
        <w:pStyle w:val="Heading2"/>
        <w:numPr>
          <w:ilvl w:val="0"/>
          <w:numId w:val="4"/>
        </w:numPr>
        <w:ind w:left="360"/>
        <w:rPr>
          <w:rFonts w:eastAsia="Calibri"/>
          <w:lang w:eastAsia="en-US"/>
        </w:rPr>
      </w:pPr>
      <w:r w:rsidRPr="002741C9">
        <w:rPr>
          <w:rFonts w:eastAsia="Calibri"/>
          <w:lang w:eastAsia="en-US"/>
        </w:rPr>
        <w:t>Pacemaker requirement</w:t>
      </w:r>
    </w:p>
    <w:p w:rsidR="004B0E43" w:rsidRPr="002741C9" w:rsidRDefault="004B0E43" w:rsidP="002741C9">
      <w:pPr>
        <w:spacing w:line="276" w:lineRule="auto"/>
        <w:ind w:left="284"/>
        <w:rPr>
          <w:rFonts w:eastAsia="Calibri" w:cs="Arial"/>
          <w:szCs w:val="24"/>
          <w:lang w:eastAsia="en-US"/>
        </w:rPr>
      </w:pPr>
      <w:r w:rsidRPr="002741C9">
        <w:rPr>
          <w:rFonts w:eastAsia="Calibri" w:cs="Arial"/>
          <w:szCs w:val="24"/>
          <w:lang w:eastAsia="en-US"/>
        </w:rPr>
        <w:t>Reason: A Pacemaker not innocuous - risks of the procedure in frail patient</w:t>
      </w:r>
      <w:r w:rsidR="009625C0">
        <w:rPr>
          <w:rFonts w:eastAsia="Calibri" w:cs="Arial"/>
          <w:szCs w:val="24"/>
          <w:lang w:eastAsia="en-US"/>
        </w:rPr>
        <w:t>s</w:t>
      </w:r>
      <w:r w:rsidRPr="002741C9">
        <w:rPr>
          <w:rFonts w:eastAsia="Calibri" w:cs="Arial"/>
          <w:szCs w:val="24"/>
          <w:lang w:eastAsia="en-US"/>
        </w:rPr>
        <w:t xml:space="preserve">, incidence of long term risk. If </w:t>
      </w:r>
      <w:r w:rsidR="009625C0">
        <w:rPr>
          <w:rFonts w:eastAsia="Calibri" w:cs="Arial"/>
          <w:szCs w:val="24"/>
          <w:lang w:eastAsia="en-US"/>
        </w:rPr>
        <w:t xml:space="preserve">a </w:t>
      </w:r>
      <w:r w:rsidRPr="002741C9">
        <w:rPr>
          <w:rFonts w:eastAsia="Calibri" w:cs="Arial"/>
          <w:szCs w:val="24"/>
          <w:lang w:eastAsia="en-US"/>
        </w:rPr>
        <w:t>patient lives long enough, as increasingly likely in lower risk patients, need for generator replacement. It is noted that Private hospital cost of pacemaker insertion around $18-20K - all of the cost borne by the Health Fund</w:t>
      </w:r>
    </w:p>
    <w:p w:rsidR="00F022AD" w:rsidRPr="002741C9" w:rsidRDefault="00F022AD" w:rsidP="00010952">
      <w:pPr>
        <w:pStyle w:val="Heading2"/>
        <w:numPr>
          <w:ilvl w:val="0"/>
          <w:numId w:val="4"/>
        </w:numPr>
        <w:ind w:left="360"/>
        <w:rPr>
          <w:rFonts w:eastAsia="Calibri"/>
          <w:lang w:eastAsia="en-US"/>
        </w:rPr>
      </w:pPr>
      <w:r w:rsidRPr="002741C9">
        <w:rPr>
          <w:rFonts w:eastAsia="Calibri"/>
          <w:lang w:eastAsia="en-US"/>
        </w:rPr>
        <w:t>Thromboembolism</w:t>
      </w:r>
      <w:r w:rsidR="0019297F">
        <w:rPr>
          <w:rFonts w:eastAsia="Calibri"/>
          <w:lang w:eastAsia="en-US"/>
        </w:rPr>
        <w:t>*</w:t>
      </w:r>
    </w:p>
    <w:p w:rsidR="00F022AD" w:rsidRPr="002741C9" w:rsidRDefault="00F022AD" w:rsidP="00010952">
      <w:pPr>
        <w:pStyle w:val="Heading2"/>
        <w:numPr>
          <w:ilvl w:val="0"/>
          <w:numId w:val="4"/>
        </w:numPr>
        <w:ind w:left="360"/>
        <w:rPr>
          <w:rFonts w:eastAsia="Calibri"/>
          <w:lang w:eastAsia="en-US"/>
        </w:rPr>
      </w:pPr>
      <w:r w:rsidRPr="002741C9">
        <w:rPr>
          <w:rFonts w:eastAsia="Calibri"/>
          <w:lang w:eastAsia="en-US"/>
        </w:rPr>
        <w:t>Mortality</w:t>
      </w:r>
    </w:p>
    <w:p w:rsidR="004B0E43" w:rsidRPr="002741C9" w:rsidRDefault="004B0E43" w:rsidP="00010952">
      <w:pPr>
        <w:pStyle w:val="Heading2"/>
        <w:numPr>
          <w:ilvl w:val="0"/>
          <w:numId w:val="4"/>
        </w:numPr>
        <w:ind w:left="360"/>
        <w:rPr>
          <w:rFonts w:eastAsia="Calibri"/>
          <w:lang w:eastAsia="en-US"/>
        </w:rPr>
      </w:pPr>
      <w:r w:rsidRPr="002741C9">
        <w:rPr>
          <w:rFonts w:eastAsia="Calibri"/>
          <w:lang w:eastAsia="en-US"/>
        </w:rPr>
        <w:t>Novelty</w:t>
      </w:r>
    </w:p>
    <w:p w:rsidR="004B0E43" w:rsidRPr="002741C9" w:rsidRDefault="0019297F" w:rsidP="0001095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For example: a</w:t>
      </w:r>
      <w:r w:rsidR="00006B45">
        <w:rPr>
          <w:rFonts w:eastAsia="Calibri"/>
          <w:lang w:eastAsia="en-US"/>
        </w:rPr>
        <w:t xml:space="preserve"> </w:t>
      </w:r>
      <w:r w:rsidR="004B0E43" w:rsidRPr="002741C9">
        <w:rPr>
          <w:rFonts w:eastAsia="Calibri"/>
          <w:lang w:eastAsia="en-US"/>
        </w:rPr>
        <w:t>TA</w:t>
      </w:r>
      <w:r>
        <w:rPr>
          <w:rFonts w:eastAsia="Calibri"/>
          <w:lang w:eastAsia="en-US"/>
        </w:rPr>
        <w:t>V</w:t>
      </w:r>
      <w:r w:rsidR="004B0E43" w:rsidRPr="002741C9">
        <w:rPr>
          <w:rFonts w:eastAsia="Calibri"/>
          <w:lang w:eastAsia="en-US"/>
        </w:rPr>
        <w:t xml:space="preserve"> produced </w:t>
      </w:r>
      <w:r>
        <w:rPr>
          <w:rFonts w:eastAsia="Calibri"/>
          <w:lang w:eastAsia="en-US"/>
        </w:rPr>
        <w:t>using tissue already developed for their</w:t>
      </w:r>
      <w:r w:rsidR="004B0E43" w:rsidRPr="002741C9">
        <w:rPr>
          <w:rFonts w:eastAsia="Calibri"/>
          <w:lang w:eastAsia="en-US"/>
        </w:rPr>
        <w:t xml:space="preserve"> Xenograft </w:t>
      </w:r>
      <w:r>
        <w:rPr>
          <w:rFonts w:eastAsia="Calibri"/>
          <w:lang w:eastAsia="en-US"/>
        </w:rPr>
        <w:t>valve</w:t>
      </w:r>
      <w:r w:rsidR="004B0E43" w:rsidRPr="002741C9">
        <w:rPr>
          <w:rFonts w:eastAsia="Calibri"/>
          <w:lang w:eastAsia="en-US"/>
        </w:rPr>
        <w:t>. The modification</w:t>
      </w:r>
      <w:r>
        <w:rPr>
          <w:rFonts w:eastAsia="Calibri"/>
          <w:lang w:eastAsia="en-US"/>
        </w:rPr>
        <w:t xml:space="preserve"> then,</w:t>
      </w:r>
      <w:r w:rsidR="004B0E43" w:rsidRPr="002741C9">
        <w:rPr>
          <w:rFonts w:eastAsia="Calibri"/>
          <w:lang w:eastAsia="en-US"/>
        </w:rPr>
        <w:t xml:space="preserve"> is of the stent</w:t>
      </w:r>
      <w:r>
        <w:rPr>
          <w:rFonts w:eastAsia="Calibri"/>
          <w:lang w:eastAsia="en-US"/>
        </w:rPr>
        <w:t xml:space="preserve"> and mode of attachment</w:t>
      </w:r>
      <w:r w:rsidR="004B0E43" w:rsidRPr="002741C9">
        <w:rPr>
          <w:rFonts w:eastAsia="Calibri"/>
          <w:lang w:eastAsia="en-US"/>
        </w:rPr>
        <w:t>, not the tissue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i/>
          <w:lang w:eastAsia="en-US"/>
        </w:rPr>
        <w:t>per se</w:t>
      </w:r>
      <w:r>
        <w:rPr>
          <w:rFonts w:eastAsia="Calibri"/>
          <w:lang w:eastAsia="en-US"/>
        </w:rPr>
        <w:t>.</w:t>
      </w:r>
      <w:r w:rsidR="004B0E43" w:rsidRPr="002741C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However, </w:t>
      </w:r>
      <w:r w:rsidR="004B0E43" w:rsidRPr="002741C9">
        <w:rPr>
          <w:rFonts w:eastAsia="Calibri"/>
          <w:lang w:eastAsia="en-US"/>
        </w:rPr>
        <w:t>use</w:t>
      </w:r>
      <w:r>
        <w:rPr>
          <w:rFonts w:eastAsia="Calibri"/>
          <w:lang w:eastAsia="en-US"/>
        </w:rPr>
        <w:t xml:space="preserve"> of</w:t>
      </w:r>
      <w:r w:rsidR="004B0E43" w:rsidRPr="002741C9">
        <w:rPr>
          <w:rFonts w:eastAsia="Calibri"/>
          <w:lang w:eastAsia="en-US"/>
        </w:rPr>
        <w:t xml:space="preserve"> hitherto unproven tissue</w:t>
      </w:r>
      <w:r>
        <w:rPr>
          <w:rFonts w:eastAsia="Calibri"/>
          <w:lang w:eastAsia="en-US"/>
        </w:rPr>
        <w:t xml:space="preserve"> would be considered separately.</w:t>
      </w:r>
    </w:p>
    <w:p w:rsidR="004B0E43" w:rsidRPr="002741C9" w:rsidRDefault="004B0E43" w:rsidP="00010952">
      <w:pPr>
        <w:pStyle w:val="Heading2"/>
        <w:numPr>
          <w:ilvl w:val="0"/>
          <w:numId w:val="4"/>
        </w:numPr>
        <w:ind w:left="360"/>
        <w:rPr>
          <w:rFonts w:eastAsia="Calibri"/>
          <w:lang w:eastAsia="en-US"/>
        </w:rPr>
      </w:pPr>
      <w:r w:rsidRPr="002741C9">
        <w:rPr>
          <w:rFonts w:eastAsia="Calibri"/>
          <w:lang w:eastAsia="en-US"/>
        </w:rPr>
        <w:t>Insertion systems</w:t>
      </w:r>
    </w:p>
    <w:p w:rsidR="004B0E43" w:rsidRDefault="004B0E43" w:rsidP="00010952">
      <w:pPr>
        <w:rPr>
          <w:rFonts w:eastAsia="Calibri"/>
          <w:lang w:eastAsia="en-US"/>
        </w:rPr>
      </w:pPr>
      <w:r w:rsidRPr="002741C9">
        <w:rPr>
          <w:rFonts w:eastAsia="Calibri"/>
          <w:lang w:eastAsia="en-US"/>
        </w:rPr>
        <w:t>Modification of the insertion system with no change in the valve per se should not need re-</w:t>
      </w:r>
      <w:r w:rsidR="00E964F2">
        <w:rPr>
          <w:rFonts w:eastAsia="Calibri"/>
          <w:lang w:eastAsia="en-US"/>
        </w:rPr>
        <w:t>evaluation for function nor for benefit change.</w:t>
      </w:r>
    </w:p>
    <w:p w:rsidR="0019297F" w:rsidRDefault="00D11891" w:rsidP="00010952">
      <w:pPr>
        <w:pStyle w:val="Heading2"/>
        <w:numPr>
          <w:ilvl w:val="0"/>
          <w:numId w:val="4"/>
        </w:numPr>
        <w:ind w:left="360"/>
        <w:rPr>
          <w:rFonts w:eastAsia="Calibri"/>
          <w:lang w:eastAsia="en-US"/>
        </w:rPr>
      </w:pPr>
      <w:r w:rsidRPr="00D11891">
        <w:rPr>
          <w:rFonts w:eastAsia="Calibri"/>
          <w:lang w:eastAsia="en-US"/>
        </w:rPr>
        <w:t>Stroke</w:t>
      </w:r>
      <w:r w:rsidR="0019297F">
        <w:rPr>
          <w:rFonts w:eastAsia="Calibri"/>
          <w:lang w:eastAsia="en-US"/>
        </w:rPr>
        <w:t>*</w:t>
      </w:r>
    </w:p>
    <w:p w:rsidR="00D11891" w:rsidRDefault="00E964F2" w:rsidP="00010952">
      <w:pPr>
        <w:pStyle w:val="Heading2"/>
        <w:numPr>
          <w:ilvl w:val="0"/>
          <w:numId w:val="4"/>
        </w:numPr>
        <w:ind w:left="360"/>
        <w:rPr>
          <w:rFonts w:eastAsia="Calibri"/>
          <w:lang w:eastAsia="en-US"/>
        </w:rPr>
      </w:pPr>
      <w:r>
        <w:rPr>
          <w:rFonts w:eastAsia="Calibri"/>
          <w:lang w:eastAsia="en-US"/>
        </w:rPr>
        <w:t>Vascular complications</w:t>
      </w:r>
    </w:p>
    <w:p w:rsidR="00980AC7" w:rsidRPr="000B47EB" w:rsidRDefault="00980AC7" w:rsidP="00D11891">
      <w:pPr>
        <w:spacing w:line="276" w:lineRule="auto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>Reported as per VARC criteria.</w:t>
      </w:r>
    </w:p>
    <w:p w:rsidR="00025EA2" w:rsidRPr="002741C9" w:rsidRDefault="00E964F2" w:rsidP="00010952">
      <w:pPr>
        <w:pStyle w:val="Heading2"/>
        <w:numPr>
          <w:ilvl w:val="0"/>
          <w:numId w:val="4"/>
        </w:numPr>
        <w:ind w:left="360"/>
        <w:rPr>
          <w:rFonts w:eastAsia="Calibri"/>
          <w:lang w:eastAsia="en-US"/>
        </w:rPr>
      </w:pPr>
      <w:r>
        <w:rPr>
          <w:rFonts w:eastAsia="Calibri"/>
          <w:lang w:eastAsia="en-US"/>
        </w:rPr>
        <w:t>Duration of follow up required</w:t>
      </w:r>
    </w:p>
    <w:p w:rsidR="00025EA2" w:rsidRPr="002741C9" w:rsidRDefault="00025EA2" w:rsidP="00010952">
      <w:pPr>
        <w:rPr>
          <w:rFonts w:eastAsia="Calibri"/>
          <w:lang w:eastAsia="en-US"/>
        </w:rPr>
      </w:pPr>
      <w:r w:rsidRPr="002741C9">
        <w:rPr>
          <w:rFonts w:eastAsia="Calibri"/>
          <w:lang w:eastAsia="en-US"/>
        </w:rPr>
        <w:t>Duration of follow up data may be influenced by:</w:t>
      </w:r>
    </w:p>
    <w:p w:rsidR="00025EA2" w:rsidRPr="002741C9" w:rsidRDefault="00025EA2" w:rsidP="00010952">
      <w:pPr>
        <w:rPr>
          <w:rFonts w:eastAsia="Calibri"/>
          <w:lang w:eastAsia="en-US"/>
        </w:rPr>
      </w:pPr>
      <w:r w:rsidRPr="002741C9">
        <w:rPr>
          <w:rFonts w:eastAsia="Calibri"/>
          <w:lang w:eastAsia="en-US"/>
        </w:rPr>
        <w:t>The first valve in the series and subsequent modifications, depending on magnitude and significance of the modification.</w:t>
      </w:r>
    </w:p>
    <w:p w:rsidR="00025EA2" w:rsidRPr="002741C9" w:rsidRDefault="00025EA2" w:rsidP="00010952">
      <w:pPr>
        <w:numPr>
          <w:ilvl w:val="0"/>
          <w:numId w:val="10"/>
        </w:numPr>
        <w:rPr>
          <w:rFonts w:eastAsia="Calibri"/>
          <w:lang w:eastAsia="en-US"/>
        </w:rPr>
      </w:pPr>
      <w:r w:rsidRPr="002741C9">
        <w:rPr>
          <w:rFonts w:eastAsia="Calibri"/>
          <w:lang w:eastAsia="en-US"/>
        </w:rPr>
        <w:t>For the first valve 2 years</w:t>
      </w:r>
    </w:p>
    <w:p w:rsidR="00980AC7" w:rsidRPr="00D076B9" w:rsidRDefault="00025EA2" w:rsidP="00010952">
      <w:pPr>
        <w:numPr>
          <w:ilvl w:val="0"/>
          <w:numId w:val="10"/>
        </w:numPr>
        <w:rPr>
          <w:rFonts w:eastAsia="Calibri"/>
          <w:lang w:eastAsia="en-US"/>
        </w:rPr>
      </w:pPr>
      <w:r w:rsidRPr="002741C9">
        <w:rPr>
          <w:rFonts w:eastAsia="Calibri"/>
          <w:lang w:eastAsia="en-US"/>
        </w:rPr>
        <w:t>For modifications one year</w:t>
      </w:r>
      <w:r w:rsidR="00980AC7" w:rsidRPr="00D076B9">
        <w:rPr>
          <w:rFonts w:eastAsia="Calibri"/>
          <w:b/>
          <w:lang w:eastAsia="en-US"/>
        </w:rPr>
        <w:t xml:space="preserve">* </w:t>
      </w:r>
    </w:p>
    <w:p w:rsidR="000231DD" w:rsidRDefault="00D076B9" w:rsidP="00010952">
      <w:pPr>
        <w:rPr>
          <w:rFonts w:eastAsia="Calibri"/>
          <w:lang w:eastAsia="en-US"/>
        </w:rPr>
      </w:pPr>
      <w:r w:rsidRPr="00D076B9">
        <w:rPr>
          <w:rFonts w:eastAsia="Calibri"/>
          <w:b/>
          <w:lang w:eastAsia="en-US"/>
        </w:rPr>
        <w:t>*</w:t>
      </w:r>
      <w:r w:rsidR="00980AC7" w:rsidRPr="00D076B9">
        <w:rPr>
          <w:rFonts w:eastAsia="Calibri"/>
          <w:lang w:eastAsia="en-US"/>
        </w:rPr>
        <w:t>The acceptable limits for the incidence of these outcomes should conform to that currently ap</w:t>
      </w:r>
      <w:r w:rsidR="00E964F2">
        <w:rPr>
          <w:rFonts w:eastAsia="Calibri"/>
          <w:lang w:eastAsia="en-US"/>
        </w:rPr>
        <w:t>plied to other Xenograft valves</w:t>
      </w:r>
      <w:r w:rsidR="000231DD">
        <w:rPr>
          <w:rFonts w:eastAsia="Calibri"/>
          <w:lang w:eastAsia="en-US"/>
        </w:rPr>
        <w:t xml:space="preserve"> as described in </w:t>
      </w:r>
      <w:r w:rsidR="000231DD" w:rsidRPr="000231DD">
        <w:rPr>
          <w:rFonts w:eastAsia="Calibri"/>
          <w:lang w:eastAsia="en-US"/>
        </w:rPr>
        <w:t>Guidelines for Evaluation of Artificial Heart Valves</w:t>
      </w:r>
      <w:r w:rsidR="00F45AD1">
        <w:rPr>
          <w:rFonts w:eastAsia="Calibri"/>
          <w:lang w:eastAsia="en-US"/>
        </w:rPr>
        <w:t>.</w:t>
      </w:r>
    </w:p>
    <w:sectPr w:rsidR="000231DD" w:rsidSect="000231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448" w:rsidRDefault="00580448" w:rsidP="00F022AD">
      <w:r>
        <w:separator/>
      </w:r>
    </w:p>
  </w:endnote>
  <w:endnote w:type="continuationSeparator" w:id="0">
    <w:p w:rsidR="00580448" w:rsidRDefault="00580448" w:rsidP="00F0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94A" w:rsidRDefault="00F869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94A" w:rsidRDefault="00F869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C24" w:rsidRPr="00F8694A" w:rsidRDefault="00132C24" w:rsidP="00F869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448" w:rsidRDefault="00580448" w:rsidP="00F022AD">
      <w:r>
        <w:separator/>
      </w:r>
    </w:p>
  </w:footnote>
  <w:footnote w:type="continuationSeparator" w:id="0">
    <w:p w:rsidR="00580448" w:rsidRDefault="00580448" w:rsidP="00F02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94A" w:rsidRDefault="00F869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94A" w:rsidRDefault="00F869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1DD" w:rsidRPr="00F8694A" w:rsidRDefault="000231DD" w:rsidP="00F869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C7921"/>
    <w:multiLevelType w:val="hybridMultilevel"/>
    <w:tmpl w:val="8A5EBC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C6FF8"/>
    <w:multiLevelType w:val="hybridMultilevel"/>
    <w:tmpl w:val="82A6B5C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855341"/>
    <w:multiLevelType w:val="hybridMultilevel"/>
    <w:tmpl w:val="5C6AC1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D22D2"/>
    <w:multiLevelType w:val="hybridMultilevel"/>
    <w:tmpl w:val="102246F0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A6CD1"/>
    <w:multiLevelType w:val="hybridMultilevel"/>
    <w:tmpl w:val="D3A292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22E30"/>
    <w:multiLevelType w:val="hybridMultilevel"/>
    <w:tmpl w:val="43E4EB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82FE6"/>
    <w:multiLevelType w:val="hybridMultilevel"/>
    <w:tmpl w:val="A164ED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D2893"/>
    <w:multiLevelType w:val="hybridMultilevel"/>
    <w:tmpl w:val="783E69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8258B"/>
    <w:multiLevelType w:val="hybridMultilevel"/>
    <w:tmpl w:val="E2C40B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B4426"/>
    <w:multiLevelType w:val="hybridMultilevel"/>
    <w:tmpl w:val="317CC0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C115B"/>
    <w:multiLevelType w:val="hybridMultilevel"/>
    <w:tmpl w:val="F3FC9B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10"/>
  </w:num>
  <w:num w:numId="8">
    <w:abstractNumId w:val="4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AD"/>
    <w:rsid w:val="00003743"/>
    <w:rsid w:val="00006B45"/>
    <w:rsid w:val="00010952"/>
    <w:rsid w:val="000231DD"/>
    <w:rsid w:val="00025EA2"/>
    <w:rsid w:val="00045F5D"/>
    <w:rsid w:val="00067456"/>
    <w:rsid w:val="000B47EB"/>
    <w:rsid w:val="000C5DC2"/>
    <w:rsid w:val="00132C24"/>
    <w:rsid w:val="00132E0E"/>
    <w:rsid w:val="00137E9D"/>
    <w:rsid w:val="0019297F"/>
    <w:rsid w:val="001B3443"/>
    <w:rsid w:val="00255E5C"/>
    <w:rsid w:val="002741C9"/>
    <w:rsid w:val="0028122B"/>
    <w:rsid w:val="002B1B44"/>
    <w:rsid w:val="002F3AE3"/>
    <w:rsid w:val="002F4329"/>
    <w:rsid w:val="0030786C"/>
    <w:rsid w:val="00377E48"/>
    <w:rsid w:val="003C7D02"/>
    <w:rsid w:val="003D17F9"/>
    <w:rsid w:val="0041012F"/>
    <w:rsid w:val="00482DD0"/>
    <w:rsid w:val="004867E2"/>
    <w:rsid w:val="004952F3"/>
    <w:rsid w:val="004B0E43"/>
    <w:rsid w:val="004E6C51"/>
    <w:rsid w:val="00547412"/>
    <w:rsid w:val="00580448"/>
    <w:rsid w:val="005D520D"/>
    <w:rsid w:val="006613B2"/>
    <w:rsid w:val="00671335"/>
    <w:rsid w:val="0069520C"/>
    <w:rsid w:val="006F7EE4"/>
    <w:rsid w:val="007359B1"/>
    <w:rsid w:val="00737D95"/>
    <w:rsid w:val="00745559"/>
    <w:rsid w:val="007D3EC2"/>
    <w:rsid w:val="008110CB"/>
    <w:rsid w:val="008264EB"/>
    <w:rsid w:val="00960B87"/>
    <w:rsid w:val="009625C0"/>
    <w:rsid w:val="00980AC7"/>
    <w:rsid w:val="009823FB"/>
    <w:rsid w:val="009A01B0"/>
    <w:rsid w:val="009D40C2"/>
    <w:rsid w:val="009E6C99"/>
    <w:rsid w:val="00A4512D"/>
    <w:rsid w:val="00A705AF"/>
    <w:rsid w:val="00B42851"/>
    <w:rsid w:val="00BB013A"/>
    <w:rsid w:val="00BC4A13"/>
    <w:rsid w:val="00C45D07"/>
    <w:rsid w:val="00CB5B1A"/>
    <w:rsid w:val="00CC0DEB"/>
    <w:rsid w:val="00D076B9"/>
    <w:rsid w:val="00D11891"/>
    <w:rsid w:val="00D3603C"/>
    <w:rsid w:val="00E5601A"/>
    <w:rsid w:val="00E964F2"/>
    <w:rsid w:val="00EA1EB0"/>
    <w:rsid w:val="00F022AD"/>
    <w:rsid w:val="00F45AD1"/>
    <w:rsid w:val="00F8694A"/>
    <w:rsid w:val="00F92C4E"/>
    <w:rsid w:val="00FC3B12"/>
    <w:rsid w:val="00FC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952"/>
    <w:pPr>
      <w:spacing w:before="1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uiPriority w:val="1"/>
    <w:qFormat/>
    <w:rsid w:val="00010952"/>
    <w:pPr>
      <w:spacing w:after="240"/>
      <w:outlineLvl w:val="0"/>
    </w:pPr>
    <w:rPr>
      <w:rFonts w:cs="Arial"/>
      <w:b/>
      <w:szCs w:val="24"/>
    </w:rPr>
  </w:style>
  <w:style w:type="paragraph" w:styleId="Heading2">
    <w:name w:val="heading 2"/>
    <w:basedOn w:val="Heading1"/>
    <w:next w:val="Normal"/>
    <w:uiPriority w:val="9"/>
    <w:unhideWhenUsed/>
    <w:qFormat/>
    <w:rsid w:val="00010952"/>
    <w:pPr>
      <w:keepNext/>
      <w:keepLines/>
      <w:spacing w:before="240" w:after="120"/>
      <w:outlineLvl w:val="1"/>
    </w:pPr>
    <w:rPr>
      <w:rFonts w:cs="Times New Roman"/>
      <w:bCs/>
      <w:szCs w:val="26"/>
    </w:rPr>
  </w:style>
  <w:style w:type="paragraph" w:styleId="Heading3">
    <w:name w:val="heading 3"/>
    <w:basedOn w:val="Heading2"/>
    <w:next w:val="Normal"/>
    <w:uiPriority w:val="9"/>
    <w:unhideWhenUsed/>
    <w:qFormat/>
    <w:rsid w:val="00E5601A"/>
    <w:pPr>
      <w:outlineLvl w:val="2"/>
    </w:pPr>
    <w:rPr>
      <w:b w:val="0"/>
      <w:bCs w:val="0"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705A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705A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705A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A705AF"/>
    <w:rPr>
      <w:i/>
      <w:iCs/>
    </w:rPr>
  </w:style>
  <w:style w:type="character" w:styleId="Strong">
    <w:name w:val="Strong"/>
    <w:uiPriority w:val="22"/>
    <w:qFormat/>
    <w:rsid w:val="00010952"/>
    <w:rPr>
      <w:rFonts w:cs="Arial"/>
      <w:b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5AF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A705A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F7EE4"/>
    <w:rPr>
      <w:rFonts w:cs="Arial"/>
      <w:b/>
      <w:szCs w:val="24"/>
    </w:rPr>
  </w:style>
  <w:style w:type="character" w:customStyle="1" w:styleId="TitleChar">
    <w:name w:val="Title Char"/>
    <w:link w:val="Title"/>
    <w:uiPriority w:val="10"/>
    <w:rsid w:val="006F7EE4"/>
    <w:rPr>
      <w:rFonts w:ascii="Arial" w:eastAsia="Times New Roman" w:hAnsi="Arial" w:cs="Arial"/>
      <w:b/>
      <w:sz w:val="24"/>
      <w:szCs w:val="24"/>
    </w:rPr>
  </w:style>
  <w:style w:type="paragraph" w:styleId="NoSpacing">
    <w:name w:val="No Spacing"/>
    <w:uiPriority w:val="1"/>
    <w:qFormat/>
    <w:rsid w:val="00A4512D"/>
    <w:pPr>
      <w:widowControl w:val="0"/>
    </w:pPr>
    <w:rPr>
      <w:sz w:val="22"/>
      <w:szCs w:val="22"/>
    </w:rPr>
  </w:style>
  <w:style w:type="character" w:styleId="SubtleEmphasis">
    <w:name w:val="Subtle Emphasis"/>
    <w:uiPriority w:val="19"/>
    <w:qFormat/>
    <w:rsid w:val="00A4512D"/>
    <w:rPr>
      <w:i/>
      <w:iCs/>
      <w:color w:val="808080"/>
    </w:rPr>
  </w:style>
  <w:style w:type="character" w:styleId="IntenseEmphasis">
    <w:name w:val="Intense Emphasis"/>
    <w:uiPriority w:val="21"/>
    <w:qFormat/>
    <w:rsid w:val="00A4512D"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4512D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A4512D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A4512D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A4512D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1"/>
    <w:qFormat/>
    <w:rsid w:val="003C7D02"/>
  </w:style>
  <w:style w:type="paragraph" w:customStyle="1" w:styleId="TableParagraph">
    <w:name w:val="Table Paragraph"/>
    <w:basedOn w:val="Normal"/>
    <w:uiPriority w:val="1"/>
    <w:qFormat/>
    <w:rsid w:val="003C7D02"/>
  </w:style>
  <w:style w:type="paragraph" w:styleId="BodyText">
    <w:name w:val="Body Text"/>
    <w:basedOn w:val="Normal"/>
    <w:link w:val="BodyTextChar"/>
    <w:uiPriority w:val="1"/>
    <w:qFormat/>
    <w:rsid w:val="003C7D02"/>
    <w:pPr>
      <w:ind w:left="112"/>
    </w:pPr>
    <w:rPr>
      <w:rFonts w:eastAsia="Arial"/>
      <w:b/>
      <w:bCs/>
      <w:sz w:val="20"/>
    </w:rPr>
  </w:style>
  <w:style w:type="character" w:customStyle="1" w:styleId="BodyTextChar">
    <w:name w:val="Body Text Char"/>
    <w:link w:val="BodyText"/>
    <w:uiPriority w:val="1"/>
    <w:rsid w:val="003C7D02"/>
    <w:rPr>
      <w:rFonts w:ascii="Arial" w:eastAsia="Arial" w:hAnsi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F022A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022A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F022A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022AD"/>
    <w:rPr>
      <w:rFonts w:ascii="Times New Roman" w:eastAsia="Times New Roman" w:hAnsi="Times New Roman" w:cs="Times New Roman"/>
      <w:sz w:val="24"/>
      <w:szCs w:val="20"/>
    </w:rPr>
  </w:style>
  <w:style w:type="character" w:customStyle="1" w:styleId="tgc">
    <w:name w:val="_tgc"/>
    <w:rsid w:val="00547412"/>
  </w:style>
  <w:style w:type="paragraph" w:styleId="BalloonText">
    <w:name w:val="Balloon Text"/>
    <w:basedOn w:val="Normal"/>
    <w:link w:val="BalloonTextChar"/>
    <w:rsid w:val="000B47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B47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65E46-316D-45BD-AFF3-CFB346151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 Aortic Valve Implantation Clinical Advisory Group (TAVICAG) Guidelines</vt:lpstr>
    </vt:vector>
  </TitlesOfParts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 Aortic Valve Implantation Clinical Advisory Group (TAVICAG) Guidelines</dc:title>
  <dc:subject>Prostheses List</dc:subject>
  <dc:creator/>
  <cp:keywords>Transcatheter Aortic Valve Implantation (TAVI); Guidelines; Prostheses;</cp:keywords>
  <cp:lastModifiedBy/>
  <cp:revision>1</cp:revision>
  <dcterms:created xsi:type="dcterms:W3CDTF">2017-04-28T00:12:00Z</dcterms:created>
  <dcterms:modified xsi:type="dcterms:W3CDTF">2020-02-17T23:38:00Z</dcterms:modified>
  <cp:category>Prostheses</cp:category>
  <cp:contentStatus>Final</cp:contentStatus>
</cp:coreProperties>
</file>