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F9" w:rsidRPr="00EA42A0" w:rsidRDefault="00BD22F9" w:rsidP="00FC0F78">
      <w:pPr>
        <w:pStyle w:val="logo"/>
        <w:spacing w:before="480" w:after="100" w:afterAutospacing="1" w:line="276" w:lineRule="auto"/>
        <w:jc w:val="right"/>
        <w:rPr>
          <w:rFonts w:ascii="Calibri" w:hAnsi="Calibri" w:cs="Arial"/>
          <w:sz w:val="32"/>
          <w:szCs w:val="44"/>
        </w:rPr>
      </w:pPr>
    </w:p>
    <w:p w:rsidR="00BD22F9" w:rsidRPr="00EA42A0" w:rsidRDefault="00BD22F9" w:rsidP="00F860FD">
      <w:pPr>
        <w:pStyle w:val="logo"/>
        <w:spacing w:before="480" w:after="100" w:afterAutospacing="1" w:line="276" w:lineRule="auto"/>
        <w:jc w:val="both"/>
        <w:rPr>
          <w:rFonts w:ascii="Calibri" w:hAnsi="Calibri" w:cs="Arial"/>
          <w:sz w:val="32"/>
          <w:szCs w:val="44"/>
        </w:rPr>
      </w:pPr>
    </w:p>
    <w:p w:rsidR="00BD22F9" w:rsidRPr="00EA42A0" w:rsidRDefault="00BD22F9" w:rsidP="00F860FD">
      <w:pPr>
        <w:pStyle w:val="logo"/>
        <w:spacing w:before="480" w:after="100" w:afterAutospacing="1" w:line="276" w:lineRule="auto"/>
        <w:jc w:val="both"/>
        <w:rPr>
          <w:rFonts w:ascii="Calibri" w:hAnsi="Calibri" w:cs="Arial"/>
          <w:sz w:val="32"/>
          <w:szCs w:val="44"/>
        </w:rPr>
      </w:pPr>
    </w:p>
    <w:p w:rsidR="00266B31" w:rsidRPr="00266B31" w:rsidRDefault="00266B31" w:rsidP="00F860FD">
      <w:pPr>
        <w:pStyle w:val="Caption"/>
        <w:pBdr>
          <w:top w:val="single" w:sz="4" w:space="1" w:color="auto"/>
          <w:bottom w:val="single" w:sz="4" w:space="1" w:color="auto"/>
        </w:pBdr>
        <w:spacing w:before="120" w:after="0" w:line="276" w:lineRule="auto"/>
        <w:jc w:val="both"/>
        <w:rPr>
          <w:rFonts w:cs="Arial"/>
        </w:rPr>
      </w:pPr>
      <w:r>
        <w:rPr>
          <w:rFonts w:cs="Arial"/>
        </w:rPr>
        <w:t>Prostheses List Reforms</w:t>
      </w:r>
    </w:p>
    <w:p w:rsidR="00BD22F9" w:rsidRPr="002D4CBB" w:rsidRDefault="00BD22F9" w:rsidP="00F860FD">
      <w:pPr>
        <w:pStyle w:val="Caption"/>
        <w:pBdr>
          <w:top w:val="single" w:sz="4" w:space="1" w:color="auto"/>
          <w:bottom w:val="single" w:sz="4" w:space="1" w:color="auto"/>
        </w:pBdr>
        <w:spacing w:before="120" w:after="0" w:line="276" w:lineRule="auto"/>
        <w:jc w:val="both"/>
        <w:rPr>
          <w:rFonts w:cs="Arial"/>
          <w:i/>
        </w:rPr>
      </w:pPr>
      <w:r w:rsidRPr="002D4CBB">
        <w:rPr>
          <w:rFonts w:cs="Arial"/>
          <w:i/>
        </w:rPr>
        <w:t>Industry Working Group</w:t>
      </w:r>
      <w:r>
        <w:rPr>
          <w:rFonts w:cs="Arial"/>
          <w:i/>
        </w:rPr>
        <w:t xml:space="preserve"> on Revised Benefit Setting and Review Framework</w:t>
      </w:r>
    </w:p>
    <w:p w:rsidR="00F93A94" w:rsidRDefault="00BD22F9" w:rsidP="00F860FD">
      <w:pPr>
        <w:pStyle w:val="Caption"/>
        <w:pBdr>
          <w:top w:val="single" w:sz="4" w:space="1" w:color="auto"/>
          <w:bottom w:val="single" w:sz="4" w:space="1" w:color="auto"/>
        </w:pBdr>
        <w:spacing w:before="120" w:after="0" w:line="276" w:lineRule="auto"/>
        <w:jc w:val="both"/>
        <w:rPr>
          <w:rFonts w:cs="Arial"/>
        </w:rPr>
      </w:pPr>
      <w:r w:rsidRPr="00EA42A0">
        <w:rPr>
          <w:rFonts w:cs="Arial"/>
        </w:rPr>
        <w:t>Terms of Reference</w:t>
      </w:r>
      <w:r w:rsidR="002E5321">
        <w:rPr>
          <w:rFonts w:cs="Arial"/>
        </w:rPr>
        <w:t xml:space="preserve"> </w:t>
      </w:r>
    </w:p>
    <w:p w:rsidR="00BD22F9" w:rsidRDefault="002E5321" w:rsidP="00F860FD">
      <w:pPr>
        <w:pStyle w:val="Caption"/>
        <w:pBdr>
          <w:top w:val="single" w:sz="4" w:space="1" w:color="auto"/>
          <w:bottom w:val="single" w:sz="4" w:space="1" w:color="auto"/>
        </w:pBdr>
        <w:spacing w:before="120" w:after="0" w:line="276" w:lineRule="auto"/>
        <w:jc w:val="both"/>
        <w:rPr>
          <w:rFonts w:cs="Arial"/>
        </w:rPr>
      </w:pPr>
      <w:proofErr w:type="gramStart"/>
      <w:r>
        <w:rPr>
          <w:rFonts w:cs="Arial"/>
        </w:rPr>
        <w:t>and</w:t>
      </w:r>
      <w:proofErr w:type="gramEnd"/>
    </w:p>
    <w:p w:rsidR="00BD22F9" w:rsidRPr="00EA42A0" w:rsidRDefault="00F93A94" w:rsidP="00F860FD">
      <w:pPr>
        <w:pStyle w:val="Caption"/>
        <w:pBdr>
          <w:top w:val="single" w:sz="4" w:space="1" w:color="auto"/>
          <w:bottom w:val="single" w:sz="4" w:space="1" w:color="auto"/>
        </w:pBdr>
        <w:spacing w:before="120" w:after="0" w:line="276" w:lineRule="auto"/>
        <w:jc w:val="both"/>
        <w:rPr>
          <w:rFonts w:cs="Arial"/>
        </w:rPr>
      </w:pPr>
      <w:r>
        <w:rPr>
          <w:rFonts w:cs="Arial"/>
        </w:rPr>
        <w:t>Operating Guidelines</w:t>
      </w:r>
    </w:p>
    <w:p w:rsidR="00945F85" w:rsidRPr="00101501" w:rsidRDefault="00101501" w:rsidP="00101501">
      <w:pPr>
        <w:rPr>
          <w:rFonts w:cs="Arial"/>
        </w:rPr>
      </w:pPr>
      <w:r>
        <w:rPr>
          <w:b/>
        </w:rPr>
        <w:br w:type="page"/>
      </w:r>
    </w:p>
    <w:p w:rsidR="008C4C0B" w:rsidRPr="00DB2423" w:rsidRDefault="00A71BE9" w:rsidP="00DB2423">
      <w:pPr>
        <w:pStyle w:val="Heading1"/>
      </w:pPr>
      <w:bookmarkStart w:id="0" w:name="_GoBack"/>
      <w:bookmarkEnd w:id="0"/>
      <w:r w:rsidRPr="00DB2423">
        <w:lastRenderedPageBreak/>
        <w:t xml:space="preserve">A. </w:t>
      </w:r>
      <w:r w:rsidR="004258F8" w:rsidRPr="00DB2423">
        <w:t xml:space="preserve">Role </w:t>
      </w:r>
      <w:r w:rsidR="008C4C0B" w:rsidRPr="00DB2423">
        <w:t>of the Industry Working Group on Rev</w:t>
      </w:r>
      <w:r w:rsidRPr="00DB2423">
        <w:t xml:space="preserve">ised Benefit Setting and Review </w:t>
      </w:r>
      <w:r w:rsidR="008C4C0B" w:rsidRPr="00DB2423">
        <w:t xml:space="preserve">Framework </w:t>
      </w:r>
    </w:p>
    <w:p w:rsidR="004258F8" w:rsidRPr="005F24E5" w:rsidRDefault="004258F8" w:rsidP="005F24E5">
      <w:pPr>
        <w:pStyle w:val="1stheading"/>
        <w:numPr>
          <w:ilvl w:val="0"/>
          <w:numId w:val="0"/>
        </w:numPr>
      </w:pPr>
      <w:r w:rsidRPr="008C4C0B">
        <w:rPr>
          <w:b w:val="0"/>
          <w:sz w:val="24"/>
          <w:szCs w:val="24"/>
        </w:rPr>
        <w:t>To ensure Australian patients have access to safe, effective, and cost-effective innovative medical devices in the private sector by:</w:t>
      </w:r>
    </w:p>
    <w:p w:rsidR="004258F8" w:rsidRPr="005F24E5" w:rsidRDefault="005F24E5" w:rsidP="005F24E5">
      <w:pPr>
        <w:pStyle w:val="1stheading"/>
        <w:numPr>
          <w:ilvl w:val="0"/>
          <w:numId w:val="12"/>
        </w:numPr>
        <w:rPr>
          <w:b w:val="0"/>
          <w:sz w:val="24"/>
          <w:szCs w:val="24"/>
        </w:rPr>
      </w:pPr>
      <w:proofErr w:type="gramStart"/>
      <w:r>
        <w:rPr>
          <w:b w:val="0"/>
          <w:sz w:val="24"/>
          <w:szCs w:val="24"/>
        </w:rPr>
        <w:t>d</w:t>
      </w:r>
      <w:r w:rsidR="004258F8" w:rsidRPr="005F24E5">
        <w:rPr>
          <w:b w:val="0"/>
          <w:sz w:val="24"/>
          <w:szCs w:val="24"/>
        </w:rPr>
        <w:t>eveloping</w:t>
      </w:r>
      <w:proofErr w:type="gramEnd"/>
      <w:r w:rsidR="004258F8" w:rsidRPr="005F24E5">
        <w:rPr>
          <w:b w:val="0"/>
          <w:sz w:val="24"/>
          <w:szCs w:val="24"/>
        </w:rPr>
        <w:t xml:space="preserve"> a revised framework for </w:t>
      </w:r>
      <w:r w:rsidRPr="005F24E5">
        <w:rPr>
          <w:b w:val="0"/>
          <w:sz w:val="24"/>
          <w:szCs w:val="24"/>
        </w:rPr>
        <w:t>benefit</w:t>
      </w:r>
      <w:r w:rsidR="004258F8" w:rsidRPr="005F24E5">
        <w:rPr>
          <w:b w:val="0"/>
          <w:sz w:val="24"/>
          <w:szCs w:val="24"/>
        </w:rPr>
        <w:t xml:space="preserve"> setting and benefit review reflecting the use of health technology assessment (HTA) including evaluation of the value, cost-effectiveness and innovation of medical technology.</w:t>
      </w:r>
    </w:p>
    <w:p w:rsidR="00BD22F9" w:rsidRDefault="001F741B" w:rsidP="00B53031">
      <w:pPr>
        <w:pStyle w:val="1stheading"/>
        <w:numPr>
          <w:ilvl w:val="0"/>
          <w:numId w:val="0"/>
        </w:numPr>
        <w:ind w:left="142"/>
      </w:pPr>
      <w:r w:rsidRPr="001F741B">
        <w:rPr>
          <w:rFonts w:cs="Times New Roman"/>
          <w:b w:val="0"/>
          <w:sz w:val="24"/>
          <w:szCs w:val="24"/>
        </w:rPr>
        <w:t xml:space="preserve">The Industry Working Group will report to the </w:t>
      </w:r>
      <w:r w:rsidR="00770931">
        <w:rPr>
          <w:rFonts w:cs="Times New Roman"/>
          <w:b w:val="0"/>
          <w:i/>
          <w:sz w:val="24"/>
          <w:szCs w:val="24"/>
        </w:rPr>
        <w:t>Prostheses Reform Governance Group</w:t>
      </w:r>
      <w:r w:rsidR="005F24E5">
        <w:rPr>
          <w:rFonts w:cs="Times New Roman"/>
          <w:b w:val="0"/>
          <w:sz w:val="24"/>
          <w:szCs w:val="24"/>
        </w:rPr>
        <w:t xml:space="preserve"> (the Governance Group)</w:t>
      </w:r>
      <w:r w:rsidR="00BD22F9">
        <w:t xml:space="preserve"> </w:t>
      </w:r>
    </w:p>
    <w:p w:rsidR="00BD22F9" w:rsidRPr="00C26FFB" w:rsidRDefault="00BD22F9" w:rsidP="00B53031">
      <w:pPr>
        <w:spacing w:after="120"/>
        <w:ind w:left="142"/>
        <w:jc w:val="both"/>
      </w:pPr>
      <w:r w:rsidRPr="00C26FFB">
        <w:t xml:space="preserve">The Industry Working Group on Revised Benefit Setting and Review Framework </w:t>
      </w:r>
      <w:r w:rsidR="00C26FFB">
        <w:t xml:space="preserve">(the Benefit Setting IWG) </w:t>
      </w:r>
      <w:r w:rsidR="004D1115">
        <w:t xml:space="preserve">will develop and provide a final report to the Minister for Health and MTAA Chairman by </w:t>
      </w:r>
      <w:r w:rsidR="006E40C9">
        <w:t>30 June 2020</w:t>
      </w:r>
      <w:r w:rsidR="00210220">
        <w:t xml:space="preserve"> </w:t>
      </w:r>
      <w:r w:rsidR="00011C3D" w:rsidRPr="00C26FFB">
        <w:t>on</w:t>
      </w:r>
      <w:r w:rsidRPr="00C26FFB">
        <w:t xml:space="preserve"> options for a revised framework for setting and reviewing benefits for</w:t>
      </w:r>
      <w:r w:rsidR="00C26FFB" w:rsidRPr="00C26FFB">
        <w:t xml:space="preserve"> devices on the Prostheses List that will:</w:t>
      </w:r>
    </w:p>
    <w:p w:rsidR="00003743" w:rsidRDefault="00C26FFB" w:rsidP="00F860FD">
      <w:pPr>
        <w:pStyle w:val="ListParagraph"/>
        <w:numPr>
          <w:ilvl w:val="0"/>
          <w:numId w:val="3"/>
        </w:numPr>
        <w:spacing w:after="120"/>
        <w:contextualSpacing w:val="0"/>
        <w:jc w:val="both"/>
      </w:pPr>
      <w:r w:rsidRPr="00C26FFB">
        <w:t xml:space="preserve">promote the sustainability of privately insured healthcare to help </w:t>
      </w:r>
      <w:r w:rsidR="005F24E5">
        <w:t xml:space="preserve">maintain affordability of </w:t>
      </w:r>
      <w:r w:rsidRPr="00C26FFB">
        <w:t>private health insurance for all Australians</w:t>
      </w:r>
    </w:p>
    <w:p w:rsidR="005F24E5" w:rsidRPr="00C26FFB" w:rsidRDefault="005F24E5" w:rsidP="00F860FD">
      <w:pPr>
        <w:pStyle w:val="ListParagraph"/>
        <w:numPr>
          <w:ilvl w:val="0"/>
          <w:numId w:val="3"/>
        </w:numPr>
        <w:spacing w:after="120"/>
        <w:contextualSpacing w:val="0"/>
        <w:jc w:val="both"/>
      </w:pPr>
      <w:r>
        <w:t>minimise patient out-of-pocket costs, thereby protecting the value proposition of private health insurance</w:t>
      </w:r>
    </w:p>
    <w:p w:rsidR="005F24E5" w:rsidRDefault="005F24E5" w:rsidP="005F24E5">
      <w:pPr>
        <w:pStyle w:val="ListParagraph"/>
        <w:numPr>
          <w:ilvl w:val="0"/>
          <w:numId w:val="3"/>
        </w:numPr>
        <w:spacing w:after="120"/>
        <w:contextualSpacing w:val="0"/>
        <w:jc w:val="both"/>
      </w:pPr>
      <w:r>
        <w:t>preserve patient access to the device recommended by their physician</w:t>
      </w:r>
    </w:p>
    <w:p w:rsidR="00C26FFB" w:rsidRPr="00C26FFB" w:rsidRDefault="00C26FFB" w:rsidP="00F860FD">
      <w:pPr>
        <w:pStyle w:val="ListParagraph"/>
        <w:numPr>
          <w:ilvl w:val="0"/>
          <w:numId w:val="3"/>
        </w:numPr>
        <w:spacing w:after="120"/>
        <w:ind w:left="714" w:hanging="357"/>
        <w:contextualSpacing w:val="0"/>
        <w:jc w:val="both"/>
      </w:pPr>
      <w:proofErr w:type="gramStart"/>
      <w:r w:rsidRPr="00C26FFB">
        <w:t>support</w:t>
      </w:r>
      <w:proofErr w:type="gramEnd"/>
      <w:r w:rsidRPr="00C26FFB">
        <w:t xml:space="preserve"> a viable, innovative and diverse medical technology sector in Australia.</w:t>
      </w:r>
    </w:p>
    <w:p w:rsidR="00011C3D" w:rsidRPr="00A71BE9" w:rsidRDefault="008563A9" w:rsidP="00DB2423">
      <w:pPr>
        <w:pStyle w:val="Heading1"/>
      </w:pPr>
      <w:r>
        <w:t>B</w:t>
      </w:r>
      <w:r w:rsidR="006D0AB8">
        <w:t xml:space="preserve">. </w:t>
      </w:r>
      <w:r w:rsidR="00A71BE9">
        <w:t xml:space="preserve"> </w:t>
      </w:r>
      <w:r w:rsidR="00A71BE9">
        <w:tab/>
      </w:r>
      <w:r w:rsidR="00011C3D" w:rsidRPr="006D0AB8">
        <w:t>Function</w:t>
      </w:r>
      <w:r w:rsidR="00011C3D">
        <w:t xml:space="preserve"> </w:t>
      </w:r>
      <w:r w:rsidR="00011C3D" w:rsidRPr="006D0AB8">
        <w:t>of the Industry Working Group on Revised Benefit Setting and Review</w:t>
      </w:r>
      <w:r w:rsidR="00011C3D">
        <w:t xml:space="preserve"> </w:t>
      </w:r>
      <w:r w:rsidR="00011C3D" w:rsidRPr="006D0AB8">
        <w:t xml:space="preserve">Framework </w:t>
      </w:r>
    </w:p>
    <w:p w:rsidR="008E78BA" w:rsidRDefault="006D0AB8" w:rsidP="006D0AB8">
      <w:pPr>
        <w:spacing w:after="120"/>
        <w:jc w:val="both"/>
      </w:pPr>
      <w:r>
        <w:t xml:space="preserve">1.  </w:t>
      </w:r>
      <w:r w:rsidR="008E78BA">
        <w:t>T</w:t>
      </w:r>
      <w:r w:rsidR="00C26FFB">
        <w:t>he</w:t>
      </w:r>
      <w:r w:rsidR="008E78BA">
        <w:t xml:space="preserve"> function of the </w:t>
      </w:r>
      <w:r w:rsidR="00C26FFB">
        <w:t xml:space="preserve">Benefit Setting IWG </w:t>
      </w:r>
      <w:r w:rsidR="008E78BA">
        <w:t>is to review the current framework for benefit setting and benefit review for medical devices under the Prostheses List (PL) to ensure</w:t>
      </w:r>
      <w:r w:rsidR="007F064D">
        <w:t xml:space="preserve"> the future Prostheses List framework</w:t>
      </w:r>
      <w:r w:rsidR="008E78BA">
        <w:t>:</w:t>
      </w:r>
    </w:p>
    <w:p w:rsidR="008E78BA" w:rsidRDefault="008E78BA" w:rsidP="00660B4F">
      <w:pPr>
        <w:pStyle w:val="ListParagraph"/>
        <w:numPr>
          <w:ilvl w:val="0"/>
          <w:numId w:val="23"/>
        </w:numPr>
        <w:spacing w:after="120"/>
        <w:contextualSpacing w:val="0"/>
        <w:jc w:val="both"/>
      </w:pPr>
      <w:r>
        <w:t>is tailored to medical technology</w:t>
      </w:r>
    </w:p>
    <w:p w:rsidR="008E78BA" w:rsidRDefault="007F064D" w:rsidP="00660B4F">
      <w:pPr>
        <w:pStyle w:val="ListParagraph"/>
        <w:numPr>
          <w:ilvl w:val="0"/>
          <w:numId w:val="23"/>
        </w:numPr>
        <w:spacing w:after="120"/>
        <w:contextualSpacing w:val="0"/>
        <w:jc w:val="both"/>
      </w:pPr>
      <w:r>
        <w:t xml:space="preserve">has a </w:t>
      </w:r>
      <w:r w:rsidR="008E78BA">
        <w:t xml:space="preserve">structure and associated processes </w:t>
      </w:r>
      <w:r>
        <w:t xml:space="preserve">that </w:t>
      </w:r>
      <w:r w:rsidR="008E78BA">
        <w:t>are simple, administratively efficient, pragmatic and sustainable</w:t>
      </w:r>
    </w:p>
    <w:p w:rsidR="008E78BA" w:rsidRDefault="008E78BA" w:rsidP="00660B4F">
      <w:pPr>
        <w:pStyle w:val="ListParagraph"/>
        <w:numPr>
          <w:ilvl w:val="0"/>
          <w:numId w:val="23"/>
        </w:numPr>
        <w:spacing w:after="120"/>
        <w:contextualSpacing w:val="0"/>
        <w:jc w:val="both"/>
      </w:pPr>
      <w:r>
        <w:t>is not duplicative of other HTA processes</w:t>
      </w:r>
    </w:p>
    <w:p w:rsidR="000359CA" w:rsidRDefault="000359CA" w:rsidP="00660B4F">
      <w:pPr>
        <w:pStyle w:val="ListParagraph"/>
        <w:numPr>
          <w:ilvl w:val="0"/>
          <w:numId w:val="23"/>
        </w:numPr>
        <w:spacing w:after="120"/>
        <w:contextualSpacing w:val="0"/>
        <w:jc w:val="both"/>
      </w:pPr>
      <w:r>
        <w:t>is informed by robust and relevant evidence, including, for market considerations, credible data</w:t>
      </w:r>
    </w:p>
    <w:p w:rsidR="000359CA" w:rsidRDefault="000359CA" w:rsidP="00660B4F">
      <w:pPr>
        <w:pStyle w:val="ListParagraph"/>
        <w:numPr>
          <w:ilvl w:val="0"/>
          <w:numId w:val="23"/>
        </w:numPr>
        <w:spacing w:after="120"/>
        <w:contextualSpacing w:val="0"/>
        <w:jc w:val="both"/>
      </w:pPr>
      <w:r>
        <w:t>encourages competition</w:t>
      </w:r>
    </w:p>
    <w:p w:rsidR="000359CA" w:rsidRDefault="007F064D" w:rsidP="00660B4F">
      <w:pPr>
        <w:pStyle w:val="ListParagraph"/>
        <w:numPr>
          <w:ilvl w:val="0"/>
          <w:numId w:val="23"/>
        </w:numPr>
        <w:spacing w:after="120"/>
        <w:contextualSpacing w:val="0"/>
        <w:jc w:val="both"/>
      </w:pPr>
      <w:r>
        <w:t xml:space="preserve">is built on </w:t>
      </w:r>
      <w:r w:rsidR="000359CA">
        <w:t>transparent</w:t>
      </w:r>
      <w:r>
        <w:t xml:space="preserve"> processes with</w:t>
      </w:r>
      <w:r w:rsidR="000359CA">
        <w:t xml:space="preserve"> appropriate protections around commercial-in-confidence data</w:t>
      </w:r>
    </w:p>
    <w:p w:rsidR="000359CA" w:rsidRDefault="000359CA" w:rsidP="00660B4F">
      <w:pPr>
        <w:pStyle w:val="ListParagraph"/>
        <w:numPr>
          <w:ilvl w:val="0"/>
          <w:numId w:val="23"/>
        </w:numPr>
        <w:spacing w:after="120"/>
        <w:contextualSpacing w:val="0"/>
        <w:jc w:val="both"/>
      </w:pPr>
      <w:r>
        <w:t>provides flexibility to differentiate between product groups/sub-groups</w:t>
      </w:r>
    </w:p>
    <w:p w:rsidR="000359CA" w:rsidRDefault="000359CA" w:rsidP="00660B4F">
      <w:pPr>
        <w:pStyle w:val="ListParagraph"/>
        <w:numPr>
          <w:ilvl w:val="0"/>
          <w:numId w:val="23"/>
        </w:numPr>
        <w:spacing w:after="120"/>
        <w:contextualSpacing w:val="0"/>
        <w:jc w:val="both"/>
      </w:pPr>
      <w:r>
        <w:t>is compatible with the incorporation of new and cost-effective technologies</w:t>
      </w:r>
    </w:p>
    <w:p w:rsidR="000359CA" w:rsidRDefault="000359CA" w:rsidP="00660B4F">
      <w:pPr>
        <w:pStyle w:val="ListParagraph"/>
        <w:numPr>
          <w:ilvl w:val="0"/>
          <w:numId w:val="23"/>
        </w:numPr>
        <w:spacing w:after="120"/>
        <w:contextualSpacing w:val="0"/>
        <w:jc w:val="both"/>
      </w:pPr>
      <w:proofErr w:type="gramStart"/>
      <w:r>
        <w:t>recognises</w:t>
      </w:r>
      <w:proofErr w:type="gramEnd"/>
      <w:r>
        <w:t xml:space="preserve"> improvements in value.</w:t>
      </w:r>
    </w:p>
    <w:p w:rsidR="00C26FFB" w:rsidRDefault="00540D69" w:rsidP="00540D69">
      <w:pPr>
        <w:spacing w:after="120"/>
        <w:jc w:val="both"/>
      </w:pPr>
      <w:r>
        <w:lastRenderedPageBreak/>
        <w:t xml:space="preserve">2.  </w:t>
      </w:r>
      <w:r w:rsidR="008E78BA">
        <w:t xml:space="preserve">In developing options, the IWG will </w:t>
      </w:r>
      <w:r w:rsidR="00C26FFB">
        <w:t>have regard to:</w:t>
      </w:r>
    </w:p>
    <w:p w:rsidR="00C9066A" w:rsidRDefault="00C9066A" w:rsidP="00660B4F">
      <w:pPr>
        <w:pStyle w:val="ListParagraph"/>
        <w:numPr>
          <w:ilvl w:val="0"/>
          <w:numId w:val="24"/>
        </w:numPr>
        <w:spacing w:after="120"/>
        <w:contextualSpacing w:val="0"/>
        <w:jc w:val="both"/>
      </w:pPr>
      <w:r>
        <w:t>the strengths and weaknesses of the current benefit setting and review framework</w:t>
      </w:r>
    </w:p>
    <w:p w:rsidR="00C9066A" w:rsidRDefault="00C9066A" w:rsidP="00660B4F">
      <w:pPr>
        <w:pStyle w:val="ListParagraph"/>
        <w:numPr>
          <w:ilvl w:val="0"/>
          <w:numId w:val="24"/>
        </w:numPr>
        <w:spacing w:after="120"/>
        <w:contextualSpacing w:val="0"/>
        <w:jc w:val="both"/>
      </w:pPr>
      <w:r>
        <w:t>practicable approaches for demonstrating the cost-benefit of the devices</w:t>
      </w:r>
    </w:p>
    <w:p w:rsidR="00C9066A" w:rsidRDefault="00C9066A" w:rsidP="00660B4F">
      <w:pPr>
        <w:pStyle w:val="ListParagraph"/>
        <w:numPr>
          <w:ilvl w:val="0"/>
          <w:numId w:val="24"/>
        </w:numPr>
        <w:spacing w:after="120"/>
        <w:contextualSpacing w:val="0"/>
        <w:jc w:val="both"/>
      </w:pPr>
      <w:r>
        <w:t>the circumstances under which to apply HTA</w:t>
      </w:r>
    </w:p>
    <w:p w:rsidR="00C9066A" w:rsidRDefault="008C4C0B" w:rsidP="00660B4F">
      <w:pPr>
        <w:pStyle w:val="ListParagraph"/>
        <w:numPr>
          <w:ilvl w:val="0"/>
          <w:numId w:val="24"/>
        </w:numPr>
        <w:spacing w:after="120"/>
        <w:contextualSpacing w:val="0"/>
        <w:jc w:val="both"/>
      </w:pPr>
      <w:r>
        <w:t>h</w:t>
      </w:r>
      <w:r w:rsidR="00C9066A">
        <w:t>ow ‘value’ should be defined in the context of medical devices</w:t>
      </w:r>
    </w:p>
    <w:p w:rsidR="00C9066A" w:rsidRDefault="008C4C0B" w:rsidP="00660B4F">
      <w:pPr>
        <w:pStyle w:val="ListParagraph"/>
        <w:numPr>
          <w:ilvl w:val="0"/>
          <w:numId w:val="24"/>
        </w:numPr>
        <w:spacing w:after="120"/>
        <w:contextualSpacing w:val="0"/>
        <w:jc w:val="both"/>
      </w:pPr>
      <w:r>
        <w:t>h</w:t>
      </w:r>
      <w:r w:rsidR="00C9066A">
        <w:t>ow the following parameters should be assessed:</w:t>
      </w:r>
    </w:p>
    <w:p w:rsidR="00C9066A" w:rsidRDefault="00C9066A" w:rsidP="00660B4F">
      <w:pPr>
        <w:pStyle w:val="ListParagraph"/>
        <w:numPr>
          <w:ilvl w:val="1"/>
          <w:numId w:val="25"/>
        </w:numPr>
        <w:spacing w:after="120"/>
        <w:contextualSpacing w:val="0"/>
        <w:jc w:val="both"/>
      </w:pPr>
      <w:r>
        <w:t>validated patient reported outcome measures</w:t>
      </w:r>
    </w:p>
    <w:p w:rsidR="00C9066A" w:rsidRDefault="00C9066A" w:rsidP="00660B4F">
      <w:pPr>
        <w:pStyle w:val="ListParagraph"/>
        <w:numPr>
          <w:ilvl w:val="1"/>
          <w:numId w:val="25"/>
        </w:numPr>
        <w:spacing w:after="120"/>
        <w:contextualSpacing w:val="0"/>
        <w:jc w:val="both"/>
      </w:pPr>
      <w:r>
        <w:t>substantial equivalence  for the purposes of benefit setting and review</w:t>
      </w:r>
    </w:p>
    <w:p w:rsidR="008E78BA" w:rsidRDefault="00C9066A" w:rsidP="00660B4F">
      <w:pPr>
        <w:pStyle w:val="ListParagraph"/>
        <w:numPr>
          <w:ilvl w:val="1"/>
          <w:numId w:val="25"/>
        </w:numPr>
        <w:spacing w:after="120"/>
        <w:contextualSpacing w:val="0"/>
        <w:jc w:val="both"/>
      </w:pPr>
      <w:r>
        <w:t>superior efficacy or performance over a comparator at the time of benefit setting and also at the time of benefit review</w:t>
      </w:r>
    </w:p>
    <w:p w:rsidR="008E78BA" w:rsidRDefault="008E78BA" w:rsidP="00660B4F">
      <w:pPr>
        <w:pStyle w:val="ListParagraph"/>
        <w:numPr>
          <w:ilvl w:val="0"/>
          <w:numId w:val="24"/>
        </w:numPr>
        <w:spacing w:after="120"/>
        <w:jc w:val="both"/>
      </w:pPr>
      <w:r>
        <w:t>how the framework fosters and encourages innovation</w:t>
      </w:r>
    </w:p>
    <w:p w:rsidR="008E78BA" w:rsidRDefault="008E78BA" w:rsidP="00660B4F">
      <w:pPr>
        <w:pStyle w:val="ListParagraph"/>
        <w:numPr>
          <w:ilvl w:val="0"/>
          <w:numId w:val="24"/>
        </w:numPr>
        <w:spacing w:after="120"/>
        <w:jc w:val="both"/>
      </w:pPr>
      <w:r>
        <w:t>criteria and processes for listing medical technologies that do not fit the definition of Part A of the Prostheses List</w:t>
      </w:r>
    </w:p>
    <w:p w:rsidR="008E78BA" w:rsidRDefault="008E78BA" w:rsidP="00660B4F">
      <w:pPr>
        <w:pStyle w:val="ListParagraph"/>
        <w:numPr>
          <w:ilvl w:val="0"/>
          <w:numId w:val="24"/>
        </w:numPr>
        <w:spacing w:after="120"/>
        <w:jc w:val="both"/>
      </w:pPr>
      <w:r>
        <w:t>the transparency requirements in relation to the assessment of Prostheses List applications</w:t>
      </w:r>
    </w:p>
    <w:p w:rsidR="00420637" w:rsidRDefault="00420637" w:rsidP="00660B4F">
      <w:pPr>
        <w:pStyle w:val="ListParagraph"/>
        <w:numPr>
          <w:ilvl w:val="0"/>
          <w:numId w:val="24"/>
        </w:numPr>
        <w:spacing w:after="120"/>
        <w:jc w:val="both"/>
      </w:pPr>
      <w:r>
        <w:t>mechanisms for reviewing benefits of devices / technologies on the Prostheses List</w:t>
      </w:r>
    </w:p>
    <w:p w:rsidR="008E78BA" w:rsidRDefault="008E78BA" w:rsidP="00660B4F">
      <w:pPr>
        <w:pStyle w:val="ListParagraph"/>
        <w:numPr>
          <w:ilvl w:val="0"/>
          <w:numId w:val="24"/>
        </w:numPr>
        <w:spacing w:after="120"/>
        <w:jc w:val="both"/>
      </w:pPr>
      <w:r>
        <w:t>an appropriate review timetable</w:t>
      </w:r>
    </w:p>
    <w:p w:rsidR="00B85366" w:rsidRDefault="008E78BA" w:rsidP="00660B4F">
      <w:pPr>
        <w:pStyle w:val="ListParagraph"/>
        <w:numPr>
          <w:ilvl w:val="0"/>
          <w:numId w:val="24"/>
        </w:numPr>
        <w:spacing w:after="120"/>
        <w:jc w:val="both"/>
      </w:pPr>
      <w:r>
        <w:t>refining the grouping schemes under the Prostheses List to support a more efficient listing process</w:t>
      </w:r>
    </w:p>
    <w:p w:rsidR="009B23BB" w:rsidRDefault="008E78BA" w:rsidP="00660B4F">
      <w:pPr>
        <w:pStyle w:val="ListParagraph"/>
        <w:numPr>
          <w:ilvl w:val="0"/>
          <w:numId w:val="24"/>
        </w:numPr>
        <w:spacing w:after="120"/>
        <w:jc w:val="both"/>
      </w:pPr>
      <w:r>
        <w:t>transparent review processes for Sponsors</w:t>
      </w:r>
    </w:p>
    <w:p w:rsidR="003E39CB" w:rsidRDefault="009B23BB" w:rsidP="00660B4F">
      <w:pPr>
        <w:pStyle w:val="ListParagraph"/>
        <w:numPr>
          <w:ilvl w:val="0"/>
          <w:numId w:val="24"/>
        </w:numPr>
        <w:spacing w:after="120"/>
        <w:jc w:val="both"/>
      </w:pPr>
      <w:proofErr w:type="gramStart"/>
      <w:r>
        <w:t>the</w:t>
      </w:r>
      <w:proofErr w:type="gramEnd"/>
      <w:r>
        <w:t xml:space="preserve"> role of real world data in benefit setting and benefit review</w:t>
      </w:r>
      <w:r w:rsidR="00F270D6">
        <w:t>.</w:t>
      </w:r>
    </w:p>
    <w:p w:rsidR="007470C9" w:rsidRDefault="00540D69" w:rsidP="00540D69">
      <w:pPr>
        <w:spacing w:after="120"/>
        <w:jc w:val="both"/>
      </w:pPr>
      <w:r>
        <w:t xml:space="preserve">3.  </w:t>
      </w:r>
      <w:r w:rsidR="007470C9">
        <w:t xml:space="preserve">The options developed by the Benefit Setting IWG </w:t>
      </w:r>
      <w:r w:rsidR="00F270D6">
        <w:t>should</w:t>
      </w:r>
      <w:r w:rsidR="007470C9">
        <w:t>:</w:t>
      </w:r>
    </w:p>
    <w:p w:rsidR="00665216" w:rsidRDefault="007470C9" w:rsidP="00660B4F">
      <w:pPr>
        <w:pStyle w:val="ListParagraph"/>
        <w:numPr>
          <w:ilvl w:val="0"/>
          <w:numId w:val="27"/>
        </w:numPr>
        <w:spacing w:after="120"/>
        <w:contextualSpacing w:val="0"/>
        <w:jc w:val="both"/>
      </w:pPr>
      <w:r>
        <w:t xml:space="preserve">improve the </w:t>
      </w:r>
      <w:r w:rsidR="00333370">
        <w:t xml:space="preserve">transparency of </w:t>
      </w:r>
      <w:r w:rsidR="00F270D6">
        <w:t>medical device benefit setting on the Prostheses List</w:t>
      </w:r>
    </w:p>
    <w:p w:rsidR="007470C9" w:rsidRDefault="00665216" w:rsidP="00660B4F">
      <w:pPr>
        <w:pStyle w:val="ListParagraph"/>
        <w:numPr>
          <w:ilvl w:val="0"/>
          <w:numId w:val="27"/>
        </w:numPr>
        <w:spacing w:after="120"/>
        <w:contextualSpacing w:val="0"/>
        <w:jc w:val="both"/>
      </w:pPr>
      <w:r>
        <w:t>support the building of stakeholder and consumer confidence in Prostheses List benefits</w:t>
      </w:r>
    </w:p>
    <w:p w:rsidR="00333370" w:rsidRDefault="00333370" w:rsidP="00660B4F">
      <w:pPr>
        <w:pStyle w:val="ListParagraph"/>
        <w:numPr>
          <w:ilvl w:val="0"/>
          <w:numId w:val="27"/>
        </w:numPr>
        <w:spacing w:after="120"/>
        <w:contextualSpacing w:val="0"/>
        <w:jc w:val="both"/>
      </w:pPr>
      <w:r>
        <w:t>support fair reimbursement to sponsors and suppliers for their products</w:t>
      </w:r>
    </w:p>
    <w:p w:rsidR="00333370" w:rsidRDefault="00333370" w:rsidP="00660B4F">
      <w:pPr>
        <w:pStyle w:val="ListParagraph"/>
        <w:numPr>
          <w:ilvl w:val="0"/>
          <w:numId w:val="27"/>
        </w:numPr>
        <w:spacing w:after="120"/>
        <w:contextualSpacing w:val="0"/>
        <w:jc w:val="both"/>
      </w:pPr>
      <w:r>
        <w:t>support fair reimbursement to hospitals for the costs they incur in providing medical devices to patients</w:t>
      </w:r>
    </w:p>
    <w:p w:rsidR="00333370" w:rsidRDefault="00333370" w:rsidP="00660B4F">
      <w:pPr>
        <w:pStyle w:val="ListParagraph"/>
        <w:numPr>
          <w:ilvl w:val="0"/>
          <w:numId w:val="27"/>
        </w:numPr>
        <w:spacing w:after="120"/>
        <w:contextualSpacing w:val="0"/>
        <w:jc w:val="both"/>
      </w:pPr>
      <w:r>
        <w:t>be manageable and sustainable in terms of costs to operate – the costs will not be disproportionately burdensome for stakeholders</w:t>
      </w:r>
    </w:p>
    <w:p w:rsidR="002031F9" w:rsidRDefault="002031F9" w:rsidP="00660B4F">
      <w:pPr>
        <w:pStyle w:val="ListParagraph"/>
        <w:numPr>
          <w:ilvl w:val="0"/>
          <w:numId w:val="27"/>
        </w:numPr>
        <w:spacing w:after="120"/>
        <w:contextualSpacing w:val="0"/>
        <w:jc w:val="both"/>
      </w:pPr>
      <w:proofErr w:type="gramStart"/>
      <w:r>
        <w:t>include</w:t>
      </w:r>
      <w:proofErr w:type="gramEnd"/>
      <w:r>
        <w:t xml:space="preserve"> a risk assessment, and advise on ease of implementation and potential transition arrangements.</w:t>
      </w:r>
    </w:p>
    <w:p w:rsidR="00540D69" w:rsidRPr="00540D69" w:rsidRDefault="00540D69" w:rsidP="00540D69">
      <w:pPr>
        <w:spacing w:after="120"/>
        <w:jc w:val="both"/>
      </w:pPr>
      <w:r w:rsidRPr="00540D69">
        <w:t>4.  Stakeholders will be consulted during the development of the report.</w:t>
      </w:r>
    </w:p>
    <w:p w:rsidR="00333370" w:rsidRDefault="008563A9" w:rsidP="00DB2423">
      <w:pPr>
        <w:pStyle w:val="Heading1"/>
      </w:pPr>
      <w:r>
        <w:t>C</w:t>
      </w:r>
      <w:r w:rsidR="006D0AB8">
        <w:t xml:space="preserve">.  </w:t>
      </w:r>
      <w:r w:rsidR="00333370">
        <w:t>Role of members</w:t>
      </w:r>
    </w:p>
    <w:p w:rsidR="00333370" w:rsidRPr="00EA42A0" w:rsidRDefault="00333370" w:rsidP="00D94E1B">
      <w:pPr>
        <w:pStyle w:val="NormalItalics"/>
        <w:tabs>
          <w:tab w:val="left" w:pos="142"/>
        </w:tabs>
        <w:spacing w:line="276" w:lineRule="auto"/>
        <w:ind w:left="0"/>
        <w:jc w:val="both"/>
        <w:rPr>
          <w:rFonts w:ascii="Calibri" w:hAnsi="Calibri"/>
          <w:i w:val="0"/>
          <w:iCs w:val="0"/>
        </w:rPr>
      </w:pPr>
      <w:r w:rsidRPr="00EA42A0">
        <w:rPr>
          <w:rFonts w:ascii="Calibri" w:hAnsi="Calibri"/>
          <w:i w:val="0"/>
          <w:iCs w:val="0"/>
        </w:rPr>
        <w:t xml:space="preserve">The individual members of the </w:t>
      </w:r>
      <w:r>
        <w:rPr>
          <w:rFonts w:ascii="Calibri" w:hAnsi="Calibri"/>
          <w:i w:val="0"/>
          <w:iCs w:val="0"/>
        </w:rPr>
        <w:t>Benefit Setting IWG will</w:t>
      </w:r>
      <w:r w:rsidRPr="00EA42A0">
        <w:rPr>
          <w:rFonts w:ascii="Calibri" w:hAnsi="Calibri"/>
          <w:i w:val="0"/>
          <w:iCs w:val="0"/>
        </w:rPr>
        <w:t>:</w:t>
      </w:r>
    </w:p>
    <w:p w:rsidR="00333370" w:rsidRDefault="00333370" w:rsidP="00F860FD">
      <w:pPr>
        <w:numPr>
          <w:ilvl w:val="0"/>
          <w:numId w:val="6"/>
        </w:numPr>
        <w:tabs>
          <w:tab w:val="clear" w:pos="1440"/>
          <w:tab w:val="num" w:pos="709"/>
        </w:tabs>
        <w:spacing w:line="276" w:lineRule="auto"/>
        <w:ind w:left="709" w:hanging="283"/>
        <w:jc w:val="both"/>
        <w:rPr>
          <w:rFonts w:cs="Arial"/>
        </w:rPr>
      </w:pPr>
      <w:r w:rsidRPr="00EA42A0">
        <w:rPr>
          <w:rFonts w:cs="Arial"/>
        </w:rPr>
        <w:t>attend meetings as required  and actively participat</w:t>
      </w:r>
      <w:r w:rsidR="00D94E1B">
        <w:rPr>
          <w:rFonts w:cs="Arial"/>
        </w:rPr>
        <w:t>e</w:t>
      </w:r>
      <w:r w:rsidR="007E3D5C">
        <w:rPr>
          <w:rFonts w:cs="Arial"/>
        </w:rPr>
        <w:t xml:space="preserve"> in the group’s work</w:t>
      </w:r>
    </w:p>
    <w:p w:rsidR="00333370" w:rsidRDefault="00333370" w:rsidP="00F860FD">
      <w:pPr>
        <w:numPr>
          <w:ilvl w:val="0"/>
          <w:numId w:val="6"/>
        </w:numPr>
        <w:tabs>
          <w:tab w:val="clear" w:pos="1440"/>
          <w:tab w:val="num" w:pos="709"/>
        </w:tabs>
        <w:spacing w:line="276" w:lineRule="auto"/>
        <w:ind w:left="709" w:hanging="283"/>
        <w:jc w:val="both"/>
        <w:rPr>
          <w:rFonts w:cs="Arial"/>
        </w:rPr>
      </w:pPr>
      <w:r>
        <w:rPr>
          <w:rFonts w:cs="Arial"/>
        </w:rPr>
        <w:t>provide</w:t>
      </w:r>
      <w:r w:rsidRPr="00265A57">
        <w:rPr>
          <w:rFonts w:cs="Arial"/>
        </w:rPr>
        <w:t xml:space="preserve"> complete, accu</w:t>
      </w:r>
      <w:r>
        <w:rPr>
          <w:rFonts w:cs="Arial"/>
        </w:rPr>
        <w:t xml:space="preserve">rate and meaningful information </w:t>
      </w:r>
      <w:r w:rsidRPr="00265A57">
        <w:rPr>
          <w:rFonts w:cs="Arial"/>
        </w:rPr>
        <w:t>in a timely</w:t>
      </w:r>
      <w:r>
        <w:rPr>
          <w:rFonts w:cs="Arial"/>
        </w:rPr>
        <w:t xml:space="preserve"> </w:t>
      </w:r>
      <w:r w:rsidRPr="00265A57">
        <w:rPr>
          <w:rFonts w:cs="Arial"/>
        </w:rPr>
        <w:t>manner</w:t>
      </w:r>
    </w:p>
    <w:p w:rsidR="00333370" w:rsidRPr="00265A57" w:rsidRDefault="00333370" w:rsidP="00F860FD">
      <w:pPr>
        <w:numPr>
          <w:ilvl w:val="0"/>
          <w:numId w:val="6"/>
        </w:numPr>
        <w:tabs>
          <w:tab w:val="clear" w:pos="1440"/>
          <w:tab w:val="num" w:pos="709"/>
        </w:tabs>
        <w:spacing w:line="276" w:lineRule="auto"/>
        <w:ind w:left="709" w:hanging="283"/>
        <w:jc w:val="both"/>
        <w:rPr>
          <w:rFonts w:cs="Arial"/>
        </w:rPr>
      </w:pPr>
      <w:r>
        <w:rPr>
          <w:rFonts w:cs="Arial"/>
        </w:rPr>
        <w:t xml:space="preserve">participate </w:t>
      </w:r>
      <w:r w:rsidRPr="00265A57">
        <w:rPr>
          <w:rFonts w:cs="Arial"/>
        </w:rPr>
        <w:t>open</w:t>
      </w:r>
      <w:r>
        <w:rPr>
          <w:rFonts w:cs="Arial"/>
        </w:rPr>
        <w:t>ly</w:t>
      </w:r>
      <w:r w:rsidRPr="00265A57">
        <w:rPr>
          <w:rFonts w:cs="Arial"/>
        </w:rPr>
        <w:t xml:space="preserve"> and honest</w:t>
      </w:r>
      <w:r>
        <w:rPr>
          <w:rFonts w:cs="Arial"/>
        </w:rPr>
        <w:t>ly</w:t>
      </w:r>
      <w:r w:rsidRPr="00265A57">
        <w:rPr>
          <w:rFonts w:cs="Arial"/>
        </w:rPr>
        <w:t xml:space="preserve"> </w:t>
      </w:r>
      <w:r w:rsidR="007E3D5C">
        <w:rPr>
          <w:rFonts w:cs="Arial"/>
        </w:rPr>
        <w:t>in discussions</w:t>
      </w:r>
    </w:p>
    <w:p w:rsidR="00333370" w:rsidRDefault="00333370" w:rsidP="00F860FD">
      <w:pPr>
        <w:pStyle w:val="NormalItalics"/>
        <w:numPr>
          <w:ilvl w:val="0"/>
          <w:numId w:val="6"/>
        </w:numPr>
        <w:tabs>
          <w:tab w:val="clear" w:pos="1440"/>
          <w:tab w:val="num" w:pos="709"/>
        </w:tabs>
        <w:spacing w:before="0" w:after="0" w:line="276" w:lineRule="auto"/>
        <w:ind w:left="709" w:hanging="283"/>
        <w:jc w:val="both"/>
        <w:rPr>
          <w:rFonts w:ascii="Calibri" w:hAnsi="Calibri" w:cs="Arial"/>
          <w:i w:val="0"/>
          <w:iCs w:val="0"/>
        </w:rPr>
      </w:pPr>
      <w:r>
        <w:rPr>
          <w:rFonts w:ascii="Calibri" w:hAnsi="Calibri" w:cs="Arial"/>
          <w:i w:val="0"/>
          <w:iCs w:val="0"/>
        </w:rPr>
        <w:t xml:space="preserve">act in the interests of all </w:t>
      </w:r>
      <w:r w:rsidR="007E3D5C">
        <w:rPr>
          <w:rFonts w:ascii="Calibri" w:hAnsi="Calibri" w:cs="Arial"/>
          <w:i w:val="0"/>
          <w:iCs w:val="0"/>
        </w:rPr>
        <w:t>stakeholders</w:t>
      </w:r>
    </w:p>
    <w:p w:rsidR="00333370" w:rsidRPr="00EA42A0" w:rsidRDefault="00333370" w:rsidP="00F860FD">
      <w:pPr>
        <w:pStyle w:val="NormalItalics"/>
        <w:numPr>
          <w:ilvl w:val="0"/>
          <w:numId w:val="6"/>
        </w:numPr>
        <w:tabs>
          <w:tab w:val="clear" w:pos="1440"/>
          <w:tab w:val="num" w:pos="709"/>
        </w:tabs>
        <w:spacing w:before="0" w:after="0" w:line="276" w:lineRule="auto"/>
        <w:ind w:left="709" w:hanging="283"/>
        <w:jc w:val="both"/>
        <w:rPr>
          <w:rFonts w:ascii="Calibri" w:hAnsi="Calibri" w:cs="Arial"/>
          <w:i w:val="0"/>
          <w:iCs w:val="0"/>
        </w:rPr>
      </w:pPr>
      <w:r>
        <w:rPr>
          <w:rFonts w:ascii="Calibri" w:hAnsi="Calibri" w:cs="Arial"/>
          <w:i w:val="0"/>
          <w:iCs w:val="0"/>
        </w:rPr>
        <w:t>conduct themselves appropriately as representatives of thei</w:t>
      </w:r>
      <w:r w:rsidR="007E3D5C">
        <w:rPr>
          <w:rFonts w:ascii="Calibri" w:hAnsi="Calibri" w:cs="Arial"/>
          <w:i w:val="0"/>
          <w:iCs w:val="0"/>
        </w:rPr>
        <w:t>r stakeholder organisations</w:t>
      </w:r>
    </w:p>
    <w:p w:rsidR="00333370" w:rsidRDefault="00333370" w:rsidP="00F860FD">
      <w:pPr>
        <w:pStyle w:val="NormalItalics"/>
        <w:numPr>
          <w:ilvl w:val="0"/>
          <w:numId w:val="6"/>
        </w:numPr>
        <w:tabs>
          <w:tab w:val="clear" w:pos="1440"/>
          <w:tab w:val="num" w:pos="709"/>
        </w:tabs>
        <w:spacing w:before="0" w:after="0" w:line="276" w:lineRule="auto"/>
        <w:ind w:left="709" w:hanging="283"/>
        <w:jc w:val="both"/>
        <w:rPr>
          <w:rFonts w:ascii="Calibri" w:hAnsi="Calibri" w:cs="Arial"/>
          <w:i w:val="0"/>
          <w:iCs w:val="0"/>
        </w:rPr>
      </w:pPr>
      <w:proofErr w:type="gramStart"/>
      <w:r>
        <w:rPr>
          <w:rFonts w:ascii="Calibri" w:hAnsi="Calibri" w:cs="Arial"/>
          <w:i w:val="0"/>
          <w:iCs w:val="0"/>
        </w:rPr>
        <w:lastRenderedPageBreak/>
        <w:t>demonstrate</w:t>
      </w:r>
      <w:proofErr w:type="gramEnd"/>
      <w:r>
        <w:rPr>
          <w:rFonts w:ascii="Calibri" w:hAnsi="Calibri" w:cs="Arial"/>
          <w:i w:val="0"/>
          <w:iCs w:val="0"/>
        </w:rPr>
        <w:t xml:space="preserve"> genuine interest in, and commitment to, </w:t>
      </w:r>
      <w:r w:rsidRPr="00EA42A0">
        <w:rPr>
          <w:rFonts w:ascii="Calibri" w:hAnsi="Calibri" w:cs="Arial"/>
          <w:i w:val="0"/>
          <w:iCs w:val="0"/>
        </w:rPr>
        <w:t>the initiatives and th</w:t>
      </w:r>
      <w:r>
        <w:rPr>
          <w:rFonts w:ascii="Calibri" w:hAnsi="Calibri" w:cs="Arial"/>
          <w:i w:val="0"/>
          <w:iCs w:val="0"/>
        </w:rPr>
        <w:t>e outcomes being pursued.</w:t>
      </w:r>
    </w:p>
    <w:p w:rsidR="00A23132" w:rsidRPr="00B96D4D" w:rsidRDefault="008563A9" w:rsidP="00B96D4D">
      <w:pPr>
        <w:pStyle w:val="Heading2"/>
        <w:tabs>
          <w:tab w:val="num" w:pos="720"/>
        </w:tabs>
        <w:spacing w:before="0" w:after="120"/>
        <w:ind w:left="720" w:hanging="720"/>
        <w:jc w:val="both"/>
        <w:rPr>
          <w:rFonts w:ascii="Calibri" w:hAnsi="Calibri"/>
          <w:i w:val="0"/>
          <w:iCs w:val="0"/>
          <w:szCs w:val="24"/>
        </w:rPr>
      </w:pPr>
      <w:r w:rsidRPr="00B96D4D">
        <w:rPr>
          <w:rFonts w:ascii="Calibri" w:hAnsi="Calibri"/>
          <w:i w:val="0"/>
          <w:iCs w:val="0"/>
          <w:szCs w:val="24"/>
        </w:rPr>
        <w:t>C</w:t>
      </w:r>
      <w:r w:rsidR="00A23132" w:rsidRPr="00B96D4D">
        <w:rPr>
          <w:rFonts w:ascii="Calibri" w:hAnsi="Calibri"/>
          <w:i w:val="0"/>
          <w:iCs w:val="0"/>
          <w:szCs w:val="24"/>
        </w:rPr>
        <w:t>1. Disclosure of Information</w:t>
      </w:r>
    </w:p>
    <w:p w:rsidR="00A23132" w:rsidRPr="00190DB6" w:rsidRDefault="00A23132" w:rsidP="00A23132">
      <w:pPr>
        <w:rPr>
          <w:szCs w:val="22"/>
        </w:rPr>
      </w:pPr>
      <w:r w:rsidRPr="00190DB6">
        <w:rPr>
          <w:szCs w:val="22"/>
        </w:rPr>
        <w:t>The business of the IWG is Committee-in-Confidence.</w:t>
      </w:r>
      <w:r>
        <w:rPr>
          <w:szCs w:val="22"/>
        </w:rPr>
        <w:t xml:space="preserve">  </w:t>
      </w:r>
      <w:r w:rsidRPr="00190DB6">
        <w:rPr>
          <w:szCs w:val="22"/>
        </w:rPr>
        <w:t>Documents such as briefs, minutes and spreadsheets are circulated to Members for the purposes of performing their roles and functions. Members must not disseminate or discuss such documents with others outside the Committee Membership.</w:t>
      </w:r>
    </w:p>
    <w:p w:rsidR="00F26E0E" w:rsidRPr="00101501" w:rsidRDefault="00A23132" w:rsidP="00101501">
      <w:pPr>
        <w:rPr>
          <w:szCs w:val="22"/>
        </w:rPr>
      </w:pPr>
      <w:r w:rsidRPr="00190DB6">
        <w:rPr>
          <w:szCs w:val="22"/>
        </w:rPr>
        <w:t xml:space="preserve">Discussions in meetings are also confidential, and Members must not discuss issues raised outside the Committee </w:t>
      </w:r>
      <w:r w:rsidRPr="00F26E0E">
        <w:rPr>
          <w:szCs w:val="22"/>
        </w:rPr>
        <w:t>membership unless the Chair has agreed that the information may be discussed for consultation purposes.</w:t>
      </w:r>
      <w:bookmarkStart w:id="1" w:name="_Toc491936871"/>
    </w:p>
    <w:p w:rsidR="00A23132" w:rsidRPr="00B96D4D" w:rsidRDefault="008563A9" w:rsidP="00101501">
      <w:pPr>
        <w:pStyle w:val="Heading2"/>
        <w:tabs>
          <w:tab w:val="num" w:pos="720"/>
        </w:tabs>
        <w:spacing w:after="120"/>
        <w:ind w:left="720" w:hanging="720"/>
        <w:jc w:val="both"/>
        <w:rPr>
          <w:rFonts w:ascii="Calibri" w:hAnsi="Calibri"/>
          <w:i w:val="0"/>
          <w:iCs w:val="0"/>
          <w:szCs w:val="24"/>
        </w:rPr>
      </w:pPr>
      <w:r w:rsidRPr="00B96D4D">
        <w:rPr>
          <w:rFonts w:ascii="Calibri" w:hAnsi="Calibri"/>
          <w:i w:val="0"/>
          <w:iCs w:val="0"/>
          <w:szCs w:val="24"/>
        </w:rPr>
        <w:t>C</w:t>
      </w:r>
      <w:r w:rsidR="00A23132" w:rsidRPr="00B96D4D">
        <w:rPr>
          <w:rFonts w:ascii="Calibri" w:hAnsi="Calibri"/>
          <w:i w:val="0"/>
          <w:iCs w:val="0"/>
          <w:szCs w:val="24"/>
        </w:rPr>
        <w:t>2.  Deed of Undertaking</w:t>
      </w:r>
      <w:bookmarkEnd w:id="1"/>
    </w:p>
    <w:p w:rsidR="00A23132" w:rsidRPr="00434A70" w:rsidRDefault="00A23132" w:rsidP="00A23132">
      <w:pPr>
        <w:rPr>
          <w:i/>
          <w:szCs w:val="22"/>
        </w:rPr>
      </w:pPr>
      <w:r w:rsidRPr="00434A70">
        <w:rPr>
          <w:szCs w:val="22"/>
        </w:rPr>
        <w:t xml:space="preserve">Prior to commencement of their official duties, committee members are asked to read and sign a </w:t>
      </w:r>
      <w:r w:rsidRPr="00434A70">
        <w:rPr>
          <w:i/>
          <w:szCs w:val="22"/>
        </w:rPr>
        <w:t xml:space="preserve">Deed of Undertaking in Relation to Confidential Information and Conflict of Interest </w:t>
      </w:r>
    </w:p>
    <w:p w:rsidR="00A23132" w:rsidRPr="00434A70" w:rsidRDefault="00A23132" w:rsidP="00A23132">
      <w:pPr>
        <w:rPr>
          <w:szCs w:val="22"/>
        </w:rPr>
      </w:pPr>
      <w:r w:rsidRPr="00434A70">
        <w:rPr>
          <w:szCs w:val="22"/>
        </w:rPr>
        <w:t>(</w:t>
      </w:r>
      <w:proofErr w:type="gramStart"/>
      <w:r w:rsidRPr="00434A70">
        <w:rPr>
          <w:szCs w:val="22"/>
        </w:rPr>
        <w:t>attached</w:t>
      </w:r>
      <w:proofErr w:type="gramEnd"/>
      <w:r w:rsidRPr="00434A70">
        <w:rPr>
          <w:szCs w:val="22"/>
        </w:rPr>
        <w:t>). In signing this Deed Poll, members have agreed to the outlined definitions of Conflict of Interest, as well as to adhere to the confidentiality requirements for the information being handled by the committee.</w:t>
      </w:r>
    </w:p>
    <w:p w:rsidR="00A23132" w:rsidRPr="00434A70" w:rsidRDefault="00A23132" w:rsidP="00A23132">
      <w:pPr>
        <w:rPr>
          <w:szCs w:val="22"/>
        </w:rPr>
      </w:pPr>
    </w:p>
    <w:p w:rsidR="00A23132" w:rsidRPr="00434A70" w:rsidRDefault="00A23132" w:rsidP="00A23132">
      <w:pPr>
        <w:rPr>
          <w:szCs w:val="22"/>
        </w:rPr>
      </w:pPr>
      <w:r w:rsidRPr="00434A70">
        <w:rPr>
          <w:szCs w:val="22"/>
        </w:rPr>
        <w:t xml:space="preserve">In particular, members are obliged to keep secret and confidential all Confidential Information and ensure that they do not directly or indirectly disclose Committee-in-Confidence information to any person outside the Committee. </w:t>
      </w:r>
    </w:p>
    <w:p w:rsidR="00A23132" w:rsidRPr="00434A70" w:rsidRDefault="00A23132" w:rsidP="00A23132">
      <w:pPr>
        <w:rPr>
          <w:szCs w:val="22"/>
        </w:rPr>
      </w:pPr>
    </w:p>
    <w:p w:rsidR="00A23132" w:rsidRPr="00434A70" w:rsidRDefault="00A23132" w:rsidP="00A23132">
      <w:pPr>
        <w:rPr>
          <w:szCs w:val="22"/>
        </w:rPr>
      </w:pPr>
      <w:r w:rsidRPr="00434A70">
        <w:rPr>
          <w:szCs w:val="22"/>
        </w:rPr>
        <w:t xml:space="preserve">In signing the Deed Poll, members have understood and acknowledged that any unauthorised use or disclosure of Confidential Information may make him or her liable for prosecution under the laws of the Commonwealth. </w:t>
      </w:r>
    </w:p>
    <w:p w:rsidR="00333370" w:rsidRDefault="008563A9" w:rsidP="00DB2423">
      <w:pPr>
        <w:pStyle w:val="Heading1"/>
      </w:pPr>
      <w:r>
        <w:t>D</w:t>
      </w:r>
      <w:r w:rsidR="006D0AB8">
        <w:t xml:space="preserve">. </w:t>
      </w:r>
      <w:r w:rsidR="00665216">
        <w:t>Membership</w:t>
      </w:r>
    </w:p>
    <w:p w:rsidR="00665216" w:rsidRPr="003E39CB" w:rsidRDefault="00665216" w:rsidP="00F860FD">
      <w:pPr>
        <w:pStyle w:val="NormalItalics"/>
        <w:spacing w:line="276" w:lineRule="auto"/>
        <w:ind w:left="0"/>
        <w:jc w:val="both"/>
        <w:rPr>
          <w:rFonts w:ascii="Calibri" w:hAnsi="Calibri"/>
          <w:i w:val="0"/>
          <w:iCs w:val="0"/>
        </w:rPr>
      </w:pPr>
      <w:r w:rsidRPr="003E39CB">
        <w:rPr>
          <w:rFonts w:ascii="Calibri" w:hAnsi="Calibri"/>
          <w:i w:val="0"/>
          <w:iCs w:val="0"/>
        </w:rPr>
        <w:t>The Benefit Setting IWG will be comprised of:</w:t>
      </w:r>
    </w:p>
    <w:p w:rsidR="00665216" w:rsidRDefault="0033748C" w:rsidP="00F860FD">
      <w:pPr>
        <w:numPr>
          <w:ilvl w:val="0"/>
          <w:numId w:val="6"/>
        </w:numPr>
        <w:tabs>
          <w:tab w:val="clear" w:pos="1440"/>
          <w:tab w:val="num" w:pos="709"/>
        </w:tabs>
        <w:spacing w:line="276" w:lineRule="auto"/>
        <w:ind w:left="709" w:hanging="283"/>
        <w:jc w:val="both"/>
        <w:rPr>
          <w:rFonts w:cs="Arial"/>
        </w:rPr>
      </w:pPr>
      <w:r w:rsidRPr="003E39CB">
        <w:rPr>
          <w:rFonts w:cs="Arial"/>
        </w:rPr>
        <w:t xml:space="preserve">Emeritus Professor Terry Campbell </w:t>
      </w:r>
      <w:r w:rsidR="005A1F7A">
        <w:rPr>
          <w:rFonts w:cs="Arial"/>
        </w:rPr>
        <w:t xml:space="preserve">AM </w:t>
      </w:r>
      <w:r w:rsidRPr="003E39CB">
        <w:rPr>
          <w:rFonts w:cs="Arial"/>
        </w:rPr>
        <w:t>(Chair)</w:t>
      </w:r>
    </w:p>
    <w:p w:rsidR="001D5D8E" w:rsidRPr="003E39CB" w:rsidRDefault="001D5D8E" w:rsidP="00F860FD">
      <w:pPr>
        <w:numPr>
          <w:ilvl w:val="0"/>
          <w:numId w:val="6"/>
        </w:numPr>
        <w:tabs>
          <w:tab w:val="clear" w:pos="1440"/>
          <w:tab w:val="num" w:pos="709"/>
        </w:tabs>
        <w:spacing w:line="276" w:lineRule="auto"/>
        <w:ind w:left="709" w:hanging="283"/>
        <w:jc w:val="both"/>
        <w:rPr>
          <w:rFonts w:cs="Arial"/>
        </w:rPr>
      </w:pPr>
      <w:r>
        <w:rPr>
          <w:rFonts w:cs="Arial"/>
        </w:rPr>
        <w:t>Dr Megan Keaney, Department of Health</w:t>
      </w:r>
    </w:p>
    <w:p w:rsidR="00075300" w:rsidRDefault="00286F5C" w:rsidP="00F860FD">
      <w:pPr>
        <w:numPr>
          <w:ilvl w:val="0"/>
          <w:numId w:val="6"/>
        </w:numPr>
        <w:tabs>
          <w:tab w:val="clear" w:pos="1440"/>
          <w:tab w:val="num" w:pos="709"/>
        </w:tabs>
        <w:spacing w:line="276" w:lineRule="auto"/>
        <w:ind w:left="709" w:hanging="283"/>
        <w:jc w:val="both"/>
        <w:rPr>
          <w:rFonts w:cs="Arial"/>
        </w:rPr>
      </w:pPr>
      <w:r w:rsidRPr="00075300">
        <w:rPr>
          <w:rFonts w:cs="Arial"/>
        </w:rPr>
        <w:t xml:space="preserve">Mr </w:t>
      </w:r>
      <w:r w:rsidR="00DF04CB">
        <w:rPr>
          <w:rFonts w:cs="Arial"/>
        </w:rPr>
        <w:t xml:space="preserve">Matt </w:t>
      </w:r>
      <w:proofErr w:type="spellStart"/>
      <w:r w:rsidR="00DF04CB">
        <w:rPr>
          <w:rFonts w:cs="Arial"/>
        </w:rPr>
        <w:t>Muscio</w:t>
      </w:r>
      <w:proofErr w:type="spellEnd"/>
      <w:r w:rsidR="00DF04CB">
        <w:rPr>
          <w:rFonts w:cs="Arial"/>
        </w:rPr>
        <w:t xml:space="preserve">, </w:t>
      </w:r>
      <w:proofErr w:type="spellStart"/>
      <w:r w:rsidR="00DF04CB">
        <w:rPr>
          <w:rFonts w:cs="Arial"/>
        </w:rPr>
        <w:t>LifeHealthcare</w:t>
      </w:r>
      <w:proofErr w:type="spellEnd"/>
      <w:r w:rsidRPr="00075300">
        <w:rPr>
          <w:rFonts w:cs="Arial"/>
        </w:rPr>
        <w:t xml:space="preserve"> </w:t>
      </w:r>
    </w:p>
    <w:p w:rsidR="00895433" w:rsidRDefault="00895433" w:rsidP="00F860FD">
      <w:pPr>
        <w:numPr>
          <w:ilvl w:val="0"/>
          <w:numId w:val="6"/>
        </w:numPr>
        <w:tabs>
          <w:tab w:val="clear" w:pos="1440"/>
          <w:tab w:val="num" w:pos="709"/>
        </w:tabs>
        <w:spacing w:line="276" w:lineRule="auto"/>
        <w:ind w:left="709" w:hanging="283"/>
        <w:jc w:val="both"/>
        <w:rPr>
          <w:rFonts w:cs="Arial"/>
        </w:rPr>
      </w:pPr>
      <w:r>
        <w:rPr>
          <w:rFonts w:cs="Arial"/>
        </w:rPr>
        <w:t>Mr Paul Dale, MTAA</w:t>
      </w:r>
    </w:p>
    <w:p w:rsidR="00075300" w:rsidRDefault="00286F5C" w:rsidP="00F860FD">
      <w:pPr>
        <w:numPr>
          <w:ilvl w:val="0"/>
          <w:numId w:val="6"/>
        </w:numPr>
        <w:tabs>
          <w:tab w:val="clear" w:pos="1440"/>
          <w:tab w:val="num" w:pos="709"/>
        </w:tabs>
        <w:spacing w:line="276" w:lineRule="auto"/>
        <w:ind w:left="709" w:hanging="283"/>
        <w:jc w:val="both"/>
        <w:rPr>
          <w:rFonts w:cs="Arial"/>
        </w:rPr>
      </w:pPr>
      <w:r w:rsidRPr="00075300">
        <w:rPr>
          <w:rFonts w:cs="Arial"/>
        </w:rPr>
        <w:t xml:space="preserve">Mr </w:t>
      </w:r>
      <w:r w:rsidR="00AA5853">
        <w:rPr>
          <w:rFonts w:cs="Arial"/>
        </w:rPr>
        <w:t>Andrew Wiltshire</w:t>
      </w:r>
      <w:r w:rsidRPr="00075300">
        <w:rPr>
          <w:rFonts w:cs="Arial"/>
        </w:rPr>
        <w:t xml:space="preserve">, </w:t>
      </w:r>
      <w:r w:rsidR="00AA5853">
        <w:rPr>
          <w:rFonts w:cs="Arial"/>
        </w:rPr>
        <w:t>Medtronic</w:t>
      </w:r>
      <w:r w:rsidRPr="00075300">
        <w:rPr>
          <w:rFonts w:cs="Arial"/>
        </w:rPr>
        <w:t xml:space="preserve"> </w:t>
      </w:r>
    </w:p>
    <w:p w:rsidR="00286F5C" w:rsidRDefault="00286F5C" w:rsidP="00F860FD">
      <w:pPr>
        <w:numPr>
          <w:ilvl w:val="0"/>
          <w:numId w:val="6"/>
        </w:numPr>
        <w:tabs>
          <w:tab w:val="clear" w:pos="1440"/>
          <w:tab w:val="num" w:pos="709"/>
        </w:tabs>
        <w:spacing w:line="276" w:lineRule="auto"/>
        <w:ind w:left="709" w:hanging="283"/>
        <w:jc w:val="both"/>
        <w:rPr>
          <w:rFonts w:cs="Arial"/>
        </w:rPr>
      </w:pPr>
      <w:r>
        <w:rPr>
          <w:rFonts w:cs="Arial"/>
        </w:rPr>
        <w:t>Mr Ian Noble, Noble Pharma Consulting</w:t>
      </w:r>
    </w:p>
    <w:p w:rsidR="00286F5C" w:rsidRDefault="00286F5C" w:rsidP="00286F5C">
      <w:pPr>
        <w:numPr>
          <w:ilvl w:val="0"/>
          <w:numId w:val="6"/>
        </w:numPr>
        <w:tabs>
          <w:tab w:val="clear" w:pos="1440"/>
          <w:tab w:val="num" w:pos="709"/>
        </w:tabs>
        <w:spacing w:line="276" w:lineRule="auto"/>
        <w:ind w:left="709" w:hanging="283"/>
        <w:jc w:val="both"/>
        <w:rPr>
          <w:rFonts w:cs="Arial"/>
        </w:rPr>
      </w:pPr>
      <w:r>
        <w:rPr>
          <w:rFonts w:cs="Arial"/>
        </w:rPr>
        <w:t xml:space="preserve">Ms Sarah Griffin, </w:t>
      </w:r>
      <w:proofErr w:type="spellStart"/>
      <w:r>
        <w:rPr>
          <w:rFonts w:cs="Arial"/>
        </w:rPr>
        <w:t>Medtechnique</w:t>
      </w:r>
      <w:proofErr w:type="spellEnd"/>
      <w:r>
        <w:rPr>
          <w:rFonts w:cs="Arial"/>
        </w:rPr>
        <w:t xml:space="preserve"> </w:t>
      </w:r>
    </w:p>
    <w:p w:rsidR="0033748C" w:rsidRDefault="00D51690" w:rsidP="00F860FD">
      <w:pPr>
        <w:numPr>
          <w:ilvl w:val="0"/>
          <w:numId w:val="6"/>
        </w:numPr>
        <w:tabs>
          <w:tab w:val="clear" w:pos="1440"/>
          <w:tab w:val="num" w:pos="709"/>
        </w:tabs>
        <w:spacing w:line="276" w:lineRule="auto"/>
        <w:ind w:left="709" w:hanging="283"/>
        <w:jc w:val="both"/>
        <w:rPr>
          <w:rFonts w:cs="Arial"/>
        </w:rPr>
      </w:pPr>
      <w:r>
        <w:rPr>
          <w:rFonts w:cs="Arial"/>
        </w:rPr>
        <w:t>Mr Paul Suebwongpat,</w:t>
      </w:r>
      <w:r w:rsidR="0033748C" w:rsidRPr="003E39CB">
        <w:rPr>
          <w:rFonts w:cs="Arial"/>
        </w:rPr>
        <w:t xml:space="preserve"> </w:t>
      </w:r>
      <w:r w:rsidR="001F6CC7">
        <w:rPr>
          <w:rFonts w:cs="Arial"/>
        </w:rPr>
        <w:t>Cochlear Limited</w:t>
      </w:r>
    </w:p>
    <w:p w:rsidR="001F6CC7" w:rsidRPr="004E1234" w:rsidRDefault="00075300" w:rsidP="00F860FD">
      <w:pPr>
        <w:numPr>
          <w:ilvl w:val="0"/>
          <w:numId w:val="6"/>
        </w:numPr>
        <w:tabs>
          <w:tab w:val="clear" w:pos="1440"/>
          <w:tab w:val="num" w:pos="709"/>
        </w:tabs>
        <w:spacing w:line="276" w:lineRule="auto"/>
        <w:ind w:left="709" w:hanging="283"/>
        <w:jc w:val="both"/>
        <w:rPr>
          <w:rFonts w:cs="Arial"/>
        </w:rPr>
      </w:pPr>
      <w:r>
        <w:rPr>
          <w:rFonts w:cs="Arial"/>
        </w:rPr>
        <w:t>Mr George Papadopoulos, AusBiotech</w:t>
      </w:r>
    </w:p>
    <w:p w:rsidR="0033748C" w:rsidRPr="003E39CB" w:rsidRDefault="002A0ED5" w:rsidP="00F860FD">
      <w:pPr>
        <w:numPr>
          <w:ilvl w:val="0"/>
          <w:numId w:val="6"/>
        </w:numPr>
        <w:tabs>
          <w:tab w:val="clear" w:pos="1440"/>
          <w:tab w:val="num" w:pos="709"/>
        </w:tabs>
        <w:spacing w:line="276" w:lineRule="auto"/>
        <w:ind w:left="709" w:hanging="283"/>
        <w:jc w:val="both"/>
        <w:rPr>
          <w:rFonts w:cs="Arial"/>
        </w:rPr>
      </w:pPr>
      <w:r>
        <w:rPr>
          <w:rFonts w:cs="Arial"/>
        </w:rPr>
        <w:t>Mr Craig Moy</w:t>
      </w:r>
      <w:r w:rsidR="001C0A8B">
        <w:rPr>
          <w:rFonts w:cs="Arial"/>
        </w:rPr>
        <w:t>, P</w:t>
      </w:r>
      <w:r w:rsidR="0033748C" w:rsidRPr="003E39CB">
        <w:rPr>
          <w:rFonts w:cs="Arial"/>
        </w:rPr>
        <w:t>rivate Healthcare Australia</w:t>
      </w:r>
    </w:p>
    <w:p w:rsidR="0033748C" w:rsidRPr="003E39CB" w:rsidRDefault="00842FF6" w:rsidP="00F860FD">
      <w:pPr>
        <w:numPr>
          <w:ilvl w:val="0"/>
          <w:numId w:val="6"/>
        </w:numPr>
        <w:tabs>
          <w:tab w:val="clear" w:pos="1440"/>
          <w:tab w:val="num" w:pos="709"/>
        </w:tabs>
        <w:spacing w:line="276" w:lineRule="auto"/>
        <w:ind w:left="709" w:hanging="283"/>
        <w:jc w:val="both"/>
        <w:rPr>
          <w:rFonts w:cs="Arial"/>
        </w:rPr>
      </w:pPr>
      <w:r>
        <w:rPr>
          <w:rFonts w:cs="Arial"/>
        </w:rPr>
        <w:t>D</w:t>
      </w:r>
      <w:r w:rsidR="0004515E">
        <w:rPr>
          <w:rFonts w:cs="Arial"/>
        </w:rPr>
        <w:t xml:space="preserve">r </w:t>
      </w:r>
      <w:proofErr w:type="spellStart"/>
      <w:r w:rsidR="0004515E">
        <w:rPr>
          <w:rFonts w:cs="Arial"/>
        </w:rPr>
        <w:t>Jui</w:t>
      </w:r>
      <w:proofErr w:type="spellEnd"/>
      <w:r w:rsidR="0004515E">
        <w:rPr>
          <w:rFonts w:cs="Arial"/>
        </w:rPr>
        <w:t xml:space="preserve"> </w:t>
      </w:r>
      <w:proofErr w:type="spellStart"/>
      <w:r w:rsidR="0004515E">
        <w:rPr>
          <w:rFonts w:cs="Arial"/>
        </w:rPr>
        <w:t>Tham</w:t>
      </w:r>
      <w:proofErr w:type="spellEnd"/>
      <w:r w:rsidR="0004515E">
        <w:rPr>
          <w:rFonts w:cs="Arial"/>
        </w:rPr>
        <w:t xml:space="preserve">, </w:t>
      </w:r>
      <w:r w:rsidR="00DC3907">
        <w:rPr>
          <w:rFonts w:cs="Arial"/>
        </w:rPr>
        <w:t>Members Health Fund Alliance</w:t>
      </w:r>
    </w:p>
    <w:p w:rsidR="0033748C" w:rsidRPr="003E39CB" w:rsidRDefault="001D5D8E" w:rsidP="00F860FD">
      <w:pPr>
        <w:numPr>
          <w:ilvl w:val="0"/>
          <w:numId w:val="6"/>
        </w:numPr>
        <w:tabs>
          <w:tab w:val="clear" w:pos="1440"/>
          <w:tab w:val="num" w:pos="709"/>
        </w:tabs>
        <w:spacing w:line="276" w:lineRule="auto"/>
        <w:ind w:left="709" w:hanging="283"/>
        <w:jc w:val="both"/>
        <w:rPr>
          <w:rFonts w:cs="Arial"/>
        </w:rPr>
      </w:pPr>
      <w:r>
        <w:rPr>
          <w:rFonts w:cs="Arial"/>
        </w:rPr>
        <w:t xml:space="preserve">Ms Emma Bognar, </w:t>
      </w:r>
      <w:r w:rsidR="0033748C" w:rsidRPr="003E39CB">
        <w:rPr>
          <w:rFonts w:cs="Arial"/>
        </w:rPr>
        <w:t>Australian Private Hospitals Association</w:t>
      </w:r>
    </w:p>
    <w:p w:rsidR="0033748C" w:rsidRDefault="0004515E" w:rsidP="00F860FD">
      <w:pPr>
        <w:numPr>
          <w:ilvl w:val="0"/>
          <w:numId w:val="6"/>
        </w:numPr>
        <w:tabs>
          <w:tab w:val="clear" w:pos="1440"/>
          <w:tab w:val="num" w:pos="709"/>
        </w:tabs>
        <w:spacing w:line="276" w:lineRule="auto"/>
        <w:ind w:left="709" w:hanging="283"/>
        <w:jc w:val="both"/>
        <w:rPr>
          <w:rFonts w:cs="Arial"/>
        </w:rPr>
      </w:pPr>
      <w:r>
        <w:rPr>
          <w:rFonts w:cs="Arial"/>
        </w:rPr>
        <w:t>Ms Gabrielle Moreland, Day Hospitals Australia</w:t>
      </w:r>
    </w:p>
    <w:p w:rsidR="0004515E" w:rsidRPr="003E39CB" w:rsidRDefault="0004515E" w:rsidP="00F860FD">
      <w:pPr>
        <w:numPr>
          <w:ilvl w:val="0"/>
          <w:numId w:val="6"/>
        </w:numPr>
        <w:tabs>
          <w:tab w:val="clear" w:pos="1440"/>
          <w:tab w:val="num" w:pos="709"/>
        </w:tabs>
        <w:spacing w:line="276" w:lineRule="auto"/>
        <w:ind w:left="709" w:hanging="283"/>
        <w:jc w:val="both"/>
        <w:rPr>
          <w:rFonts w:cs="Arial"/>
        </w:rPr>
      </w:pPr>
      <w:r>
        <w:rPr>
          <w:rFonts w:cs="Arial"/>
        </w:rPr>
        <w:t>Ms Andrea Selleck, Australian Regional Health Group</w:t>
      </w:r>
    </w:p>
    <w:p w:rsidR="0033748C" w:rsidRDefault="001C0A8B" w:rsidP="00F860FD">
      <w:pPr>
        <w:numPr>
          <w:ilvl w:val="0"/>
          <w:numId w:val="6"/>
        </w:numPr>
        <w:tabs>
          <w:tab w:val="clear" w:pos="1440"/>
          <w:tab w:val="num" w:pos="709"/>
        </w:tabs>
        <w:spacing w:line="276" w:lineRule="auto"/>
        <w:ind w:left="709" w:hanging="283"/>
        <w:jc w:val="both"/>
        <w:rPr>
          <w:rFonts w:cs="Arial"/>
        </w:rPr>
      </w:pPr>
      <w:r>
        <w:rPr>
          <w:rFonts w:cs="Arial"/>
        </w:rPr>
        <w:t xml:space="preserve">Dr Janet Wale, </w:t>
      </w:r>
      <w:r w:rsidR="0004515E">
        <w:rPr>
          <w:rFonts w:cs="Arial"/>
        </w:rPr>
        <w:t>Consumers Health Forum</w:t>
      </w:r>
    </w:p>
    <w:p w:rsidR="00D97939" w:rsidRDefault="0004515E" w:rsidP="00F860FD">
      <w:pPr>
        <w:numPr>
          <w:ilvl w:val="0"/>
          <w:numId w:val="6"/>
        </w:numPr>
        <w:tabs>
          <w:tab w:val="clear" w:pos="1440"/>
          <w:tab w:val="num" w:pos="709"/>
        </w:tabs>
        <w:spacing w:line="276" w:lineRule="auto"/>
        <w:ind w:left="709" w:hanging="283"/>
        <w:jc w:val="both"/>
        <w:rPr>
          <w:rFonts w:cs="Arial"/>
        </w:rPr>
      </w:pPr>
      <w:r>
        <w:rPr>
          <w:rFonts w:cs="Arial"/>
        </w:rPr>
        <w:lastRenderedPageBreak/>
        <w:t xml:space="preserve">Mr James </w:t>
      </w:r>
      <w:proofErr w:type="spellStart"/>
      <w:r>
        <w:rPr>
          <w:rFonts w:cs="Arial"/>
        </w:rPr>
        <w:t>Downie</w:t>
      </w:r>
      <w:proofErr w:type="spellEnd"/>
      <w:r>
        <w:rPr>
          <w:rFonts w:cs="Arial"/>
        </w:rPr>
        <w:t>,</w:t>
      </w:r>
      <w:r w:rsidR="00D97939">
        <w:rPr>
          <w:rFonts w:cs="Arial"/>
        </w:rPr>
        <w:t xml:space="preserve"> Independent Hospital Pricing Authority</w:t>
      </w:r>
    </w:p>
    <w:p w:rsidR="00586C73" w:rsidRDefault="00586C73" w:rsidP="00F860FD">
      <w:pPr>
        <w:numPr>
          <w:ilvl w:val="0"/>
          <w:numId w:val="6"/>
        </w:numPr>
        <w:tabs>
          <w:tab w:val="clear" w:pos="1440"/>
          <w:tab w:val="num" w:pos="709"/>
        </w:tabs>
        <w:spacing w:line="276" w:lineRule="auto"/>
        <w:ind w:left="709" w:hanging="283"/>
        <w:jc w:val="both"/>
        <w:rPr>
          <w:rFonts w:cs="Arial"/>
        </w:rPr>
      </w:pPr>
      <w:r>
        <w:rPr>
          <w:rFonts w:cs="Arial"/>
        </w:rPr>
        <w:t>Ms Cathy Ryan, Catholic Health Australia</w:t>
      </w:r>
    </w:p>
    <w:p w:rsidR="00586C73" w:rsidRDefault="00586C73" w:rsidP="00586C73">
      <w:pPr>
        <w:spacing w:line="276" w:lineRule="auto"/>
        <w:jc w:val="both"/>
        <w:rPr>
          <w:rFonts w:cs="Arial"/>
        </w:rPr>
      </w:pPr>
    </w:p>
    <w:p w:rsidR="002E5321" w:rsidRDefault="002E5321" w:rsidP="00B96D4D">
      <w:pPr>
        <w:tabs>
          <w:tab w:val="left" w:pos="426"/>
        </w:tabs>
        <w:spacing w:after="120"/>
        <w:jc w:val="both"/>
      </w:pPr>
      <w:r>
        <w:t xml:space="preserve">The Benefit Setting IWG may invite </w:t>
      </w:r>
      <w:r w:rsidR="009023D9">
        <w:t xml:space="preserve">individuals </w:t>
      </w:r>
      <w:r>
        <w:t>with appropriate knowledge and expertise</w:t>
      </w:r>
      <w:r w:rsidR="009023D9">
        <w:t>, including members of other IWGs</w:t>
      </w:r>
      <w:r>
        <w:t xml:space="preserve"> to </w:t>
      </w:r>
      <w:r w:rsidR="009023D9">
        <w:t>participate</w:t>
      </w:r>
      <w:r>
        <w:t xml:space="preserve"> as required.</w:t>
      </w:r>
      <w:r w:rsidR="002031F9">
        <w:t xml:space="preserve">  </w:t>
      </w:r>
    </w:p>
    <w:p w:rsidR="00F93A94" w:rsidRDefault="008563A9" w:rsidP="00DB2423">
      <w:pPr>
        <w:pStyle w:val="Heading1"/>
      </w:pPr>
      <w:r>
        <w:t>E</w:t>
      </w:r>
      <w:r w:rsidR="006D0AB8">
        <w:t xml:space="preserve">.  </w:t>
      </w:r>
      <w:r w:rsidR="007E29B7">
        <w:tab/>
      </w:r>
      <w:r w:rsidR="00F93A94">
        <w:t>Operating Guidelines</w:t>
      </w:r>
    </w:p>
    <w:p w:rsidR="00F93A94" w:rsidRPr="00B96D4D" w:rsidRDefault="00B96D4D" w:rsidP="00B96D4D">
      <w:pPr>
        <w:pStyle w:val="Heading2"/>
        <w:tabs>
          <w:tab w:val="left" w:pos="284"/>
          <w:tab w:val="num" w:pos="720"/>
        </w:tabs>
        <w:spacing w:before="0" w:after="120"/>
        <w:jc w:val="both"/>
        <w:rPr>
          <w:rFonts w:ascii="Calibri" w:hAnsi="Calibri"/>
          <w:i w:val="0"/>
          <w:iCs w:val="0"/>
          <w:szCs w:val="24"/>
        </w:rPr>
      </w:pPr>
      <w:r w:rsidRPr="00B96D4D">
        <w:rPr>
          <w:rFonts w:ascii="Calibri" w:hAnsi="Calibri"/>
          <w:i w:val="0"/>
          <w:iCs w:val="0"/>
          <w:szCs w:val="24"/>
        </w:rPr>
        <w:t>E</w:t>
      </w:r>
      <w:r w:rsidR="00660B4F" w:rsidRPr="00B96D4D">
        <w:rPr>
          <w:rFonts w:ascii="Calibri" w:hAnsi="Calibri"/>
          <w:i w:val="0"/>
          <w:iCs w:val="0"/>
          <w:szCs w:val="24"/>
        </w:rPr>
        <w:t>1</w:t>
      </w:r>
      <w:r w:rsidR="006D0AB8" w:rsidRPr="00B96D4D">
        <w:rPr>
          <w:rFonts w:ascii="Calibri" w:hAnsi="Calibri"/>
          <w:i w:val="0"/>
          <w:iCs w:val="0"/>
          <w:szCs w:val="24"/>
        </w:rPr>
        <w:t xml:space="preserve">.  </w:t>
      </w:r>
      <w:r w:rsidR="00F93A94" w:rsidRPr="00B96D4D">
        <w:rPr>
          <w:rFonts w:ascii="Calibri" w:hAnsi="Calibri"/>
          <w:i w:val="0"/>
          <w:iCs w:val="0"/>
          <w:szCs w:val="24"/>
        </w:rPr>
        <w:t>Chair</w:t>
      </w:r>
    </w:p>
    <w:p w:rsidR="00F93A94" w:rsidRDefault="00F93A94" w:rsidP="00B96D4D">
      <w:pPr>
        <w:pStyle w:val="NormalItalics"/>
        <w:spacing w:before="0" w:after="120"/>
        <w:ind w:left="0"/>
        <w:jc w:val="both"/>
        <w:rPr>
          <w:rFonts w:ascii="Calibri" w:hAnsi="Calibri"/>
          <w:i w:val="0"/>
          <w:iCs w:val="0"/>
          <w:szCs w:val="22"/>
        </w:rPr>
      </w:pPr>
      <w:r w:rsidRPr="00EA42A0">
        <w:rPr>
          <w:rFonts w:ascii="Calibri" w:hAnsi="Calibri"/>
          <w:i w:val="0"/>
          <w:iCs w:val="0"/>
          <w:szCs w:val="22"/>
        </w:rPr>
        <w:t>The group</w:t>
      </w:r>
      <w:r>
        <w:rPr>
          <w:rFonts w:ascii="Calibri" w:hAnsi="Calibri"/>
          <w:i w:val="0"/>
          <w:iCs w:val="0"/>
          <w:szCs w:val="22"/>
        </w:rPr>
        <w:t xml:space="preserve"> will be chaired by Emeritus </w:t>
      </w:r>
      <w:r w:rsidRPr="00EA42A0">
        <w:rPr>
          <w:rFonts w:ascii="Calibri" w:hAnsi="Calibri"/>
          <w:i w:val="0"/>
          <w:szCs w:val="22"/>
        </w:rPr>
        <w:t xml:space="preserve">Professor </w:t>
      </w:r>
      <w:r>
        <w:rPr>
          <w:rFonts w:ascii="Calibri" w:hAnsi="Calibri"/>
          <w:i w:val="0"/>
          <w:szCs w:val="22"/>
        </w:rPr>
        <w:t>Terry Campbell (Chair of the Prostheses List Advisory Committee)</w:t>
      </w:r>
      <w:r w:rsidR="00B96D4D">
        <w:rPr>
          <w:rFonts w:ascii="Calibri" w:hAnsi="Calibri"/>
          <w:i w:val="0"/>
          <w:szCs w:val="22"/>
        </w:rPr>
        <w:t>.</w:t>
      </w:r>
    </w:p>
    <w:p w:rsidR="00F93A94" w:rsidRPr="00B96D4D" w:rsidRDefault="00B96D4D" w:rsidP="00B96D4D">
      <w:pPr>
        <w:pStyle w:val="Heading2"/>
        <w:tabs>
          <w:tab w:val="left" w:pos="284"/>
          <w:tab w:val="num" w:pos="720"/>
        </w:tabs>
        <w:spacing w:before="0" w:after="120"/>
        <w:jc w:val="both"/>
        <w:rPr>
          <w:rFonts w:ascii="Calibri" w:hAnsi="Calibri"/>
          <w:i w:val="0"/>
          <w:iCs w:val="0"/>
          <w:szCs w:val="24"/>
        </w:rPr>
      </w:pPr>
      <w:r w:rsidRPr="00B96D4D">
        <w:rPr>
          <w:rFonts w:ascii="Calibri" w:hAnsi="Calibri"/>
          <w:i w:val="0"/>
          <w:iCs w:val="0"/>
          <w:szCs w:val="24"/>
        </w:rPr>
        <w:t xml:space="preserve">E2. </w:t>
      </w:r>
      <w:r w:rsidR="00F93A94" w:rsidRPr="00B96D4D">
        <w:rPr>
          <w:rFonts w:ascii="Calibri" w:hAnsi="Calibri"/>
          <w:i w:val="0"/>
          <w:iCs w:val="0"/>
          <w:szCs w:val="24"/>
        </w:rPr>
        <w:t>Membership appointment</w:t>
      </w:r>
    </w:p>
    <w:p w:rsidR="009C4EBC" w:rsidRDefault="00F93A94" w:rsidP="00B96D4D">
      <w:pPr>
        <w:pStyle w:val="NormalItalics"/>
        <w:spacing w:before="0" w:after="120"/>
        <w:ind w:left="0"/>
        <w:jc w:val="both"/>
        <w:rPr>
          <w:rFonts w:ascii="Calibri" w:hAnsi="Calibri"/>
          <w:i w:val="0"/>
          <w:iCs w:val="0"/>
          <w:szCs w:val="22"/>
        </w:rPr>
      </w:pPr>
      <w:r w:rsidRPr="00D94E1B">
        <w:rPr>
          <w:rFonts w:ascii="Calibri" w:hAnsi="Calibri"/>
          <w:i w:val="0"/>
          <w:iCs w:val="0"/>
          <w:szCs w:val="22"/>
        </w:rPr>
        <w:t xml:space="preserve">Members will be endorsed by the Prostheses </w:t>
      </w:r>
      <w:r w:rsidR="009C4EBC">
        <w:rPr>
          <w:rFonts w:ascii="Calibri" w:hAnsi="Calibri"/>
          <w:i w:val="0"/>
          <w:iCs w:val="0"/>
          <w:szCs w:val="22"/>
        </w:rPr>
        <w:t>Reform Governance Group.</w:t>
      </w:r>
    </w:p>
    <w:p w:rsidR="00482644" w:rsidRPr="00D94E1B" w:rsidRDefault="00482644" w:rsidP="00B96D4D">
      <w:pPr>
        <w:pStyle w:val="NormalItalics"/>
        <w:spacing w:before="0" w:after="120"/>
        <w:ind w:left="0"/>
        <w:jc w:val="both"/>
        <w:rPr>
          <w:rFonts w:ascii="Calibri" w:hAnsi="Calibri"/>
          <w:i w:val="0"/>
          <w:iCs w:val="0"/>
          <w:szCs w:val="22"/>
        </w:rPr>
      </w:pPr>
      <w:r w:rsidRPr="00D94E1B">
        <w:rPr>
          <w:rFonts w:ascii="Calibri" w:hAnsi="Calibri"/>
          <w:i w:val="0"/>
          <w:iCs w:val="0"/>
          <w:szCs w:val="22"/>
        </w:rPr>
        <w:t>Members will be appointed by the Assistant Secretary, Office of Health Technology Assessment Branch, Department of Health, as members of a departmental committee for financial management purposes, for the duration of the project.</w:t>
      </w:r>
    </w:p>
    <w:p w:rsidR="00F93A94" w:rsidRPr="00B96D4D" w:rsidRDefault="00B96D4D" w:rsidP="00B96D4D">
      <w:pPr>
        <w:pStyle w:val="Heading2"/>
        <w:tabs>
          <w:tab w:val="num" w:pos="720"/>
        </w:tabs>
        <w:spacing w:before="0" w:after="120"/>
        <w:ind w:left="720" w:hanging="720"/>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3</w:t>
      </w:r>
      <w:r w:rsidR="006D0AB8" w:rsidRPr="00B96D4D">
        <w:rPr>
          <w:rFonts w:ascii="Calibri" w:hAnsi="Calibri"/>
          <w:i w:val="0"/>
          <w:iCs w:val="0"/>
          <w:szCs w:val="24"/>
        </w:rPr>
        <w:t>.</w:t>
      </w:r>
      <w:r w:rsidR="00D94E1B" w:rsidRPr="00B96D4D">
        <w:rPr>
          <w:rFonts w:ascii="Calibri" w:hAnsi="Calibri"/>
          <w:i w:val="0"/>
          <w:iCs w:val="0"/>
          <w:szCs w:val="24"/>
        </w:rPr>
        <w:t xml:space="preserve">  </w:t>
      </w:r>
      <w:r w:rsidR="00A70CF8">
        <w:rPr>
          <w:rFonts w:ascii="Calibri" w:hAnsi="Calibri"/>
          <w:i w:val="0"/>
          <w:iCs w:val="0"/>
          <w:szCs w:val="24"/>
        </w:rPr>
        <w:t xml:space="preserve">Frequency of </w:t>
      </w:r>
      <w:r w:rsidR="00482644" w:rsidRPr="00B96D4D">
        <w:rPr>
          <w:rFonts w:ascii="Calibri" w:hAnsi="Calibri"/>
          <w:i w:val="0"/>
          <w:iCs w:val="0"/>
          <w:szCs w:val="24"/>
        </w:rPr>
        <w:t>M</w:t>
      </w:r>
      <w:r w:rsidR="00F93A94" w:rsidRPr="00B96D4D">
        <w:rPr>
          <w:rFonts w:ascii="Calibri" w:hAnsi="Calibri"/>
          <w:i w:val="0"/>
          <w:iCs w:val="0"/>
          <w:szCs w:val="24"/>
        </w:rPr>
        <w:t>eetings</w:t>
      </w:r>
    </w:p>
    <w:p w:rsidR="00F93A94" w:rsidRPr="00EA42A0" w:rsidRDefault="00482644" w:rsidP="00B96D4D">
      <w:pPr>
        <w:pStyle w:val="NormalItalics"/>
        <w:spacing w:before="0" w:after="120"/>
        <w:ind w:left="0"/>
        <w:jc w:val="both"/>
        <w:rPr>
          <w:rFonts w:ascii="Calibri" w:hAnsi="Calibri"/>
          <w:i w:val="0"/>
          <w:iCs w:val="0"/>
          <w:szCs w:val="22"/>
        </w:rPr>
      </w:pPr>
      <w:r w:rsidRPr="00D94E1B">
        <w:rPr>
          <w:rFonts w:ascii="Calibri" w:hAnsi="Calibri"/>
          <w:i w:val="0"/>
          <w:iCs w:val="0"/>
          <w:szCs w:val="22"/>
        </w:rPr>
        <w:t>Meetings will be held as required</w:t>
      </w:r>
      <w:r w:rsidR="00F93A94" w:rsidRPr="00D94E1B">
        <w:rPr>
          <w:rFonts w:ascii="Calibri" w:hAnsi="Calibri"/>
          <w:i w:val="0"/>
          <w:iCs w:val="0"/>
          <w:szCs w:val="22"/>
        </w:rPr>
        <w:t xml:space="preserve">. </w:t>
      </w:r>
      <w:r w:rsidR="00294371">
        <w:rPr>
          <w:rFonts w:ascii="Calibri" w:hAnsi="Calibri"/>
          <w:i w:val="0"/>
          <w:iCs w:val="0"/>
          <w:szCs w:val="22"/>
        </w:rPr>
        <w:t xml:space="preserve">Meetings will be convened </w:t>
      </w:r>
      <w:r w:rsidR="00294371" w:rsidRPr="00030E1F">
        <w:rPr>
          <w:rFonts w:ascii="Calibri" w:hAnsi="Calibri"/>
          <w:i w:val="0"/>
          <w:iCs w:val="0"/>
          <w:szCs w:val="22"/>
        </w:rPr>
        <w:t>by the Department of Health.</w:t>
      </w:r>
    </w:p>
    <w:p w:rsidR="00F93A94" w:rsidRPr="00B96D4D" w:rsidRDefault="00B96D4D" w:rsidP="00B96D4D">
      <w:pPr>
        <w:pStyle w:val="Heading2"/>
        <w:tabs>
          <w:tab w:val="left" w:pos="284"/>
          <w:tab w:val="num" w:pos="720"/>
        </w:tabs>
        <w:spacing w:before="0" w:after="120"/>
        <w:ind w:left="720" w:hanging="720"/>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4</w:t>
      </w:r>
      <w:r w:rsidR="006D0AB8" w:rsidRPr="00B96D4D">
        <w:rPr>
          <w:rFonts w:ascii="Calibri" w:hAnsi="Calibri"/>
          <w:i w:val="0"/>
          <w:iCs w:val="0"/>
          <w:szCs w:val="24"/>
        </w:rPr>
        <w:t>.</w:t>
      </w:r>
      <w:r w:rsidR="00D94E1B" w:rsidRPr="00B96D4D">
        <w:rPr>
          <w:rFonts w:ascii="Calibri" w:hAnsi="Calibri"/>
          <w:i w:val="0"/>
          <w:iCs w:val="0"/>
          <w:szCs w:val="24"/>
        </w:rPr>
        <w:t xml:space="preserve">  </w:t>
      </w:r>
      <w:r w:rsidR="00F93A94" w:rsidRPr="00B96D4D">
        <w:rPr>
          <w:rFonts w:ascii="Calibri" w:hAnsi="Calibri"/>
          <w:i w:val="0"/>
          <w:iCs w:val="0"/>
          <w:szCs w:val="24"/>
        </w:rPr>
        <w:t>Agenda items</w:t>
      </w:r>
    </w:p>
    <w:p w:rsidR="00F93A94" w:rsidRPr="00D94E1B" w:rsidRDefault="00F93A94" w:rsidP="00B96D4D">
      <w:pPr>
        <w:pStyle w:val="NormalItalics"/>
        <w:spacing w:before="0" w:after="120"/>
        <w:ind w:left="0"/>
        <w:jc w:val="both"/>
        <w:rPr>
          <w:rFonts w:ascii="Calibri" w:hAnsi="Calibri"/>
          <w:i w:val="0"/>
          <w:iCs w:val="0"/>
          <w:szCs w:val="22"/>
        </w:rPr>
      </w:pPr>
      <w:r w:rsidRPr="00D94E1B">
        <w:rPr>
          <w:rFonts w:ascii="Calibri" w:hAnsi="Calibri"/>
          <w:i w:val="0"/>
          <w:iCs w:val="0"/>
          <w:szCs w:val="22"/>
        </w:rPr>
        <w:t xml:space="preserve">All agenda items will be forwarded to the </w:t>
      </w:r>
      <w:r w:rsidRPr="00EA42A0">
        <w:rPr>
          <w:rFonts w:ascii="Calibri" w:hAnsi="Calibri"/>
          <w:i w:val="0"/>
          <w:iCs w:val="0"/>
          <w:szCs w:val="22"/>
        </w:rPr>
        <w:t>Department of Health</w:t>
      </w:r>
      <w:r w:rsidRPr="00D94E1B">
        <w:rPr>
          <w:rFonts w:ascii="Calibri" w:hAnsi="Calibri"/>
          <w:i w:val="0"/>
          <w:iCs w:val="0"/>
          <w:szCs w:val="22"/>
        </w:rPr>
        <w:t xml:space="preserve"> by close of business ten working days prior to the next scheduled meeting.</w:t>
      </w:r>
    </w:p>
    <w:p w:rsidR="00F93A94" w:rsidRPr="00CC51A5" w:rsidRDefault="00F93A94" w:rsidP="00B96D4D">
      <w:pPr>
        <w:spacing w:after="120"/>
        <w:jc w:val="both"/>
      </w:pPr>
      <w:r w:rsidRPr="00CC51A5">
        <w:t>The agenda, with attached meeting papers, will be distributed at least five working days prior to the next scheduled meeting.</w:t>
      </w:r>
    </w:p>
    <w:p w:rsidR="00482644" w:rsidRPr="00B96D4D" w:rsidRDefault="00B96D4D" w:rsidP="00B96D4D">
      <w:pPr>
        <w:pStyle w:val="Heading2"/>
        <w:tabs>
          <w:tab w:val="num" w:pos="720"/>
        </w:tabs>
        <w:spacing w:before="0" w:after="120"/>
        <w:ind w:left="720" w:hanging="720"/>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5</w:t>
      </w:r>
      <w:r w:rsidR="006D0AB8" w:rsidRPr="00B96D4D">
        <w:rPr>
          <w:rFonts w:ascii="Calibri" w:hAnsi="Calibri"/>
          <w:i w:val="0"/>
          <w:iCs w:val="0"/>
          <w:szCs w:val="24"/>
        </w:rPr>
        <w:t>.</w:t>
      </w:r>
      <w:r w:rsidR="00D94E1B" w:rsidRPr="00B96D4D">
        <w:rPr>
          <w:rFonts w:ascii="Calibri" w:hAnsi="Calibri"/>
          <w:i w:val="0"/>
          <w:iCs w:val="0"/>
          <w:szCs w:val="24"/>
        </w:rPr>
        <w:t xml:space="preserve">  </w:t>
      </w:r>
      <w:r w:rsidR="00482644" w:rsidRPr="00B96D4D">
        <w:rPr>
          <w:rFonts w:ascii="Calibri" w:hAnsi="Calibri"/>
          <w:i w:val="0"/>
          <w:iCs w:val="0"/>
          <w:szCs w:val="24"/>
        </w:rPr>
        <w:t>M</w:t>
      </w:r>
      <w:r w:rsidR="00F93A94" w:rsidRPr="00B96D4D">
        <w:rPr>
          <w:rFonts w:ascii="Calibri" w:hAnsi="Calibri"/>
          <w:i w:val="0"/>
          <w:iCs w:val="0"/>
          <w:szCs w:val="24"/>
        </w:rPr>
        <w:t>eeting papers</w:t>
      </w:r>
      <w:r w:rsidR="00482644" w:rsidRPr="00B96D4D">
        <w:rPr>
          <w:rFonts w:ascii="Calibri" w:hAnsi="Calibri"/>
          <w:i w:val="0"/>
          <w:iCs w:val="0"/>
          <w:szCs w:val="24"/>
        </w:rPr>
        <w:t xml:space="preserve"> </w:t>
      </w:r>
    </w:p>
    <w:p w:rsidR="00482644" w:rsidRPr="00CC51A5" w:rsidRDefault="00482644" w:rsidP="00B96D4D">
      <w:pPr>
        <w:spacing w:after="120"/>
        <w:jc w:val="both"/>
      </w:pPr>
      <w:r w:rsidRPr="00CC51A5">
        <w:t>In accordance with departmental policy, papers will be circulated electronically via Office 365. The Department will provide support to members to sign up for access.</w:t>
      </w:r>
    </w:p>
    <w:p w:rsidR="00482644" w:rsidRPr="00B96D4D" w:rsidRDefault="00B96D4D" w:rsidP="00B96D4D">
      <w:pPr>
        <w:pStyle w:val="Heading2"/>
        <w:tabs>
          <w:tab w:val="left" w:pos="284"/>
          <w:tab w:val="num" w:pos="720"/>
        </w:tabs>
        <w:spacing w:before="0" w:after="120"/>
        <w:ind w:left="720" w:hanging="720"/>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6</w:t>
      </w:r>
      <w:r w:rsidR="006D0AB8" w:rsidRPr="00B96D4D">
        <w:rPr>
          <w:rFonts w:ascii="Calibri" w:hAnsi="Calibri"/>
          <w:i w:val="0"/>
          <w:iCs w:val="0"/>
          <w:szCs w:val="24"/>
        </w:rPr>
        <w:t xml:space="preserve">. </w:t>
      </w:r>
      <w:r w:rsidR="00D94E1B" w:rsidRPr="00B96D4D">
        <w:rPr>
          <w:rFonts w:ascii="Calibri" w:hAnsi="Calibri"/>
          <w:i w:val="0"/>
          <w:iCs w:val="0"/>
          <w:szCs w:val="24"/>
        </w:rPr>
        <w:t xml:space="preserve"> </w:t>
      </w:r>
      <w:r w:rsidR="00482644" w:rsidRPr="00B96D4D">
        <w:rPr>
          <w:rFonts w:ascii="Calibri" w:hAnsi="Calibri"/>
          <w:i w:val="0"/>
          <w:iCs w:val="0"/>
          <w:szCs w:val="24"/>
        </w:rPr>
        <w:t>Record of meetings</w:t>
      </w:r>
    </w:p>
    <w:p w:rsidR="00482644" w:rsidRPr="00CC51A5" w:rsidRDefault="00482644" w:rsidP="00B96D4D">
      <w:pPr>
        <w:spacing w:after="120"/>
        <w:jc w:val="both"/>
      </w:pPr>
      <w:r w:rsidRPr="00CC51A5">
        <w:t>The secretariat will record discussions and outcomes of discussions and produce a draft record of each meeting, to be cleared initially by the Chair and circulated to members for comment.</w:t>
      </w:r>
    </w:p>
    <w:p w:rsidR="006719A9" w:rsidRPr="00B96D4D" w:rsidRDefault="00B96D4D" w:rsidP="00B96D4D">
      <w:pPr>
        <w:pStyle w:val="Heading2"/>
        <w:spacing w:before="0" w:after="120"/>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7</w:t>
      </w:r>
      <w:r w:rsidR="006D0AB8" w:rsidRPr="00B96D4D">
        <w:rPr>
          <w:rFonts w:ascii="Calibri" w:hAnsi="Calibri"/>
          <w:i w:val="0"/>
          <w:iCs w:val="0"/>
          <w:szCs w:val="24"/>
        </w:rPr>
        <w:t>.</w:t>
      </w:r>
      <w:r w:rsidR="00D94E1B" w:rsidRPr="00B96D4D">
        <w:rPr>
          <w:rFonts w:ascii="Calibri" w:hAnsi="Calibri"/>
          <w:i w:val="0"/>
          <w:iCs w:val="0"/>
          <w:szCs w:val="24"/>
        </w:rPr>
        <w:t xml:space="preserve"> </w:t>
      </w:r>
      <w:r w:rsidR="006719A9" w:rsidRPr="00B96D4D">
        <w:rPr>
          <w:rFonts w:ascii="Calibri" w:hAnsi="Calibri"/>
          <w:i w:val="0"/>
          <w:iCs w:val="0"/>
          <w:szCs w:val="24"/>
        </w:rPr>
        <w:t>Proxies</w:t>
      </w:r>
      <w:r w:rsidR="003E39CB" w:rsidRPr="00B96D4D">
        <w:rPr>
          <w:rFonts w:ascii="Calibri" w:hAnsi="Calibri"/>
          <w:i w:val="0"/>
          <w:iCs w:val="0"/>
          <w:szCs w:val="24"/>
        </w:rPr>
        <w:t xml:space="preserve"> to meetings</w:t>
      </w:r>
    </w:p>
    <w:p w:rsidR="007C6B16" w:rsidRPr="0011373D" w:rsidRDefault="007C6B16" w:rsidP="007C6B16">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Members of the </w:t>
      </w:r>
      <w:r>
        <w:rPr>
          <w:rFonts w:ascii="Calibri" w:hAnsi="Calibri"/>
          <w:i w:val="0"/>
          <w:iCs w:val="0"/>
          <w:szCs w:val="22"/>
        </w:rPr>
        <w:t>Benefit Setting</w:t>
      </w:r>
      <w:r w:rsidRPr="0011373D">
        <w:rPr>
          <w:rFonts w:ascii="Calibri" w:hAnsi="Calibri"/>
          <w:i w:val="0"/>
          <w:iCs w:val="0"/>
          <w:szCs w:val="22"/>
        </w:rPr>
        <w:t xml:space="preserve"> IWG</w:t>
      </w:r>
      <w:r w:rsidR="00D32B42">
        <w:rPr>
          <w:rFonts w:ascii="Calibri" w:hAnsi="Calibri"/>
          <w:i w:val="0"/>
          <w:iCs w:val="0"/>
          <w:szCs w:val="22"/>
        </w:rPr>
        <w:t>, with the exception of expert members,</w:t>
      </w:r>
      <w:r w:rsidRPr="0011373D">
        <w:rPr>
          <w:rFonts w:ascii="Calibri" w:hAnsi="Calibri"/>
          <w:i w:val="0"/>
          <w:iCs w:val="0"/>
          <w:szCs w:val="22"/>
        </w:rPr>
        <w:t xml:space="preserve"> may nominate a proxy to attend a meeting if the </w:t>
      </w:r>
      <w:r>
        <w:rPr>
          <w:rFonts w:ascii="Calibri" w:hAnsi="Calibri"/>
          <w:i w:val="0"/>
          <w:iCs w:val="0"/>
          <w:szCs w:val="22"/>
        </w:rPr>
        <w:t>M</w:t>
      </w:r>
      <w:r w:rsidRPr="0011373D">
        <w:rPr>
          <w:rFonts w:ascii="Calibri" w:hAnsi="Calibri"/>
          <w:i w:val="0"/>
          <w:iCs w:val="0"/>
          <w:szCs w:val="22"/>
        </w:rPr>
        <w:t>ember is unable to attend.</w:t>
      </w:r>
    </w:p>
    <w:p w:rsidR="007C6B16" w:rsidRPr="0011373D" w:rsidRDefault="007C6B16" w:rsidP="007C6B16">
      <w:pPr>
        <w:pStyle w:val="NormalItalics"/>
        <w:spacing w:before="0" w:after="120"/>
        <w:ind w:left="0"/>
        <w:jc w:val="both"/>
        <w:rPr>
          <w:rFonts w:ascii="Calibri" w:hAnsi="Calibri"/>
          <w:i w:val="0"/>
          <w:iCs w:val="0"/>
          <w:szCs w:val="22"/>
        </w:rPr>
      </w:pPr>
      <w:r w:rsidRPr="0011373D">
        <w:rPr>
          <w:rFonts w:ascii="Calibri" w:hAnsi="Calibri"/>
          <w:i w:val="0"/>
          <w:iCs w:val="0"/>
          <w:szCs w:val="22"/>
        </w:rPr>
        <w:t>The Chair will be informed of the substitution as soon as possible before the scheduled meeting.</w:t>
      </w:r>
    </w:p>
    <w:p w:rsidR="007C6B16" w:rsidRPr="0011373D" w:rsidRDefault="007C6B16" w:rsidP="007C6B16">
      <w:pPr>
        <w:pStyle w:val="NormalItalics"/>
        <w:spacing w:before="0" w:after="120"/>
        <w:ind w:left="0"/>
        <w:jc w:val="both"/>
        <w:rPr>
          <w:rFonts w:ascii="Calibri" w:hAnsi="Calibri"/>
          <w:i w:val="0"/>
          <w:iCs w:val="0"/>
          <w:szCs w:val="22"/>
        </w:rPr>
      </w:pPr>
      <w:r w:rsidRPr="0011373D">
        <w:rPr>
          <w:rFonts w:ascii="Calibri" w:hAnsi="Calibri"/>
          <w:i w:val="0"/>
          <w:iCs w:val="0"/>
          <w:szCs w:val="22"/>
        </w:rPr>
        <w:t xml:space="preserve">The nominated proxy will provide relevant comments/feedback about the attended meeting to the </w:t>
      </w:r>
      <w:r>
        <w:rPr>
          <w:rFonts w:ascii="Calibri" w:hAnsi="Calibri"/>
          <w:i w:val="0"/>
          <w:iCs w:val="0"/>
          <w:szCs w:val="22"/>
        </w:rPr>
        <w:t>Benefit Setting</w:t>
      </w:r>
      <w:r w:rsidRPr="0011373D">
        <w:rPr>
          <w:rFonts w:ascii="Calibri" w:hAnsi="Calibri"/>
          <w:i w:val="0"/>
          <w:iCs w:val="0"/>
          <w:szCs w:val="22"/>
        </w:rPr>
        <w:t xml:space="preserve"> IWG </w:t>
      </w:r>
      <w:r>
        <w:rPr>
          <w:rFonts w:ascii="Calibri" w:hAnsi="Calibri"/>
          <w:i w:val="0"/>
          <w:iCs w:val="0"/>
          <w:szCs w:val="22"/>
        </w:rPr>
        <w:t>M</w:t>
      </w:r>
      <w:r w:rsidRPr="0011373D">
        <w:rPr>
          <w:rFonts w:ascii="Calibri" w:hAnsi="Calibri"/>
          <w:i w:val="0"/>
          <w:iCs w:val="0"/>
          <w:szCs w:val="22"/>
        </w:rPr>
        <w:t>ember they are representing.</w:t>
      </w:r>
    </w:p>
    <w:p w:rsidR="00F93A94" w:rsidRPr="00B96D4D" w:rsidRDefault="00B96D4D" w:rsidP="00B96D4D">
      <w:pPr>
        <w:pStyle w:val="Heading2"/>
        <w:tabs>
          <w:tab w:val="left" w:pos="284"/>
        </w:tabs>
        <w:spacing w:before="0" w:after="120"/>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8</w:t>
      </w:r>
      <w:r w:rsidR="006D0AB8" w:rsidRPr="00B96D4D">
        <w:rPr>
          <w:rFonts w:ascii="Calibri" w:hAnsi="Calibri"/>
          <w:i w:val="0"/>
          <w:iCs w:val="0"/>
          <w:szCs w:val="24"/>
        </w:rPr>
        <w:t xml:space="preserve">. </w:t>
      </w:r>
      <w:r w:rsidR="00D94E1B" w:rsidRPr="00B96D4D">
        <w:rPr>
          <w:rFonts w:ascii="Calibri" w:hAnsi="Calibri"/>
          <w:i w:val="0"/>
          <w:iCs w:val="0"/>
          <w:szCs w:val="24"/>
        </w:rPr>
        <w:t xml:space="preserve"> </w:t>
      </w:r>
      <w:r w:rsidR="006719A9" w:rsidRPr="00B96D4D">
        <w:rPr>
          <w:rFonts w:ascii="Calibri" w:hAnsi="Calibri"/>
          <w:i w:val="0"/>
          <w:iCs w:val="0"/>
          <w:szCs w:val="24"/>
        </w:rPr>
        <w:t>Quorum</w:t>
      </w:r>
    </w:p>
    <w:p w:rsidR="00F93A94" w:rsidRPr="00CC51A5" w:rsidRDefault="003E39CB" w:rsidP="00B96D4D">
      <w:pPr>
        <w:spacing w:after="120"/>
        <w:jc w:val="both"/>
      </w:pPr>
      <w:r w:rsidRPr="00CC51A5">
        <w:t>A quorum will be half the regular membership plus one.</w:t>
      </w:r>
    </w:p>
    <w:p w:rsidR="006719A9" w:rsidRPr="00B96D4D" w:rsidRDefault="00B96D4D" w:rsidP="0063304A">
      <w:pPr>
        <w:pStyle w:val="Heading2"/>
        <w:spacing w:before="0" w:after="120"/>
        <w:ind w:hanging="11"/>
        <w:jc w:val="both"/>
        <w:rPr>
          <w:rFonts w:ascii="Calibri" w:hAnsi="Calibri"/>
          <w:i w:val="0"/>
          <w:iCs w:val="0"/>
          <w:szCs w:val="24"/>
        </w:rPr>
      </w:pPr>
      <w:r w:rsidRPr="00B96D4D">
        <w:rPr>
          <w:rFonts w:ascii="Calibri" w:hAnsi="Calibri"/>
          <w:i w:val="0"/>
          <w:iCs w:val="0"/>
          <w:szCs w:val="24"/>
        </w:rPr>
        <w:t>E</w:t>
      </w:r>
      <w:r w:rsidR="00D94E1B" w:rsidRPr="00B96D4D">
        <w:rPr>
          <w:rFonts w:ascii="Calibri" w:hAnsi="Calibri"/>
          <w:i w:val="0"/>
          <w:iCs w:val="0"/>
          <w:szCs w:val="24"/>
        </w:rPr>
        <w:t>9</w:t>
      </w:r>
      <w:r w:rsidR="006D0AB8" w:rsidRPr="00B96D4D">
        <w:rPr>
          <w:rFonts w:ascii="Calibri" w:hAnsi="Calibri"/>
          <w:i w:val="0"/>
          <w:iCs w:val="0"/>
          <w:szCs w:val="24"/>
        </w:rPr>
        <w:t>.</w:t>
      </w:r>
      <w:r w:rsidR="00D94E1B" w:rsidRPr="00B96D4D">
        <w:rPr>
          <w:rFonts w:ascii="Calibri" w:hAnsi="Calibri"/>
          <w:i w:val="0"/>
          <w:iCs w:val="0"/>
          <w:szCs w:val="24"/>
        </w:rPr>
        <w:t xml:space="preserve">  </w:t>
      </w:r>
      <w:r w:rsidR="006719A9" w:rsidRPr="00B96D4D">
        <w:rPr>
          <w:rFonts w:ascii="Calibri" w:hAnsi="Calibri"/>
          <w:i w:val="0"/>
          <w:iCs w:val="0"/>
          <w:szCs w:val="24"/>
        </w:rPr>
        <w:t>Communications</w:t>
      </w:r>
    </w:p>
    <w:p w:rsidR="006719A9" w:rsidRPr="00CC51A5" w:rsidRDefault="006719A9" w:rsidP="0063304A">
      <w:pPr>
        <w:spacing w:after="120"/>
        <w:jc w:val="both"/>
      </w:pPr>
      <w:r w:rsidRPr="00CC51A5">
        <w:t xml:space="preserve">Members will communicate through the SharePoint site in Office 365, or via </w:t>
      </w:r>
      <w:r w:rsidR="009D2E3A" w:rsidRPr="00CC51A5">
        <w:t>email</w:t>
      </w:r>
      <w:r w:rsidR="005D3F7E" w:rsidRPr="00CC51A5">
        <w:t>.</w:t>
      </w:r>
    </w:p>
    <w:p w:rsidR="00294371" w:rsidRPr="003E39CB" w:rsidRDefault="00294371" w:rsidP="00F860FD">
      <w:pPr>
        <w:pStyle w:val="NormalItalics"/>
        <w:spacing w:before="0" w:after="120"/>
        <w:jc w:val="both"/>
        <w:rPr>
          <w:rFonts w:ascii="Calibri" w:hAnsi="Calibri" w:cs="Arial"/>
          <w:i w:val="0"/>
          <w:iCs w:val="0"/>
        </w:rPr>
      </w:pPr>
    </w:p>
    <w:p w:rsidR="00A23132" w:rsidRPr="00C91EEB" w:rsidRDefault="00A23132" w:rsidP="00746294">
      <w:pPr>
        <w:jc w:val="center"/>
        <w:rPr>
          <w:b/>
        </w:rPr>
      </w:pPr>
      <w:r>
        <w:rPr>
          <w:b/>
          <w:noProof/>
          <w:szCs w:val="21"/>
          <w:lang w:eastAsia="en-AU"/>
        </w:rPr>
        <w:drawing>
          <wp:inline distT="0" distB="0" distL="0" distR="0" wp14:anchorId="647FE5AE" wp14:editId="199B1FDA">
            <wp:extent cx="2007872" cy="1331343"/>
            <wp:effectExtent l="0" t="0" r="0" b="2540"/>
            <wp:docPr id="1" name="Picture 1" descr="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logo" title="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870" cy="1330960"/>
                    </a:xfrm>
                    <a:prstGeom prst="rect">
                      <a:avLst/>
                    </a:prstGeom>
                  </pic:spPr>
                </pic:pic>
              </a:graphicData>
            </a:graphic>
          </wp:inline>
        </w:drawing>
      </w:r>
    </w:p>
    <w:p w:rsidR="00A23132" w:rsidRPr="00C91EEB" w:rsidRDefault="00A23132" w:rsidP="00DB2423">
      <w:pPr>
        <w:pStyle w:val="Heading1"/>
      </w:pPr>
      <w:r w:rsidRPr="00C91EEB">
        <w:t>DEED OF UNDERTAKING IN RELATION TO CONFIDENTIAL INFORMATION AND CONFLICT OF INTEREST</w:t>
      </w:r>
    </w:p>
    <w:p w:rsidR="00A23132" w:rsidRPr="00A23132" w:rsidRDefault="00A23132" w:rsidP="00A23132">
      <w:pPr>
        <w:rPr>
          <w:rFonts w:ascii="Times New Roman" w:hAnsi="Times New Roman"/>
        </w:rPr>
      </w:pPr>
    </w:p>
    <w:p w:rsidR="00A23132" w:rsidRPr="00A23132" w:rsidRDefault="00A23132" w:rsidP="00A23132">
      <w:pPr>
        <w:spacing w:after="120" w:line="276" w:lineRule="auto"/>
        <w:rPr>
          <w:rFonts w:ascii="Times New Roman" w:hAnsi="Times New Roman"/>
          <w:sz w:val="21"/>
          <w:szCs w:val="21"/>
        </w:rPr>
      </w:pPr>
      <w:r w:rsidRPr="00A23132">
        <w:rPr>
          <w:rFonts w:ascii="Times New Roman" w:hAnsi="Times New Roman"/>
          <w:sz w:val="21"/>
          <w:szCs w:val="21"/>
        </w:rPr>
        <w:t>THIS DEED POLL is made the ……… day of …………………………..………. ……………20….</w:t>
      </w:r>
    </w:p>
    <w:p w:rsidR="00A23132" w:rsidRPr="00A23132" w:rsidRDefault="00A23132" w:rsidP="00A23132">
      <w:pPr>
        <w:spacing w:after="120" w:line="276" w:lineRule="auto"/>
        <w:rPr>
          <w:rFonts w:ascii="Times New Roman" w:hAnsi="Times New Roman"/>
          <w:sz w:val="21"/>
          <w:szCs w:val="21"/>
        </w:rPr>
      </w:pPr>
      <w:proofErr w:type="gramStart"/>
      <w:r w:rsidRPr="00A23132">
        <w:rPr>
          <w:rFonts w:ascii="Times New Roman" w:hAnsi="Times New Roman"/>
          <w:sz w:val="21"/>
          <w:szCs w:val="21"/>
        </w:rPr>
        <w:t>by  …</w:t>
      </w:r>
      <w:proofErr w:type="gramEnd"/>
      <w:r w:rsidRPr="00A23132">
        <w:rPr>
          <w:rFonts w:ascii="Times New Roman" w:hAnsi="Times New Roman"/>
          <w:sz w:val="21"/>
          <w:szCs w:val="21"/>
        </w:rPr>
        <w:t>…………………………………………………………………………[</w:t>
      </w:r>
      <w:r w:rsidRPr="00A23132">
        <w:rPr>
          <w:rFonts w:ascii="Times New Roman" w:hAnsi="Times New Roman"/>
          <w:b/>
          <w:sz w:val="21"/>
          <w:szCs w:val="21"/>
        </w:rPr>
        <w:t>insert name of Member</w:t>
      </w:r>
      <w:r w:rsidRPr="00A23132">
        <w:rPr>
          <w:rFonts w:ascii="Times New Roman" w:hAnsi="Times New Roman"/>
          <w:sz w:val="21"/>
          <w:szCs w:val="21"/>
        </w:rPr>
        <w:t>]</w:t>
      </w:r>
    </w:p>
    <w:p w:rsidR="00A23132" w:rsidRPr="00A23132" w:rsidRDefault="00A23132" w:rsidP="00A23132">
      <w:pPr>
        <w:spacing w:after="120" w:line="276" w:lineRule="auto"/>
        <w:rPr>
          <w:rFonts w:ascii="Times New Roman" w:hAnsi="Times New Roman"/>
          <w:sz w:val="21"/>
          <w:szCs w:val="21"/>
        </w:rPr>
      </w:pPr>
      <w:proofErr w:type="gramStart"/>
      <w:r w:rsidRPr="00A23132">
        <w:rPr>
          <w:rFonts w:ascii="Times New Roman" w:hAnsi="Times New Roman"/>
          <w:sz w:val="21"/>
          <w:szCs w:val="21"/>
        </w:rPr>
        <w:t>of</w:t>
      </w:r>
      <w:proofErr w:type="gramEnd"/>
      <w:r w:rsidRPr="00A23132">
        <w:rPr>
          <w:rFonts w:ascii="Times New Roman" w:hAnsi="Times New Roman"/>
          <w:sz w:val="21"/>
          <w:szCs w:val="21"/>
        </w:rPr>
        <w:t xml:space="preserve"> …………………………………..……………………………….………[</w:t>
      </w:r>
      <w:r w:rsidRPr="00A23132">
        <w:rPr>
          <w:rFonts w:ascii="Times New Roman" w:hAnsi="Times New Roman"/>
          <w:b/>
          <w:sz w:val="21"/>
          <w:szCs w:val="21"/>
        </w:rPr>
        <w:t>insert address of Member</w:t>
      </w:r>
      <w:r w:rsidRPr="00A23132">
        <w:rPr>
          <w:rFonts w:ascii="Times New Roman" w:hAnsi="Times New Roman"/>
          <w:sz w:val="21"/>
          <w:szCs w:val="21"/>
        </w:rPr>
        <w:t>]</w:t>
      </w:r>
    </w:p>
    <w:p w:rsidR="00A23132" w:rsidRPr="00A23132" w:rsidRDefault="00A23132" w:rsidP="00A23132">
      <w:pPr>
        <w:spacing w:after="120" w:line="276" w:lineRule="auto"/>
        <w:rPr>
          <w:rFonts w:ascii="Times New Roman" w:hAnsi="Times New Roman"/>
        </w:rPr>
      </w:pPr>
    </w:p>
    <w:p w:rsidR="00A23132" w:rsidRPr="00A23132" w:rsidRDefault="00A23132" w:rsidP="00A23132">
      <w:pPr>
        <w:spacing w:after="120" w:line="276" w:lineRule="auto"/>
        <w:rPr>
          <w:rFonts w:ascii="Times New Roman" w:hAnsi="Times New Roman"/>
          <w:b/>
        </w:rPr>
      </w:pPr>
      <w:r w:rsidRPr="00A23132">
        <w:rPr>
          <w:rFonts w:ascii="Times New Roman" w:hAnsi="Times New Roman"/>
          <w:b/>
        </w:rPr>
        <w:t>WHEREAS</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1.</w:t>
      </w:r>
      <w:r w:rsidRPr="00A23132">
        <w:rPr>
          <w:rFonts w:ascii="Times New Roman" w:hAnsi="Times New Roman"/>
          <w:sz w:val="21"/>
          <w:szCs w:val="21"/>
        </w:rPr>
        <w:tab/>
        <w:t>The Commonwealth of Australia (the “</w:t>
      </w:r>
      <w:r w:rsidRPr="00A23132">
        <w:rPr>
          <w:rFonts w:ascii="Times New Roman" w:hAnsi="Times New Roman"/>
          <w:b/>
          <w:sz w:val="21"/>
          <w:szCs w:val="21"/>
        </w:rPr>
        <w:t>Commonwealth</w:t>
      </w:r>
      <w:r w:rsidRPr="00A23132">
        <w:rPr>
          <w:rFonts w:ascii="Times New Roman" w:hAnsi="Times New Roman"/>
          <w:sz w:val="21"/>
          <w:szCs w:val="21"/>
        </w:rPr>
        <w:t>”) as represented by the Department of Health (the “</w:t>
      </w:r>
      <w:r w:rsidRPr="00A23132">
        <w:rPr>
          <w:rFonts w:ascii="Times New Roman" w:hAnsi="Times New Roman"/>
          <w:b/>
          <w:sz w:val="21"/>
          <w:szCs w:val="21"/>
        </w:rPr>
        <w:t>Departmen</w:t>
      </w:r>
      <w:r w:rsidRPr="00A23132">
        <w:rPr>
          <w:rFonts w:ascii="Times New Roman" w:hAnsi="Times New Roman"/>
          <w:sz w:val="21"/>
          <w:szCs w:val="21"/>
        </w:rPr>
        <w:t xml:space="preserve">t”) has nominated a group of persons as members of the </w:t>
      </w:r>
      <w:r w:rsidRPr="00A23132">
        <w:rPr>
          <w:rFonts w:ascii="Times New Roman" w:hAnsi="Times New Roman"/>
          <w:b/>
          <w:sz w:val="21"/>
          <w:szCs w:val="21"/>
        </w:rPr>
        <w:t>[insert details of the relevant committee/subcommittee</w:t>
      </w:r>
      <w:r w:rsidRPr="00A23132">
        <w:rPr>
          <w:rFonts w:ascii="Times New Roman" w:hAnsi="Times New Roman"/>
          <w:sz w:val="21"/>
          <w:szCs w:val="21"/>
        </w:rPr>
        <w:t>] (the “Committee”).</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2.</w:t>
      </w:r>
      <w:r w:rsidRPr="00A23132">
        <w:rPr>
          <w:rFonts w:ascii="Times New Roman" w:hAnsi="Times New Roman"/>
          <w:sz w:val="21"/>
          <w:szCs w:val="21"/>
        </w:rPr>
        <w:tab/>
        <w:t xml:space="preserve">The Commonwealth has appointed the Member as a member of the Committee.  </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3.</w:t>
      </w:r>
      <w:r w:rsidRPr="00A23132">
        <w:rPr>
          <w:rFonts w:ascii="Times New Roman" w:hAnsi="Times New Roman"/>
          <w:sz w:val="21"/>
          <w:szCs w:val="21"/>
        </w:rPr>
        <w:tab/>
        <w:t>The Commonwealth requires the Member to undertake to preserve and maintain the confidentiality of information to which the Member will have access by virtue of his/her position on the Committee.</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4.</w:t>
      </w:r>
      <w:r w:rsidRPr="00A23132">
        <w:rPr>
          <w:rFonts w:ascii="Times New Roman" w:hAnsi="Times New Roman"/>
          <w:sz w:val="21"/>
          <w:szCs w:val="21"/>
        </w:rPr>
        <w:tab/>
        <w:t>The Commonwealth requires the Member to undertake certain actions in relation to any actual or potential conflict of interest.</w:t>
      </w:r>
    </w:p>
    <w:p w:rsidR="00A23132" w:rsidRPr="00A23132" w:rsidRDefault="00A23132" w:rsidP="00A23132">
      <w:pPr>
        <w:spacing w:after="120" w:line="276" w:lineRule="auto"/>
        <w:rPr>
          <w:rFonts w:ascii="Times New Roman" w:hAnsi="Times New Roman"/>
        </w:rPr>
      </w:pPr>
      <w:r w:rsidRPr="00A23132">
        <w:rPr>
          <w:rFonts w:ascii="Times New Roman" w:hAnsi="Times New Roman"/>
        </w:rPr>
        <w:t>NOW IT IS HEREBY AGREED AS FOLLOWS:</w:t>
      </w:r>
    </w:p>
    <w:p w:rsidR="00A23132" w:rsidRPr="00A23132" w:rsidRDefault="00A23132" w:rsidP="00A23132">
      <w:pPr>
        <w:spacing w:after="120" w:line="276" w:lineRule="auto"/>
        <w:ind w:left="709" w:hanging="709"/>
        <w:rPr>
          <w:rFonts w:ascii="Times New Roman" w:hAnsi="Times New Roman"/>
          <w:b/>
          <w:sz w:val="21"/>
          <w:szCs w:val="21"/>
        </w:rPr>
      </w:pPr>
      <w:r w:rsidRPr="00A23132">
        <w:rPr>
          <w:rFonts w:ascii="Times New Roman" w:hAnsi="Times New Roman"/>
          <w:b/>
          <w:sz w:val="21"/>
          <w:szCs w:val="21"/>
        </w:rPr>
        <w:t>1.</w:t>
      </w:r>
      <w:r w:rsidRPr="00A23132">
        <w:rPr>
          <w:rFonts w:ascii="Times New Roman" w:hAnsi="Times New Roman"/>
          <w:b/>
          <w:sz w:val="21"/>
          <w:szCs w:val="21"/>
        </w:rPr>
        <w:tab/>
        <w:t>Interpretation</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1.1</w:t>
      </w:r>
      <w:r w:rsidRPr="00A23132">
        <w:rPr>
          <w:rFonts w:ascii="Times New Roman" w:hAnsi="Times New Roman"/>
          <w:sz w:val="21"/>
          <w:szCs w:val="21"/>
        </w:rPr>
        <w:tab/>
        <w:t>In this Deed Poll unless the contrary intention appears:</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ab/>
      </w:r>
      <w:r w:rsidRPr="00A23132">
        <w:rPr>
          <w:rFonts w:ascii="Times New Roman" w:hAnsi="Times New Roman"/>
          <w:b/>
          <w:sz w:val="21"/>
          <w:szCs w:val="21"/>
        </w:rPr>
        <w:t>“Approved Person”</w:t>
      </w:r>
      <w:r w:rsidRPr="00A23132">
        <w:rPr>
          <w:rFonts w:ascii="Times New Roman" w:hAnsi="Times New Roman"/>
          <w:sz w:val="21"/>
          <w:szCs w:val="21"/>
        </w:rPr>
        <w:t xml:space="preserve"> means a person:</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(a)</w:t>
      </w:r>
      <w:r w:rsidRPr="00A23132">
        <w:rPr>
          <w:rFonts w:ascii="Times New Roman" w:hAnsi="Times New Roman"/>
          <w:sz w:val="21"/>
          <w:szCs w:val="21"/>
        </w:rPr>
        <w:tab/>
      </w:r>
      <w:proofErr w:type="gramStart"/>
      <w:r w:rsidRPr="00A23132">
        <w:rPr>
          <w:rFonts w:ascii="Times New Roman" w:hAnsi="Times New Roman"/>
          <w:sz w:val="21"/>
          <w:szCs w:val="21"/>
        </w:rPr>
        <w:t>who</w:t>
      </w:r>
      <w:proofErr w:type="gramEnd"/>
      <w:r w:rsidRPr="00A23132">
        <w:rPr>
          <w:rFonts w:ascii="Times New Roman" w:hAnsi="Times New Roman"/>
          <w:sz w:val="21"/>
          <w:szCs w:val="21"/>
        </w:rPr>
        <w:t xml:space="preserve"> has been appointed by the Commonwealth to be a member of the Committee; or</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(b)</w:t>
      </w:r>
      <w:r w:rsidRPr="00A23132">
        <w:rPr>
          <w:rFonts w:ascii="Times New Roman" w:hAnsi="Times New Roman"/>
          <w:sz w:val="21"/>
          <w:szCs w:val="21"/>
        </w:rPr>
        <w:tab/>
      </w:r>
      <w:proofErr w:type="gramStart"/>
      <w:r w:rsidRPr="00A23132">
        <w:rPr>
          <w:rFonts w:ascii="Times New Roman" w:hAnsi="Times New Roman"/>
          <w:sz w:val="21"/>
          <w:szCs w:val="21"/>
        </w:rPr>
        <w:t>who</w:t>
      </w:r>
      <w:proofErr w:type="gramEnd"/>
      <w:r w:rsidRPr="00A23132">
        <w:rPr>
          <w:rFonts w:ascii="Times New Roman" w:hAnsi="Times New Roman"/>
          <w:sz w:val="21"/>
          <w:szCs w:val="21"/>
        </w:rPr>
        <w:t xml:space="preserve"> is an officer of the Department of Health.</w:t>
      </w:r>
    </w:p>
    <w:p w:rsidR="00A23132" w:rsidRPr="00A23132" w:rsidRDefault="00A23132" w:rsidP="00A23132">
      <w:pPr>
        <w:spacing w:after="120" w:line="276" w:lineRule="auto"/>
        <w:ind w:left="851" w:hanging="142"/>
        <w:rPr>
          <w:rFonts w:ascii="Times New Roman" w:hAnsi="Times New Roman"/>
          <w:sz w:val="21"/>
          <w:szCs w:val="21"/>
        </w:rPr>
      </w:pPr>
      <w:r w:rsidRPr="00A23132">
        <w:rPr>
          <w:rFonts w:ascii="Times New Roman" w:hAnsi="Times New Roman"/>
          <w:b/>
          <w:sz w:val="21"/>
          <w:szCs w:val="21"/>
        </w:rPr>
        <w:t>“Confidential Information”</w:t>
      </w:r>
      <w:r w:rsidRPr="00A23132">
        <w:rPr>
          <w:rFonts w:ascii="Times New Roman" w:hAnsi="Times New Roman"/>
          <w:sz w:val="21"/>
          <w:szCs w:val="21"/>
        </w:rPr>
        <w:t xml:space="preserve"> means any material made available to the Member by the Department that:</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w:t>
      </w:r>
      <w:proofErr w:type="gramStart"/>
      <w:r w:rsidRPr="00A23132">
        <w:rPr>
          <w:rFonts w:ascii="Times New Roman" w:hAnsi="Times New Roman"/>
          <w:sz w:val="21"/>
          <w:szCs w:val="21"/>
        </w:rPr>
        <w:t>a</w:t>
      </w:r>
      <w:proofErr w:type="gramEnd"/>
      <w:r w:rsidRPr="00A23132">
        <w:rPr>
          <w:rFonts w:ascii="Times New Roman" w:hAnsi="Times New Roman"/>
          <w:sz w:val="21"/>
          <w:szCs w:val="21"/>
        </w:rPr>
        <w:t>)</w:t>
      </w:r>
      <w:r w:rsidRPr="00A23132">
        <w:rPr>
          <w:rFonts w:ascii="Times New Roman" w:hAnsi="Times New Roman"/>
          <w:sz w:val="21"/>
          <w:szCs w:val="21"/>
        </w:rPr>
        <w:tab/>
        <w:t>is by its nature confidential;</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 xml:space="preserve"> (b)</w:t>
      </w:r>
      <w:r w:rsidRPr="00A23132">
        <w:rPr>
          <w:rFonts w:ascii="Times New Roman" w:hAnsi="Times New Roman"/>
          <w:sz w:val="21"/>
          <w:szCs w:val="21"/>
        </w:rPr>
        <w:tab/>
      </w:r>
      <w:proofErr w:type="gramStart"/>
      <w:r w:rsidRPr="00A23132">
        <w:rPr>
          <w:rFonts w:ascii="Times New Roman" w:hAnsi="Times New Roman"/>
          <w:sz w:val="21"/>
          <w:szCs w:val="21"/>
        </w:rPr>
        <w:t>is</w:t>
      </w:r>
      <w:proofErr w:type="gramEnd"/>
      <w:r w:rsidRPr="00A23132">
        <w:rPr>
          <w:rFonts w:ascii="Times New Roman" w:hAnsi="Times New Roman"/>
          <w:sz w:val="21"/>
          <w:szCs w:val="21"/>
        </w:rPr>
        <w:t xml:space="preserve"> designated by the Commonwealth as confidential; or </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(c)</w:t>
      </w:r>
      <w:r w:rsidRPr="00A23132">
        <w:rPr>
          <w:rFonts w:ascii="Times New Roman" w:hAnsi="Times New Roman"/>
          <w:sz w:val="21"/>
          <w:szCs w:val="21"/>
        </w:rPr>
        <w:tab/>
      </w:r>
      <w:proofErr w:type="gramStart"/>
      <w:r w:rsidRPr="00A23132">
        <w:rPr>
          <w:rFonts w:ascii="Times New Roman" w:hAnsi="Times New Roman"/>
          <w:sz w:val="21"/>
          <w:szCs w:val="21"/>
        </w:rPr>
        <w:t>the</w:t>
      </w:r>
      <w:proofErr w:type="gramEnd"/>
      <w:r w:rsidRPr="00A23132">
        <w:rPr>
          <w:rFonts w:ascii="Times New Roman" w:hAnsi="Times New Roman"/>
          <w:sz w:val="21"/>
          <w:szCs w:val="21"/>
        </w:rPr>
        <w:t xml:space="preserve"> Member knows or ought to know is confidential; </w:t>
      </w:r>
    </w:p>
    <w:p w:rsidR="00A23132" w:rsidRPr="00A23132" w:rsidRDefault="00A23132" w:rsidP="00A23132">
      <w:pPr>
        <w:spacing w:after="120" w:line="276" w:lineRule="auto"/>
        <w:ind w:left="1418"/>
        <w:rPr>
          <w:rFonts w:ascii="Times New Roman" w:hAnsi="Times New Roman"/>
          <w:sz w:val="21"/>
          <w:szCs w:val="21"/>
        </w:rPr>
      </w:pPr>
      <w:proofErr w:type="gramStart"/>
      <w:r w:rsidRPr="00A23132">
        <w:rPr>
          <w:rFonts w:ascii="Times New Roman" w:hAnsi="Times New Roman"/>
          <w:sz w:val="21"/>
          <w:szCs w:val="21"/>
        </w:rPr>
        <w:t>but</w:t>
      </w:r>
      <w:proofErr w:type="gramEnd"/>
      <w:r w:rsidRPr="00A23132">
        <w:rPr>
          <w:rFonts w:ascii="Times New Roman" w:hAnsi="Times New Roman"/>
          <w:sz w:val="21"/>
          <w:szCs w:val="21"/>
        </w:rPr>
        <w:t xml:space="preserve"> does not include any information which:</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w:t>
      </w:r>
      <w:proofErr w:type="gramStart"/>
      <w:r w:rsidRPr="00A23132">
        <w:rPr>
          <w:rFonts w:ascii="Times New Roman" w:hAnsi="Times New Roman"/>
          <w:sz w:val="21"/>
          <w:szCs w:val="21"/>
        </w:rPr>
        <w:t>d</w:t>
      </w:r>
      <w:proofErr w:type="gramEnd"/>
      <w:r w:rsidRPr="00A23132">
        <w:rPr>
          <w:rFonts w:ascii="Times New Roman" w:hAnsi="Times New Roman"/>
          <w:sz w:val="21"/>
          <w:szCs w:val="21"/>
        </w:rPr>
        <w:t>)</w:t>
      </w:r>
      <w:r w:rsidRPr="00A23132">
        <w:rPr>
          <w:rFonts w:ascii="Times New Roman" w:hAnsi="Times New Roman"/>
          <w:sz w:val="21"/>
          <w:szCs w:val="21"/>
        </w:rPr>
        <w:tab/>
        <w:t>is in the public domain;</w:t>
      </w:r>
    </w:p>
    <w:p w:rsidR="00A23132" w:rsidRPr="00A23132" w:rsidRDefault="00A23132" w:rsidP="00A23132">
      <w:pPr>
        <w:spacing w:after="120" w:line="276" w:lineRule="auto"/>
        <w:ind w:left="1418" w:hanging="709"/>
        <w:rPr>
          <w:rFonts w:ascii="Times New Roman" w:hAnsi="Times New Roman"/>
          <w:sz w:val="21"/>
          <w:szCs w:val="21"/>
        </w:rPr>
      </w:pPr>
      <w:r w:rsidRPr="00A23132">
        <w:rPr>
          <w:rFonts w:ascii="Times New Roman" w:hAnsi="Times New Roman"/>
          <w:sz w:val="21"/>
          <w:szCs w:val="21"/>
        </w:rPr>
        <w:t>(e)</w:t>
      </w:r>
      <w:r w:rsidRPr="00A23132">
        <w:rPr>
          <w:rFonts w:ascii="Times New Roman" w:hAnsi="Times New Roman"/>
          <w:sz w:val="21"/>
          <w:szCs w:val="21"/>
        </w:rPr>
        <w:tab/>
      </w:r>
      <w:proofErr w:type="gramStart"/>
      <w:r w:rsidRPr="00A23132">
        <w:rPr>
          <w:rFonts w:ascii="Times New Roman" w:hAnsi="Times New Roman"/>
          <w:sz w:val="21"/>
          <w:szCs w:val="21"/>
        </w:rPr>
        <w:t>becomes</w:t>
      </w:r>
      <w:proofErr w:type="gramEnd"/>
      <w:r w:rsidRPr="00A23132">
        <w:rPr>
          <w:rFonts w:ascii="Times New Roman" w:hAnsi="Times New Roman"/>
          <w:sz w:val="21"/>
          <w:szCs w:val="21"/>
        </w:rPr>
        <w:t xml:space="preserve"> public knowledge other than by breach of this Deed Poll; or</w:t>
      </w:r>
    </w:p>
    <w:p w:rsidR="00A23132" w:rsidRPr="00A23132" w:rsidRDefault="00A23132" w:rsidP="00A23132">
      <w:pPr>
        <w:spacing w:after="120" w:line="276" w:lineRule="auto"/>
        <w:ind w:left="709"/>
        <w:rPr>
          <w:rFonts w:ascii="Times New Roman" w:hAnsi="Times New Roman"/>
          <w:sz w:val="21"/>
          <w:szCs w:val="21"/>
        </w:rPr>
      </w:pPr>
      <w:r w:rsidRPr="00A23132">
        <w:rPr>
          <w:rFonts w:ascii="Times New Roman" w:hAnsi="Times New Roman"/>
          <w:sz w:val="21"/>
          <w:szCs w:val="21"/>
        </w:rPr>
        <w:t>(f)</w:t>
      </w:r>
      <w:r w:rsidRPr="00A23132">
        <w:rPr>
          <w:rFonts w:ascii="Times New Roman" w:hAnsi="Times New Roman"/>
          <w:sz w:val="21"/>
          <w:szCs w:val="21"/>
        </w:rPr>
        <w:tab/>
      </w:r>
      <w:proofErr w:type="gramStart"/>
      <w:r w:rsidRPr="00A23132">
        <w:rPr>
          <w:rFonts w:ascii="Times New Roman" w:hAnsi="Times New Roman"/>
          <w:sz w:val="21"/>
          <w:szCs w:val="21"/>
        </w:rPr>
        <w:t>is</w:t>
      </w:r>
      <w:proofErr w:type="gramEnd"/>
      <w:r w:rsidRPr="00A23132">
        <w:rPr>
          <w:rFonts w:ascii="Times New Roman" w:hAnsi="Times New Roman"/>
          <w:sz w:val="21"/>
          <w:szCs w:val="21"/>
        </w:rPr>
        <w:t xml:space="preserve"> required to be disclosed by statute or court order.</w:t>
      </w:r>
    </w:p>
    <w:p w:rsidR="00A23132" w:rsidRPr="00A23132" w:rsidRDefault="00A23132" w:rsidP="00A23132">
      <w:pPr>
        <w:spacing w:after="120" w:line="276" w:lineRule="auto"/>
        <w:ind w:left="709"/>
        <w:rPr>
          <w:rFonts w:ascii="Times New Roman" w:hAnsi="Times New Roman"/>
          <w:sz w:val="21"/>
          <w:szCs w:val="21"/>
        </w:rPr>
      </w:pPr>
      <w:r w:rsidRPr="00A23132">
        <w:rPr>
          <w:rFonts w:ascii="Times New Roman" w:hAnsi="Times New Roman"/>
          <w:sz w:val="21"/>
          <w:szCs w:val="21"/>
        </w:rPr>
        <w:lastRenderedPageBreak/>
        <w:t>“</w:t>
      </w:r>
      <w:r w:rsidRPr="00A23132">
        <w:rPr>
          <w:rFonts w:ascii="Times New Roman" w:hAnsi="Times New Roman"/>
          <w:b/>
          <w:sz w:val="21"/>
          <w:szCs w:val="21"/>
        </w:rPr>
        <w:t>Conflict of interest</w:t>
      </w:r>
      <w:r w:rsidRPr="00A23132">
        <w:rPr>
          <w:rFonts w:ascii="Times New Roman" w:hAnsi="Times New Roman"/>
          <w:sz w:val="21"/>
          <w:szCs w:val="21"/>
        </w:rPr>
        <w:t xml:space="preserve">” includes any situation where a Member or the Member’s partner, family member, or close family friend has a direct financial or other interest which influences or may appear to influence proper consideration or decision making by the Committee on a matter or proposed matter, that Member will be required to declare that interest and will then take no further part in the consideration of that matter.  </w:t>
      </w:r>
    </w:p>
    <w:p w:rsidR="00A23132" w:rsidRPr="00A23132" w:rsidRDefault="00A23132" w:rsidP="00A23132">
      <w:pPr>
        <w:spacing w:after="120" w:line="276" w:lineRule="auto"/>
        <w:rPr>
          <w:rFonts w:ascii="Times New Roman" w:hAnsi="Times New Roman"/>
          <w:b/>
          <w:sz w:val="21"/>
          <w:szCs w:val="21"/>
        </w:rPr>
      </w:pPr>
      <w:r w:rsidRPr="00A23132">
        <w:rPr>
          <w:rFonts w:ascii="Times New Roman" w:hAnsi="Times New Roman"/>
          <w:b/>
          <w:sz w:val="21"/>
          <w:szCs w:val="21"/>
        </w:rPr>
        <w:t>2.</w:t>
      </w:r>
      <w:r w:rsidRPr="00A23132">
        <w:rPr>
          <w:rFonts w:ascii="Times New Roman" w:hAnsi="Times New Roman"/>
          <w:b/>
          <w:sz w:val="21"/>
          <w:szCs w:val="21"/>
        </w:rPr>
        <w:tab/>
        <w:t>Undertaking</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2.1</w:t>
      </w:r>
      <w:r w:rsidRPr="00A23132">
        <w:rPr>
          <w:rFonts w:ascii="Times New Roman" w:hAnsi="Times New Roman"/>
          <w:sz w:val="21"/>
          <w:szCs w:val="21"/>
        </w:rPr>
        <w:tab/>
        <w:t>Except as provided in this clause 2, the Member agrees that he/she shall keep secret and confidential all Confidential Information and that he/she will not directly or indirectly disclose to any person, other than an Approved Person, any Confidential Information.</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2.2</w:t>
      </w:r>
      <w:r w:rsidRPr="00A23132">
        <w:rPr>
          <w:rFonts w:ascii="Times New Roman" w:hAnsi="Times New Roman"/>
          <w:sz w:val="21"/>
          <w:szCs w:val="21"/>
        </w:rPr>
        <w:tab/>
        <w:t>The Member agrees not to make any other use of information contained in the Confidential Information except as it relates to fulfilling their role as a member of the Committee.</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2.3</w:t>
      </w:r>
      <w:r w:rsidRPr="00A23132">
        <w:rPr>
          <w:rFonts w:ascii="Times New Roman" w:hAnsi="Times New Roman"/>
          <w:sz w:val="21"/>
          <w:szCs w:val="21"/>
        </w:rPr>
        <w:tab/>
        <w:t>The obligations on the Member under this clause 2 will not be taken to have been breached to the extent that confidential information is disclosed by a Member to a person who is not an Approved Person, if the Commonwealth has given prior written consent to disclose such Confidential Information to that person.  In giving written consent to the disclosure of Confidential Information, the Commonwealth may impose such reasonable conditions as it thinks fit.</w:t>
      </w:r>
    </w:p>
    <w:p w:rsidR="00A23132" w:rsidRPr="00A23132" w:rsidRDefault="00A23132" w:rsidP="00A23132">
      <w:pPr>
        <w:spacing w:after="120" w:line="276" w:lineRule="auto"/>
        <w:rPr>
          <w:rFonts w:ascii="Times New Roman" w:hAnsi="Times New Roman"/>
          <w:sz w:val="21"/>
          <w:szCs w:val="21"/>
        </w:rPr>
      </w:pPr>
      <w:r w:rsidRPr="00A23132">
        <w:rPr>
          <w:rFonts w:ascii="Times New Roman" w:hAnsi="Times New Roman"/>
          <w:sz w:val="21"/>
          <w:szCs w:val="21"/>
        </w:rPr>
        <w:t>2.4</w:t>
      </w:r>
      <w:r w:rsidRPr="00A23132">
        <w:rPr>
          <w:rFonts w:ascii="Times New Roman" w:hAnsi="Times New Roman"/>
          <w:sz w:val="21"/>
          <w:szCs w:val="21"/>
        </w:rPr>
        <w:tab/>
        <w:t>Where a Member discloses Confidential Information pursuant to clause 2.3 the Member must:</w:t>
      </w:r>
    </w:p>
    <w:p w:rsidR="00A23132" w:rsidRPr="00A23132" w:rsidRDefault="00A23132" w:rsidP="00A23132">
      <w:pPr>
        <w:spacing w:after="120" w:line="276" w:lineRule="auto"/>
        <w:ind w:left="720"/>
        <w:rPr>
          <w:rFonts w:ascii="Times New Roman" w:hAnsi="Times New Roman"/>
          <w:sz w:val="21"/>
          <w:szCs w:val="21"/>
        </w:rPr>
      </w:pPr>
      <w:r w:rsidRPr="00A23132">
        <w:rPr>
          <w:rFonts w:ascii="Times New Roman" w:hAnsi="Times New Roman"/>
          <w:sz w:val="21"/>
          <w:szCs w:val="21"/>
        </w:rPr>
        <w:t>(a)</w:t>
      </w:r>
      <w:r w:rsidRPr="00A23132">
        <w:rPr>
          <w:rFonts w:ascii="Times New Roman" w:hAnsi="Times New Roman"/>
          <w:sz w:val="21"/>
          <w:szCs w:val="21"/>
        </w:rPr>
        <w:tab/>
      </w:r>
      <w:proofErr w:type="gramStart"/>
      <w:r w:rsidRPr="00A23132">
        <w:rPr>
          <w:rFonts w:ascii="Times New Roman" w:hAnsi="Times New Roman"/>
          <w:sz w:val="21"/>
          <w:szCs w:val="21"/>
        </w:rPr>
        <w:t>notify</w:t>
      </w:r>
      <w:proofErr w:type="gramEnd"/>
      <w:r w:rsidRPr="00A23132">
        <w:rPr>
          <w:rFonts w:ascii="Times New Roman" w:hAnsi="Times New Roman"/>
          <w:sz w:val="21"/>
          <w:szCs w:val="21"/>
        </w:rPr>
        <w:t xml:space="preserve"> the receiving person that the information is Confidential Information;</w:t>
      </w:r>
    </w:p>
    <w:p w:rsidR="00A23132" w:rsidRPr="00A23132" w:rsidRDefault="00A23132" w:rsidP="00A23132">
      <w:pPr>
        <w:spacing w:after="120" w:line="276" w:lineRule="auto"/>
        <w:ind w:left="1418" w:hanging="698"/>
        <w:rPr>
          <w:rFonts w:ascii="Times New Roman" w:hAnsi="Times New Roman"/>
          <w:sz w:val="21"/>
          <w:szCs w:val="21"/>
        </w:rPr>
      </w:pPr>
      <w:r w:rsidRPr="00A23132">
        <w:rPr>
          <w:rFonts w:ascii="Times New Roman" w:hAnsi="Times New Roman"/>
          <w:sz w:val="21"/>
          <w:szCs w:val="21"/>
        </w:rPr>
        <w:t>(b)</w:t>
      </w:r>
      <w:r w:rsidRPr="00A23132">
        <w:rPr>
          <w:rFonts w:ascii="Times New Roman" w:hAnsi="Times New Roman"/>
          <w:sz w:val="21"/>
          <w:szCs w:val="21"/>
        </w:rPr>
        <w:tab/>
      </w:r>
      <w:proofErr w:type="gramStart"/>
      <w:r w:rsidRPr="00A23132">
        <w:rPr>
          <w:rFonts w:ascii="Times New Roman" w:hAnsi="Times New Roman"/>
          <w:sz w:val="21"/>
          <w:szCs w:val="21"/>
        </w:rPr>
        <w:t>not</w:t>
      </w:r>
      <w:proofErr w:type="gramEnd"/>
      <w:r w:rsidRPr="00A23132">
        <w:rPr>
          <w:rFonts w:ascii="Times New Roman" w:hAnsi="Times New Roman"/>
          <w:sz w:val="21"/>
          <w:szCs w:val="21"/>
        </w:rPr>
        <w:t xml:space="preserve"> provide the information unless the receiving person agrees to keep the information confidential;</w:t>
      </w:r>
    </w:p>
    <w:p w:rsidR="00A23132" w:rsidRPr="00A23132" w:rsidRDefault="00A23132" w:rsidP="00A23132">
      <w:pPr>
        <w:spacing w:after="120" w:line="276" w:lineRule="auto"/>
        <w:ind w:left="720"/>
        <w:rPr>
          <w:rFonts w:ascii="Times New Roman" w:hAnsi="Times New Roman"/>
          <w:sz w:val="21"/>
          <w:szCs w:val="21"/>
        </w:rPr>
      </w:pPr>
      <w:r w:rsidRPr="00A23132">
        <w:rPr>
          <w:rFonts w:ascii="Times New Roman" w:hAnsi="Times New Roman"/>
          <w:sz w:val="21"/>
          <w:szCs w:val="21"/>
        </w:rPr>
        <w:t>(c)</w:t>
      </w:r>
      <w:r w:rsidRPr="00A23132">
        <w:rPr>
          <w:rFonts w:ascii="Times New Roman" w:hAnsi="Times New Roman"/>
          <w:sz w:val="21"/>
          <w:szCs w:val="21"/>
        </w:rPr>
        <w:tab/>
      </w:r>
      <w:proofErr w:type="gramStart"/>
      <w:r w:rsidRPr="00A23132">
        <w:rPr>
          <w:rFonts w:ascii="Times New Roman" w:hAnsi="Times New Roman"/>
          <w:sz w:val="21"/>
          <w:szCs w:val="21"/>
        </w:rPr>
        <w:t>comply</w:t>
      </w:r>
      <w:proofErr w:type="gramEnd"/>
      <w:r w:rsidRPr="00A23132">
        <w:rPr>
          <w:rFonts w:ascii="Times New Roman" w:hAnsi="Times New Roman"/>
          <w:sz w:val="21"/>
          <w:szCs w:val="21"/>
        </w:rPr>
        <w:t xml:space="preserve"> with any conditions on disclosure imposed by the Commonwealth</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2.5</w:t>
      </w:r>
      <w:r w:rsidRPr="00A23132">
        <w:rPr>
          <w:rFonts w:ascii="Times New Roman" w:hAnsi="Times New Roman"/>
          <w:sz w:val="21"/>
          <w:szCs w:val="21"/>
        </w:rPr>
        <w:tab/>
        <w:t>The Member understands and acknowledges that any unauthorised use or disclosure of Confidential Information may make him/her liable for prosecution under the laws of the Commonwealth.</w:t>
      </w:r>
    </w:p>
    <w:p w:rsidR="00A23132" w:rsidRPr="00A23132" w:rsidRDefault="00A23132" w:rsidP="00A23132">
      <w:pPr>
        <w:spacing w:after="120" w:line="276" w:lineRule="auto"/>
        <w:rPr>
          <w:rFonts w:ascii="Times New Roman" w:hAnsi="Times New Roman"/>
          <w:b/>
          <w:sz w:val="21"/>
          <w:szCs w:val="21"/>
        </w:rPr>
      </w:pPr>
      <w:r w:rsidRPr="00A23132">
        <w:rPr>
          <w:rFonts w:ascii="Times New Roman" w:hAnsi="Times New Roman"/>
          <w:b/>
          <w:sz w:val="21"/>
          <w:szCs w:val="21"/>
        </w:rPr>
        <w:t>3.</w:t>
      </w:r>
      <w:r w:rsidRPr="00A23132">
        <w:rPr>
          <w:rFonts w:ascii="Times New Roman" w:hAnsi="Times New Roman"/>
          <w:b/>
          <w:sz w:val="21"/>
          <w:szCs w:val="21"/>
        </w:rPr>
        <w:tab/>
        <w:t>Survival of Undertakings</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3.1</w:t>
      </w:r>
      <w:r w:rsidRPr="00A23132">
        <w:rPr>
          <w:rFonts w:ascii="Times New Roman" w:hAnsi="Times New Roman"/>
          <w:sz w:val="21"/>
          <w:szCs w:val="21"/>
        </w:rPr>
        <w:tab/>
        <w:t>The Member acknowledges that the undertakings given in relation to the Confidential Information shall continue in force after the expiration or termination of this Deed Poll.</w:t>
      </w:r>
    </w:p>
    <w:p w:rsidR="00A23132" w:rsidRPr="00A23132" w:rsidRDefault="00A23132" w:rsidP="00A23132">
      <w:pPr>
        <w:spacing w:after="120" w:line="276" w:lineRule="auto"/>
        <w:ind w:left="709" w:hanging="709"/>
        <w:rPr>
          <w:rFonts w:ascii="Times New Roman" w:hAnsi="Times New Roman"/>
          <w:b/>
          <w:sz w:val="21"/>
          <w:szCs w:val="21"/>
        </w:rPr>
      </w:pPr>
      <w:r w:rsidRPr="00A23132">
        <w:rPr>
          <w:rFonts w:ascii="Times New Roman" w:hAnsi="Times New Roman"/>
          <w:b/>
          <w:sz w:val="21"/>
          <w:szCs w:val="21"/>
        </w:rPr>
        <w:t>4.</w:t>
      </w:r>
      <w:r w:rsidRPr="00A23132">
        <w:rPr>
          <w:rFonts w:ascii="Times New Roman" w:hAnsi="Times New Roman"/>
          <w:b/>
          <w:sz w:val="21"/>
          <w:szCs w:val="21"/>
        </w:rPr>
        <w:tab/>
        <w:t>Return of Materials</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4.1</w:t>
      </w:r>
      <w:r w:rsidRPr="00A23132">
        <w:rPr>
          <w:rFonts w:ascii="Times New Roman" w:hAnsi="Times New Roman"/>
          <w:sz w:val="21"/>
          <w:szCs w:val="21"/>
        </w:rPr>
        <w:tab/>
        <w:t>The Member agrees to return all Confidential Information, including any copies held in the Member’s possession, to the Commonwealth on ceasing to perform his/her duties as a member of the Committee, or as otherwise directed by the Commonwealth.</w:t>
      </w:r>
    </w:p>
    <w:p w:rsidR="00A23132" w:rsidRPr="00A23132" w:rsidRDefault="00A23132" w:rsidP="00A23132">
      <w:pPr>
        <w:spacing w:after="120" w:line="276" w:lineRule="auto"/>
        <w:rPr>
          <w:rFonts w:ascii="Times New Roman" w:hAnsi="Times New Roman"/>
          <w:b/>
          <w:sz w:val="21"/>
          <w:szCs w:val="21"/>
        </w:rPr>
      </w:pPr>
      <w:r w:rsidRPr="00A23132">
        <w:rPr>
          <w:rFonts w:ascii="Times New Roman" w:hAnsi="Times New Roman"/>
          <w:b/>
          <w:sz w:val="21"/>
          <w:szCs w:val="21"/>
        </w:rPr>
        <w:t>5.</w:t>
      </w:r>
      <w:r w:rsidRPr="00A23132">
        <w:rPr>
          <w:rFonts w:ascii="Times New Roman" w:hAnsi="Times New Roman"/>
          <w:b/>
          <w:sz w:val="21"/>
          <w:szCs w:val="21"/>
        </w:rPr>
        <w:tab/>
        <w:t>Conflict of Interest</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5.1</w:t>
      </w:r>
      <w:r w:rsidRPr="00A23132">
        <w:rPr>
          <w:rFonts w:ascii="Times New Roman" w:hAnsi="Times New Roman"/>
          <w:sz w:val="21"/>
          <w:szCs w:val="21"/>
        </w:rPr>
        <w:tab/>
        <w:t xml:space="preserve">The Member warrants that at the date of this undertaking, and to the best of his or her knowledge and after making diligent inquiry, no conflict of interest exists, or is likely to arise in the performance of his/her duties as a member of the Committee.  </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5.2</w:t>
      </w:r>
      <w:r w:rsidRPr="00A23132">
        <w:rPr>
          <w:rFonts w:ascii="Times New Roman" w:hAnsi="Times New Roman"/>
          <w:sz w:val="21"/>
          <w:szCs w:val="21"/>
        </w:rPr>
        <w:tab/>
        <w:t>If, during the period of the membership on the Committee, a conflict of interest does arise, or appears likely to arise, the Member undertakes to notify the Commonwealth immediately in writing and to take such steps as the Commonwealth may reasonably require to resolve or to otherwise deal with the conflict.</w:t>
      </w:r>
    </w:p>
    <w:p w:rsidR="00A23132" w:rsidRPr="00A23132" w:rsidRDefault="00A23132" w:rsidP="00A23132">
      <w:pPr>
        <w:spacing w:after="120" w:line="276" w:lineRule="auto"/>
        <w:rPr>
          <w:rFonts w:ascii="Times New Roman" w:hAnsi="Times New Roman"/>
          <w:b/>
          <w:sz w:val="21"/>
          <w:szCs w:val="21"/>
        </w:rPr>
      </w:pPr>
      <w:r w:rsidRPr="00A23132">
        <w:rPr>
          <w:rFonts w:ascii="Times New Roman" w:hAnsi="Times New Roman"/>
          <w:b/>
          <w:sz w:val="21"/>
          <w:szCs w:val="21"/>
        </w:rPr>
        <w:t>6.</w:t>
      </w:r>
      <w:r w:rsidRPr="00A23132">
        <w:rPr>
          <w:rFonts w:ascii="Times New Roman" w:hAnsi="Times New Roman"/>
          <w:b/>
          <w:sz w:val="21"/>
          <w:szCs w:val="21"/>
        </w:rPr>
        <w:tab/>
        <w:t>Indemnity</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6.1</w:t>
      </w:r>
      <w:r w:rsidRPr="00A23132">
        <w:rPr>
          <w:rFonts w:ascii="Times New Roman" w:hAnsi="Times New Roman"/>
          <w:sz w:val="21"/>
          <w:szCs w:val="21"/>
        </w:rPr>
        <w:tab/>
        <w:t>The Member agrees to indemnify and hold harmless the Commonwealth against all costs (including legal costs and expenses on a solicitor/own client basis), liability, losses and claims reasonably incurred by the Commonwealth which are caused by or contributed to by the Member’s failure to comply with this Deed Poll.</w:t>
      </w:r>
    </w:p>
    <w:p w:rsidR="00A23132" w:rsidRPr="00A23132" w:rsidRDefault="00A23132" w:rsidP="00A23132">
      <w:pPr>
        <w:spacing w:after="120" w:line="276" w:lineRule="auto"/>
        <w:rPr>
          <w:rFonts w:ascii="Times New Roman" w:hAnsi="Times New Roman"/>
          <w:b/>
          <w:sz w:val="21"/>
          <w:szCs w:val="21"/>
        </w:rPr>
      </w:pPr>
      <w:r w:rsidRPr="00A23132">
        <w:rPr>
          <w:rFonts w:ascii="Times New Roman" w:hAnsi="Times New Roman"/>
          <w:b/>
          <w:sz w:val="21"/>
          <w:szCs w:val="21"/>
        </w:rPr>
        <w:t>7.</w:t>
      </w:r>
      <w:r w:rsidRPr="00A23132">
        <w:rPr>
          <w:rFonts w:ascii="Times New Roman" w:hAnsi="Times New Roman"/>
          <w:b/>
          <w:sz w:val="21"/>
          <w:szCs w:val="21"/>
        </w:rPr>
        <w:tab/>
        <w:t>Governing Law</w:t>
      </w:r>
    </w:p>
    <w:p w:rsidR="00A23132" w:rsidRPr="00A23132" w:rsidRDefault="00A23132" w:rsidP="00A23132">
      <w:pPr>
        <w:spacing w:after="120" w:line="276" w:lineRule="auto"/>
        <w:ind w:left="709" w:hanging="709"/>
        <w:rPr>
          <w:rFonts w:ascii="Times New Roman" w:hAnsi="Times New Roman"/>
          <w:sz w:val="21"/>
          <w:szCs w:val="21"/>
        </w:rPr>
      </w:pPr>
      <w:r w:rsidRPr="00A23132">
        <w:rPr>
          <w:rFonts w:ascii="Times New Roman" w:hAnsi="Times New Roman"/>
          <w:sz w:val="21"/>
          <w:szCs w:val="21"/>
        </w:rPr>
        <w:t>7.1</w:t>
      </w:r>
      <w:r w:rsidRPr="00A23132">
        <w:rPr>
          <w:rFonts w:ascii="Times New Roman" w:hAnsi="Times New Roman"/>
          <w:sz w:val="21"/>
          <w:szCs w:val="21"/>
        </w:rPr>
        <w:tab/>
        <w:t>This Deed Poll shall be governed by and construed according to the law of the Australian Capital Territory.</w:t>
      </w: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b/>
          <w:sz w:val="21"/>
          <w:szCs w:val="21"/>
        </w:rPr>
      </w:pPr>
      <w:r w:rsidRPr="00A23132">
        <w:rPr>
          <w:rFonts w:ascii="Times New Roman" w:hAnsi="Times New Roman"/>
          <w:b/>
          <w:sz w:val="21"/>
          <w:szCs w:val="21"/>
        </w:rPr>
        <w:t>Executed as a Deed Poll</w:t>
      </w:r>
    </w:p>
    <w:p w:rsidR="00A23132" w:rsidRPr="00A23132" w:rsidRDefault="00A23132" w:rsidP="00A23132">
      <w:pPr>
        <w:spacing w:after="120" w:line="276" w:lineRule="auto"/>
        <w:rPr>
          <w:rFonts w:ascii="Times New Roman" w:hAnsi="Times New Roman"/>
          <w:sz w:val="21"/>
          <w:szCs w:val="21"/>
        </w:rPr>
      </w:pPr>
      <w:r w:rsidRPr="00A23132">
        <w:rPr>
          <w:rFonts w:ascii="Times New Roman" w:hAnsi="Times New Roman"/>
          <w:sz w:val="21"/>
          <w:szCs w:val="21"/>
        </w:rPr>
        <w:t>SIGNED SEALED AND DELIVERED by</w:t>
      </w: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sz w:val="21"/>
          <w:szCs w:val="21"/>
        </w:rPr>
      </w:pPr>
      <w:r w:rsidRPr="00A23132">
        <w:rPr>
          <w:rFonts w:ascii="Times New Roman" w:hAnsi="Times New Roman"/>
          <w:sz w:val="21"/>
          <w:szCs w:val="21"/>
        </w:rPr>
        <w:t>………………………………………</w:t>
      </w:r>
      <w:r w:rsidRPr="00A23132">
        <w:rPr>
          <w:rFonts w:ascii="Times New Roman" w:hAnsi="Times New Roman"/>
          <w:sz w:val="21"/>
          <w:szCs w:val="21"/>
        </w:rPr>
        <w:tab/>
      </w:r>
      <w:r w:rsidRPr="00A23132">
        <w:rPr>
          <w:rFonts w:ascii="Times New Roman" w:hAnsi="Times New Roman"/>
          <w:sz w:val="21"/>
          <w:szCs w:val="21"/>
        </w:rPr>
        <w:tab/>
        <w:t>……………………………………….</w:t>
      </w:r>
    </w:p>
    <w:p w:rsidR="00A23132" w:rsidRPr="00A23132" w:rsidRDefault="00A23132" w:rsidP="00A23132">
      <w:pPr>
        <w:spacing w:after="120" w:line="276" w:lineRule="auto"/>
        <w:rPr>
          <w:rFonts w:ascii="Times New Roman" w:hAnsi="Times New Roman"/>
          <w:sz w:val="21"/>
          <w:szCs w:val="21"/>
        </w:rPr>
      </w:pPr>
      <w:r w:rsidRPr="00A23132">
        <w:rPr>
          <w:rFonts w:ascii="Times New Roman" w:hAnsi="Times New Roman"/>
          <w:sz w:val="21"/>
          <w:szCs w:val="21"/>
        </w:rPr>
        <w:t>(Printed Name of Member)</w:t>
      </w:r>
      <w:r w:rsidRPr="00A23132">
        <w:rPr>
          <w:rFonts w:ascii="Times New Roman" w:hAnsi="Times New Roman"/>
          <w:sz w:val="21"/>
          <w:szCs w:val="21"/>
        </w:rPr>
        <w:tab/>
        <w:t xml:space="preserve"> (Signature)</w:t>
      </w: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sz w:val="21"/>
          <w:szCs w:val="21"/>
        </w:rPr>
      </w:pPr>
      <w:proofErr w:type="gramStart"/>
      <w:r w:rsidRPr="00A23132">
        <w:rPr>
          <w:rFonts w:ascii="Times New Roman" w:hAnsi="Times New Roman"/>
          <w:sz w:val="21"/>
          <w:szCs w:val="21"/>
        </w:rPr>
        <w:t>in</w:t>
      </w:r>
      <w:proofErr w:type="gramEnd"/>
      <w:r w:rsidRPr="00A23132">
        <w:rPr>
          <w:rFonts w:ascii="Times New Roman" w:hAnsi="Times New Roman"/>
          <w:sz w:val="21"/>
          <w:szCs w:val="21"/>
        </w:rPr>
        <w:t xml:space="preserve"> the presence of:</w:t>
      </w: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sz w:val="21"/>
          <w:szCs w:val="21"/>
        </w:rPr>
      </w:pPr>
    </w:p>
    <w:p w:rsidR="00A23132" w:rsidRPr="00A23132" w:rsidRDefault="00A23132" w:rsidP="00A23132">
      <w:pPr>
        <w:spacing w:after="120" w:line="276" w:lineRule="auto"/>
        <w:rPr>
          <w:rFonts w:ascii="Times New Roman" w:hAnsi="Times New Roman"/>
          <w:sz w:val="21"/>
          <w:szCs w:val="21"/>
        </w:rPr>
      </w:pPr>
      <w:r w:rsidRPr="00A23132">
        <w:rPr>
          <w:rFonts w:ascii="Times New Roman" w:hAnsi="Times New Roman"/>
          <w:sz w:val="21"/>
          <w:szCs w:val="21"/>
        </w:rPr>
        <w:t>……………………………………….</w:t>
      </w:r>
      <w:r w:rsidRPr="00A23132">
        <w:rPr>
          <w:rFonts w:ascii="Times New Roman" w:hAnsi="Times New Roman"/>
          <w:sz w:val="21"/>
          <w:szCs w:val="21"/>
        </w:rPr>
        <w:tab/>
      </w:r>
      <w:r w:rsidRPr="00A23132">
        <w:rPr>
          <w:rFonts w:ascii="Times New Roman" w:hAnsi="Times New Roman"/>
          <w:sz w:val="21"/>
          <w:szCs w:val="21"/>
        </w:rPr>
        <w:tab/>
        <w:t>……………………………………….</w:t>
      </w:r>
    </w:p>
    <w:p w:rsidR="002E5321" w:rsidRPr="00101501" w:rsidRDefault="00A23132" w:rsidP="00101501">
      <w:pPr>
        <w:spacing w:after="120" w:line="276" w:lineRule="auto"/>
        <w:rPr>
          <w:rFonts w:ascii="Times New Roman" w:hAnsi="Times New Roman"/>
          <w:sz w:val="21"/>
          <w:szCs w:val="21"/>
        </w:rPr>
      </w:pPr>
      <w:r w:rsidRPr="00A23132">
        <w:rPr>
          <w:rFonts w:ascii="Times New Roman" w:hAnsi="Times New Roman"/>
          <w:sz w:val="21"/>
          <w:szCs w:val="21"/>
        </w:rPr>
        <w:t>(Printed Name of Witness)</w:t>
      </w:r>
      <w:r w:rsidRPr="00A23132">
        <w:rPr>
          <w:rFonts w:ascii="Times New Roman" w:hAnsi="Times New Roman"/>
          <w:sz w:val="21"/>
          <w:szCs w:val="21"/>
        </w:rPr>
        <w:tab/>
        <w:t xml:space="preserve"> (Signature)</w:t>
      </w:r>
    </w:p>
    <w:sectPr w:rsidR="002E5321" w:rsidRPr="00101501" w:rsidSect="00294371">
      <w:headerReference w:type="default" r:id="rId9"/>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86" w:rsidRDefault="004B2486" w:rsidP="004B2486">
      <w:r>
        <w:separator/>
      </w:r>
    </w:p>
  </w:endnote>
  <w:endnote w:type="continuationSeparator" w:id="0">
    <w:p w:rsidR="004B2486" w:rsidRDefault="004B2486" w:rsidP="004B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86" w:rsidRDefault="004B2486" w:rsidP="004B2486">
      <w:r>
        <w:separator/>
      </w:r>
    </w:p>
  </w:footnote>
  <w:footnote w:type="continuationSeparator" w:id="0">
    <w:p w:rsidR="004B2486" w:rsidRDefault="004B2486" w:rsidP="004B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78" w:rsidRDefault="00FC0F78" w:rsidP="00FC0F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BAE"/>
    <w:multiLevelType w:val="hybridMultilevel"/>
    <w:tmpl w:val="51F6C600"/>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04B4CD6"/>
    <w:multiLevelType w:val="hybridMultilevel"/>
    <w:tmpl w:val="D8E692D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 w15:restartNumberingAfterBreak="0">
    <w:nsid w:val="10D32F4C"/>
    <w:multiLevelType w:val="hybridMultilevel"/>
    <w:tmpl w:val="6F2C5EA8"/>
    <w:lvl w:ilvl="0" w:tplc="9B02377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A4785D"/>
    <w:multiLevelType w:val="hybridMultilevel"/>
    <w:tmpl w:val="CFFC9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0E04C0"/>
    <w:multiLevelType w:val="hybridMultilevel"/>
    <w:tmpl w:val="BFCCA0AC"/>
    <w:lvl w:ilvl="0" w:tplc="EAA44D88">
      <w:start w:val="1"/>
      <w:numFmt w:val="lowerLetter"/>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D51A0040">
      <w:start w:val="1"/>
      <w:numFmt w:val="lowerLetter"/>
      <w:lvlText w:val="%3)"/>
      <w:lvlJc w:val="left"/>
      <w:pPr>
        <w:ind w:left="2157" w:hanging="360"/>
      </w:pPr>
      <w:rPr>
        <w:rFont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14652B19"/>
    <w:multiLevelType w:val="hybridMultilevel"/>
    <w:tmpl w:val="1C4CE6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FA185D"/>
    <w:multiLevelType w:val="hybridMultilevel"/>
    <w:tmpl w:val="CF101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C1FBB"/>
    <w:multiLevelType w:val="hybridMultilevel"/>
    <w:tmpl w:val="1F0446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306210"/>
    <w:multiLevelType w:val="hybridMultilevel"/>
    <w:tmpl w:val="99ACDE86"/>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D51A0040">
      <w:start w:val="1"/>
      <w:numFmt w:val="lowerLetter"/>
      <w:lvlText w:val="%3)"/>
      <w:lvlJc w:val="left"/>
      <w:pPr>
        <w:ind w:left="2157" w:hanging="360"/>
      </w:pPr>
      <w:rPr>
        <w:rFont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27645A82"/>
    <w:multiLevelType w:val="hybridMultilevel"/>
    <w:tmpl w:val="CA164B5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2F9D57BF"/>
    <w:multiLevelType w:val="hybridMultilevel"/>
    <w:tmpl w:val="45EAA350"/>
    <w:lvl w:ilvl="0" w:tplc="63DA3D40">
      <w:start w:val="4"/>
      <w:numFmt w:val="decimal"/>
      <w:pStyle w:val="1stheading"/>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30212718"/>
    <w:multiLevelType w:val="hybridMultilevel"/>
    <w:tmpl w:val="0A6AD2FE"/>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D51A0040">
      <w:start w:val="1"/>
      <w:numFmt w:val="lowerLetter"/>
      <w:lvlText w:val="%3)"/>
      <w:lvlJc w:val="left"/>
      <w:pPr>
        <w:ind w:left="2157" w:hanging="360"/>
      </w:pPr>
      <w:rPr>
        <w:rFont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3C2F0976"/>
    <w:multiLevelType w:val="hybridMultilevel"/>
    <w:tmpl w:val="31563444"/>
    <w:lvl w:ilvl="0" w:tplc="03460B9A">
      <w:start w:val="1"/>
      <w:numFmt w:val="lowerLetter"/>
      <w:lvlText w:val="%1)"/>
      <w:lvlJc w:val="left"/>
      <w:pPr>
        <w:ind w:left="21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41641E1"/>
    <w:multiLevelType w:val="hybridMultilevel"/>
    <w:tmpl w:val="4C8A99C6"/>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52C7C92"/>
    <w:multiLevelType w:val="hybridMultilevel"/>
    <w:tmpl w:val="E2B28C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B7873DD"/>
    <w:multiLevelType w:val="hybridMultilevel"/>
    <w:tmpl w:val="8C9A75D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55AE378E"/>
    <w:multiLevelType w:val="hybridMultilevel"/>
    <w:tmpl w:val="FDD44202"/>
    <w:lvl w:ilvl="0" w:tplc="9B023770">
      <w:start w:val="1"/>
      <w:numFmt w:val="lowerLetter"/>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D51A0040">
      <w:start w:val="1"/>
      <w:numFmt w:val="lowerLetter"/>
      <w:lvlText w:val="%3)"/>
      <w:lvlJc w:val="left"/>
      <w:pPr>
        <w:ind w:left="2157" w:hanging="360"/>
      </w:pPr>
      <w:rPr>
        <w:rFont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5685681E"/>
    <w:multiLevelType w:val="hybridMultilevel"/>
    <w:tmpl w:val="3760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B15F11"/>
    <w:multiLevelType w:val="hybridMultilevel"/>
    <w:tmpl w:val="927ABB66"/>
    <w:lvl w:ilvl="0" w:tplc="9B02377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33380"/>
    <w:multiLevelType w:val="hybridMultilevel"/>
    <w:tmpl w:val="040ECFBE"/>
    <w:lvl w:ilvl="0" w:tplc="9B0237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7449DB"/>
    <w:multiLevelType w:val="hybridMultilevel"/>
    <w:tmpl w:val="4586BA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6C3F39"/>
    <w:multiLevelType w:val="hybridMultilevel"/>
    <w:tmpl w:val="5576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10DBA"/>
    <w:multiLevelType w:val="hybridMultilevel"/>
    <w:tmpl w:val="3E7473A8"/>
    <w:lvl w:ilvl="0" w:tplc="E3CE031A">
      <w:start w:val="1"/>
      <w:numFmt w:val="upp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443E99"/>
    <w:multiLevelType w:val="hybridMultilevel"/>
    <w:tmpl w:val="8534A14E"/>
    <w:lvl w:ilvl="0" w:tplc="63DA3D40">
      <w:start w:val="4"/>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D51A0040">
      <w:start w:val="1"/>
      <w:numFmt w:val="lowerLetter"/>
      <w:lvlText w:val="%3)"/>
      <w:lvlJc w:val="left"/>
      <w:pPr>
        <w:ind w:left="2157" w:hanging="360"/>
      </w:pPr>
      <w:rPr>
        <w:rFont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7A2F372D"/>
    <w:multiLevelType w:val="hybridMultilevel"/>
    <w:tmpl w:val="EBDAB8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7"/>
  </w:num>
  <w:num w:numId="2">
    <w:abstractNumId w:val="10"/>
  </w:num>
  <w:num w:numId="3">
    <w:abstractNumId w:val="6"/>
  </w:num>
  <w:num w:numId="4">
    <w:abstractNumId w:val="9"/>
  </w:num>
  <w:num w:numId="5">
    <w:abstractNumId w:val="15"/>
  </w:num>
  <w:num w:numId="6">
    <w:abstractNumId w:val="3"/>
  </w:num>
  <w:num w:numId="7">
    <w:abstractNumId w:val="21"/>
  </w:num>
  <w:num w:numId="8">
    <w:abstractNumId w:val="24"/>
  </w:num>
  <w:num w:numId="9">
    <w:abstractNumId w:val="10"/>
  </w:num>
  <w:num w:numId="10">
    <w:abstractNumId w:val="22"/>
  </w:num>
  <w:num w:numId="11">
    <w:abstractNumId w:val="10"/>
  </w:num>
  <w:num w:numId="12">
    <w:abstractNumId w:val="17"/>
  </w:num>
  <w:num w:numId="13">
    <w:abstractNumId w:val="4"/>
  </w:num>
  <w:num w:numId="14">
    <w:abstractNumId w:val="0"/>
  </w:num>
  <w:num w:numId="15">
    <w:abstractNumId w:val="14"/>
  </w:num>
  <w:num w:numId="16">
    <w:abstractNumId w:val="13"/>
  </w:num>
  <w:num w:numId="17">
    <w:abstractNumId w:val="12"/>
  </w:num>
  <w:num w:numId="18">
    <w:abstractNumId w:val="20"/>
  </w:num>
  <w:num w:numId="19">
    <w:abstractNumId w:val="1"/>
  </w:num>
  <w:num w:numId="20">
    <w:abstractNumId w:val="23"/>
  </w:num>
  <w:num w:numId="21">
    <w:abstractNumId w:val="8"/>
  </w:num>
  <w:num w:numId="22">
    <w:abstractNumId w:val="11"/>
  </w:num>
  <w:num w:numId="23">
    <w:abstractNumId w:val="16"/>
  </w:num>
  <w:num w:numId="24">
    <w:abstractNumId w:val="18"/>
  </w:num>
  <w:num w:numId="25">
    <w:abstractNumId w:val="2"/>
  </w:num>
  <w:num w:numId="26">
    <w:abstractNumId w:val="5"/>
  </w:num>
  <w:num w:numId="27">
    <w:abstractNumId w:val="19"/>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F9"/>
    <w:rsid w:val="00003743"/>
    <w:rsid w:val="00011C3D"/>
    <w:rsid w:val="000359CA"/>
    <w:rsid w:val="0004515E"/>
    <w:rsid w:val="00067456"/>
    <w:rsid w:val="00075300"/>
    <w:rsid w:val="00101501"/>
    <w:rsid w:val="00121F85"/>
    <w:rsid w:val="001B3443"/>
    <w:rsid w:val="001C0A8B"/>
    <w:rsid w:val="001D5D8E"/>
    <w:rsid w:val="001F6CC7"/>
    <w:rsid w:val="001F741B"/>
    <w:rsid w:val="002031F9"/>
    <w:rsid w:val="00210220"/>
    <w:rsid w:val="00226C88"/>
    <w:rsid w:val="00266B31"/>
    <w:rsid w:val="00286F5C"/>
    <w:rsid w:val="00294371"/>
    <w:rsid w:val="002A0ED5"/>
    <w:rsid w:val="002E5321"/>
    <w:rsid w:val="002F3AE3"/>
    <w:rsid w:val="0030786C"/>
    <w:rsid w:val="00324518"/>
    <w:rsid w:val="00333370"/>
    <w:rsid w:val="0033748C"/>
    <w:rsid w:val="00352ECF"/>
    <w:rsid w:val="003D17F9"/>
    <w:rsid w:val="003E39CB"/>
    <w:rsid w:val="00420637"/>
    <w:rsid w:val="004258F8"/>
    <w:rsid w:val="00436273"/>
    <w:rsid w:val="00482644"/>
    <w:rsid w:val="004867E2"/>
    <w:rsid w:val="004B2486"/>
    <w:rsid w:val="004D1115"/>
    <w:rsid w:val="004E1234"/>
    <w:rsid w:val="00526BAC"/>
    <w:rsid w:val="00540D69"/>
    <w:rsid w:val="00586C73"/>
    <w:rsid w:val="005A1F7A"/>
    <w:rsid w:val="005D0F70"/>
    <w:rsid w:val="005D3F7E"/>
    <w:rsid w:val="005F24E5"/>
    <w:rsid w:val="0063304A"/>
    <w:rsid w:val="00660B4F"/>
    <w:rsid w:val="00665216"/>
    <w:rsid w:val="006719A9"/>
    <w:rsid w:val="00686322"/>
    <w:rsid w:val="00687F94"/>
    <w:rsid w:val="006D0AB8"/>
    <w:rsid w:val="006D2699"/>
    <w:rsid w:val="006E40C9"/>
    <w:rsid w:val="00746294"/>
    <w:rsid w:val="007470C9"/>
    <w:rsid w:val="00770931"/>
    <w:rsid w:val="00770AC9"/>
    <w:rsid w:val="007C6B16"/>
    <w:rsid w:val="007E29B7"/>
    <w:rsid w:val="007E3D5C"/>
    <w:rsid w:val="007F064D"/>
    <w:rsid w:val="008264EB"/>
    <w:rsid w:val="008324C4"/>
    <w:rsid w:val="00842FF6"/>
    <w:rsid w:val="008563A9"/>
    <w:rsid w:val="00895433"/>
    <w:rsid w:val="008C4C0B"/>
    <w:rsid w:val="008C5D32"/>
    <w:rsid w:val="008E78BA"/>
    <w:rsid w:val="009023D9"/>
    <w:rsid w:val="00945F85"/>
    <w:rsid w:val="009B23BB"/>
    <w:rsid w:val="009C4EBC"/>
    <w:rsid w:val="009D2E3A"/>
    <w:rsid w:val="00A07D57"/>
    <w:rsid w:val="00A23132"/>
    <w:rsid w:val="00A4512D"/>
    <w:rsid w:val="00A705AF"/>
    <w:rsid w:val="00A70CF8"/>
    <w:rsid w:val="00A71BE9"/>
    <w:rsid w:val="00AA5853"/>
    <w:rsid w:val="00AF48C5"/>
    <w:rsid w:val="00B42851"/>
    <w:rsid w:val="00B53031"/>
    <w:rsid w:val="00B739D5"/>
    <w:rsid w:val="00B85366"/>
    <w:rsid w:val="00B96D4D"/>
    <w:rsid w:val="00BD22F9"/>
    <w:rsid w:val="00C26986"/>
    <w:rsid w:val="00C26FFB"/>
    <w:rsid w:val="00C85D73"/>
    <w:rsid w:val="00C9066A"/>
    <w:rsid w:val="00C93292"/>
    <w:rsid w:val="00CB13AA"/>
    <w:rsid w:val="00CB5B1A"/>
    <w:rsid w:val="00CC51A5"/>
    <w:rsid w:val="00D32B42"/>
    <w:rsid w:val="00D51690"/>
    <w:rsid w:val="00D65996"/>
    <w:rsid w:val="00D94E1B"/>
    <w:rsid w:val="00D96756"/>
    <w:rsid w:val="00D97939"/>
    <w:rsid w:val="00DB2423"/>
    <w:rsid w:val="00DC3907"/>
    <w:rsid w:val="00DF04CB"/>
    <w:rsid w:val="00E8247C"/>
    <w:rsid w:val="00F26E0E"/>
    <w:rsid w:val="00F270D6"/>
    <w:rsid w:val="00F54C36"/>
    <w:rsid w:val="00F860FD"/>
    <w:rsid w:val="00F93A94"/>
    <w:rsid w:val="00FC0F10"/>
    <w:rsid w:val="00FC0F78"/>
    <w:rsid w:val="00FD0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181D6C9-8468-4C5E-A5AB-F17A0C09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F9"/>
    <w:rPr>
      <w:rFonts w:ascii="Calibri" w:hAnsi="Calibri"/>
      <w:sz w:val="24"/>
      <w:szCs w:val="24"/>
      <w:lang w:eastAsia="en-US"/>
    </w:rPr>
  </w:style>
  <w:style w:type="paragraph" w:styleId="Heading1">
    <w:name w:val="heading 1"/>
    <w:basedOn w:val="1stheading"/>
    <w:next w:val="Normal"/>
    <w:qFormat/>
    <w:rsid w:val="00DB2423"/>
    <w:pPr>
      <w:numPr>
        <w:numId w:val="0"/>
      </w:numPr>
      <w:ind w:left="426" w:hanging="426"/>
      <w:outlineLvl w:val="0"/>
    </w:p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Caption">
    <w:name w:val="caption"/>
    <w:basedOn w:val="Normal"/>
    <w:next w:val="Normal"/>
    <w:qFormat/>
    <w:rsid w:val="00BD22F9"/>
    <w:pPr>
      <w:pBdr>
        <w:top w:val="single" w:sz="12" w:space="15" w:color="auto"/>
        <w:bottom w:val="single" w:sz="12" w:space="15" w:color="auto"/>
      </w:pBdr>
      <w:spacing w:before="240" w:after="240"/>
      <w:jc w:val="center"/>
    </w:pPr>
    <w:rPr>
      <w:b/>
      <w:bCs/>
      <w:sz w:val="44"/>
      <w:szCs w:val="44"/>
    </w:rPr>
  </w:style>
  <w:style w:type="paragraph" w:customStyle="1" w:styleId="logo">
    <w:name w:val="logo"/>
    <w:basedOn w:val="Normal"/>
    <w:rsid w:val="00BD22F9"/>
    <w:pPr>
      <w:overflowPunct w:val="0"/>
      <w:autoSpaceDE w:val="0"/>
      <w:autoSpaceDN w:val="0"/>
      <w:adjustRightInd w:val="0"/>
      <w:spacing w:before="720" w:after="1920" w:line="300" w:lineRule="atLeast"/>
      <w:jc w:val="center"/>
      <w:textAlignment w:val="baseline"/>
    </w:pPr>
    <w:rPr>
      <w:rFonts w:ascii="Century Schoolbook" w:hAnsi="Century Schoolbook"/>
    </w:rPr>
  </w:style>
  <w:style w:type="paragraph" w:customStyle="1" w:styleId="descriptor">
    <w:name w:val="descriptor"/>
    <w:basedOn w:val="Normal"/>
    <w:link w:val="descriptorChar"/>
    <w:rsid w:val="00BD22F9"/>
    <w:pPr>
      <w:overflowPunct w:val="0"/>
      <w:autoSpaceDE w:val="0"/>
      <w:autoSpaceDN w:val="0"/>
      <w:adjustRightInd w:val="0"/>
      <w:spacing w:after="120" w:line="300" w:lineRule="atLeast"/>
      <w:textAlignment w:val="baseline"/>
    </w:pPr>
    <w:rPr>
      <w:rFonts w:ascii="Arial" w:hAnsi="Arial" w:cs="Arial"/>
    </w:rPr>
  </w:style>
  <w:style w:type="paragraph" w:customStyle="1" w:styleId="1stheading">
    <w:name w:val="1st heading"/>
    <w:basedOn w:val="descriptor"/>
    <w:link w:val="1stheadingChar"/>
    <w:qFormat/>
    <w:rsid w:val="00BD22F9"/>
    <w:pPr>
      <w:numPr>
        <w:numId w:val="2"/>
      </w:numPr>
      <w:spacing w:before="240" w:after="240" w:line="276" w:lineRule="auto"/>
      <w:jc w:val="both"/>
    </w:pPr>
    <w:rPr>
      <w:rFonts w:ascii="Calibri" w:hAnsi="Calibri"/>
      <w:b/>
      <w:sz w:val="28"/>
      <w:szCs w:val="28"/>
    </w:rPr>
  </w:style>
  <w:style w:type="paragraph" w:customStyle="1" w:styleId="NormalItalics">
    <w:name w:val="NormalItalics"/>
    <w:basedOn w:val="Normal"/>
    <w:rsid w:val="00333370"/>
    <w:pPr>
      <w:spacing w:before="120" w:after="240"/>
      <w:ind w:left="720"/>
    </w:pPr>
    <w:rPr>
      <w:rFonts w:ascii="Times New Roman" w:hAnsi="Times New Roman"/>
      <w:i/>
      <w:iCs/>
    </w:rPr>
  </w:style>
  <w:style w:type="character" w:customStyle="1" w:styleId="descriptorChar">
    <w:name w:val="descriptor Char"/>
    <w:basedOn w:val="DefaultParagraphFont"/>
    <w:link w:val="descriptor"/>
    <w:rsid w:val="00BD22F9"/>
    <w:rPr>
      <w:rFonts w:ascii="Arial" w:hAnsi="Arial" w:cs="Arial"/>
      <w:sz w:val="24"/>
      <w:szCs w:val="24"/>
      <w:lang w:eastAsia="en-US"/>
    </w:rPr>
  </w:style>
  <w:style w:type="character" w:customStyle="1" w:styleId="1stheadingChar">
    <w:name w:val="1st heading Char"/>
    <w:basedOn w:val="descriptorChar"/>
    <w:link w:val="1stheading"/>
    <w:rsid w:val="00BD22F9"/>
    <w:rPr>
      <w:rFonts w:ascii="Calibri" w:hAnsi="Calibri" w:cs="Arial"/>
      <w:b/>
      <w:sz w:val="28"/>
      <w:szCs w:val="28"/>
      <w:lang w:eastAsia="en-US"/>
    </w:rPr>
  </w:style>
  <w:style w:type="paragraph" w:customStyle="1" w:styleId="Secondheadiing">
    <w:name w:val="Second headiing"/>
    <w:basedOn w:val="1stheading"/>
    <w:link w:val="SecondheadiingChar"/>
    <w:qFormat/>
    <w:rsid w:val="00482644"/>
    <w:pPr>
      <w:keepNext/>
      <w:numPr>
        <w:numId w:val="0"/>
      </w:numPr>
      <w:spacing w:after="120"/>
      <w:ind w:left="709" w:hanging="708"/>
    </w:pPr>
    <w:rPr>
      <w:i/>
      <w:sz w:val="24"/>
    </w:rPr>
  </w:style>
  <w:style w:type="paragraph" w:styleId="BalloonText">
    <w:name w:val="Balloon Text"/>
    <w:basedOn w:val="Normal"/>
    <w:link w:val="BalloonTextChar"/>
    <w:rsid w:val="009D2E3A"/>
    <w:rPr>
      <w:rFonts w:ascii="Tahoma" w:hAnsi="Tahoma" w:cs="Tahoma"/>
      <w:sz w:val="16"/>
      <w:szCs w:val="16"/>
    </w:rPr>
  </w:style>
  <w:style w:type="character" w:customStyle="1" w:styleId="SecondheadiingChar">
    <w:name w:val="Second headiing Char"/>
    <w:basedOn w:val="1stheadingChar"/>
    <w:link w:val="Secondheadiing"/>
    <w:rsid w:val="00482644"/>
    <w:rPr>
      <w:rFonts w:ascii="Calibri" w:hAnsi="Calibri" w:cs="Arial"/>
      <w:b/>
      <w:i/>
      <w:sz w:val="24"/>
      <w:szCs w:val="28"/>
      <w:lang w:eastAsia="en-US"/>
    </w:rPr>
  </w:style>
  <w:style w:type="character" w:customStyle="1" w:styleId="BalloonTextChar">
    <w:name w:val="Balloon Text Char"/>
    <w:basedOn w:val="DefaultParagraphFont"/>
    <w:link w:val="BalloonText"/>
    <w:rsid w:val="009D2E3A"/>
    <w:rPr>
      <w:rFonts w:ascii="Tahoma" w:hAnsi="Tahoma" w:cs="Tahoma"/>
      <w:sz w:val="16"/>
      <w:szCs w:val="16"/>
      <w:lang w:eastAsia="en-US"/>
    </w:rPr>
  </w:style>
  <w:style w:type="paragraph" w:styleId="Header">
    <w:name w:val="header"/>
    <w:basedOn w:val="Normal"/>
    <w:link w:val="HeaderChar"/>
    <w:rsid w:val="004B2486"/>
    <w:pPr>
      <w:tabs>
        <w:tab w:val="center" w:pos="4513"/>
        <w:tab w:val="right" w:pos="9026"/>
      </w:tabs>
    </w:pPr>
  </w:style>
  <w:style w:type="character" w:customStyle="1" w:styleId="HeaderChar">
    <w:name w:val="Header Char"/>
    <w:basedOn w:val="DefaultParagraphFont"/>
    <w:link w:val="Header"/>
    <w:rsid w:val="004B2486"/>
    <w:rPr>
      <w:rFonts w:ascii="Calibri" w:hAnsi="Calibri"/>
      <w:sz w:val="24"/>
      <w:szCs w:val="24"/>
      <w:lang w:eastAsia="en-US"/>
    </w:rPr>
  </w:style>
  <w:style w:type="paragraph" w:styleId="Footer">
    <w:name w:val="footer"/>
    <w:basedOn w:val="Normal"/>
    <w:link w:val="FooterChar"/>
    <w:rsid w:val="004B2486"/>
    <w:pPr>
      <w:tabs>
        <w:tab w:val="center" w:pos="4513"/>
        <w:tab w:val="right" w:pos="9026"/>
      </w:tabs>
    </w:pPr>
  </w:style>
  <w:style w:type="character" w:customStyle="1" w:styleId="FooterChar">
    <w:name w:val="Footer Char"/>
    <w:basedOn w:val="DefaultParagraphFont"/>
    <w:link w:val="Footer"/>
    <w:rsid w:val="004B2486"/>
    <w:rPr>
      <w:rFonts w:ascii="Calibri" w:hAnsi="Calibri"/>
      <w:sz w:val="24"/>
      <w:szCs w:val="24"/>
      <w:lang w:eastAsia="en-US"/>
    </w:rPr>
  </w:style>
  <w:style w:type="character" w:styleId="Hyperlink">
    <w:name w:val="Hyperlink"/>
    <w:basedOn w:val="DefaultParagraphFont"/>
    <w:rsid w:val="00294371"/>
    <w:rPr>
      <w:color w:val="0000FF" w:themeColor="hyperlink"/>
      <w:u w:val="single"/>
    </w:rPr>
  </w:style>
  <w:style w:type="character" w:styleId="CommentReference">
    <w:name w:val="annotation reference"/>
    <w:basedOn w:val="DefaultParagraphFont"/>
    <w:rsid w:val="00210220"/>
    <w:rPr>
      <w:sz w:val="16"/>
      <w:szCs w:val="16"/>
    </w:rPr>
  </w:style>
  <w:style w:type="paragraph" w:styleId="CommentText">
    <w:name w:val="annotation text"/>
    <w:basedOn w:val="Normal"/>
    <w:link w:val="CommentTextChar"/>
    <w:rsid w:val="00210220"/>
    <w:rPr>
      <w:sz w:val="20"/>
      <w:szCs w:val="20"/>
    </w:rPr>
  </w:style>
  <w:style w:type="character" w:customStyle="1" w:styleId="CommentTextChar">
    <w:name w:val="Comment Text Char"/>
    <w:basedOn w:val="DefaultParagraphFont"/>
    <w:link w:val="CommentText"/>
    <w:rsid w:val="00210220"/>
    <w:rPr>
      <w:rFonts w:ascii="Calibri" w:hAnsi="Calibri"/>
      <w:lang w:eastAsia="en-US"/>
    </w:rPr>
  </w:style>
  <w:style w:type="paragraph" w:styleId="CommentSubject">
    <w:name w:val="annotation subject"/>
    <w:basedOn w:val="CommentText"/>
    <w:next w:val="CommentText"/>
    <w:link w:val="CommentSubjectChar"/>
    <w:rsid w:val="00210220"/>
    <w:rPr>
      <w:b/>
      <w:bCs/>
    </w:rPr>
  </w:style>
  <w:style w:type="character" w:customStyle="1" w:styleId="CommentSubjectChar">
    <w:name w:val="Comment Subject Char"/>
    <w:basedOn w:val="CommentTextChar"/>
    <w:link w:val="CommentSubject"/>
    <w:rsid w:val="00210220"/>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8ADF21-4F45-4158-A9E9-7B4A9E13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Benefit Setting and Review Framework Industry Working Group Terms of Reference</dc:title>
  <dc:subject/>
  <dc:creator>Australian Government Department of Health</dc:creator>
  <cp:keywords/>
  <dc:description/>
  <cp:revision>81</cp:revision>
  <cp:lastPrinted>2018-04-09T02:07:00Z</cp:lastPrinted>
  <dcterms:created xsi:type="dcterms:W3CDTF">2018-01-11T00:37:00Z</dcterms:created>
  <dcterms:modified xsi:type="dcterms:W3CDTF">2020-02-18T06:16:00Z</dcterms:modified>
</cp:coreProperties>
</file>