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3D" w:rsidRPr="00003987" w:rsidRDefault="00EB053D" w:rsidP="00EB053D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B053D" w:rsidRDefault="00EB053D" w:rsidP="00EB053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003987">
        <w:rPr>
          <w:rFonts w:cstheme="minorHAnsi"/>
          <w:b/>
          <w:caps/>
          <w:sz w:val="24"/>
          <w:szCs w:val="24"/>
        </w:rPr>
        <w:t xml:space="preserve">prostheses List: </w:t>
      </w:r>
    </w:p>
    <w:p w:rsidR="00EB053D" w:rsidRDefault="00EB053D" w:rsidP="00EB053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EB053D">
        <w:rPr>
          <w:rFonts w:cstheme="minorHAnsi"/>
          <w:b/>
          <w:caps/>
          <w:sz w:val="24"/>
          <w:szCs w:val="24"/>
        </w:rPr>
        <w:t xml:space="preserve">Revised Benefit Setting &amp; Review </w:t>
      </w:r>
      <w:r w:rsidR="002322CE">
        <w:rPr>
          <w:rFonts w:cstheme="minorHAnsi"/>
          <w:b/>
          <w:caps/>
          <w:sz w:val="24"/>
          <w:szCs w:val="24"/>
        </w:rPr>
        <w:t xml:space="preserve">FRAMEWORK </w:t>
      </w:r>
      <w:r w:rsidRPr="00EB053D">
        <w:rPr>
          <w:rFonts w:cstheme="minorHAnsi"/>
          <w:b/>
          <w:caps/>
          <w:sz w:val="24"/>
          <w:szCs w:val="24"/>
        </w:rPr>
        <w:t>Industry Working Group</w:t>
      </w:r>
    </w:p>
    <w:p w:rsidR="00EB053D" w:rsidRPr="00003987" w:rsidRDefault="00EB053D" w:rsidP="00EB05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B053D" w:rsidRPr="00003987" w:rsidRDefault="00EB053D" w:rsidP="00EB05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3987">
        <w:rPr>
          <w:rFonts w:cstheme="minorHAnsi"/>
          <w:b/>
          <w:sz w:val="24"/>
          <w:szCs w:val="24"/>
        </w:rPr>
        <w:t>COMMUNIQUE</w:t>
      </w:r>
    </w:p>
    <w:p w:rsidR="00EB053D" w:rsidRPr="00003987" w:rsidRDefault="00EB053D" w:rsidP="00EB053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053D" w:rsidRPr="00003987" w:rsidRDefault="00EB053D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3987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sixth</w:t>
      </w:r>
      <w:r w:rsidRPr="00003987">
        <w:rPr>
          <w:rFonts w:cstheme="minorHAnsi"/>
          <w:sz w:val="24"/>
          <w:szCs w:val="24"/>
        </w:rPr>
        <w:t xml:space="preserve"> meeting of the </w:t>
      </w:r>
      <w:r>
        <w:rPr>
          <w:rFonts w:cstheme="minorHAnsi"/>
          <w:sz w:val="24"/>
          <w:szCs w:val="24"/>
        </w:rPr>
        <w:t xml:space="preserve">Revised Benefit Setting &amp; Review Industry Working Group (BSR) </w:t>
      </w:r>
      <w:r w:rsidRPr="00003987">
        <w:rPr>
          <w:rFonts w:cstheme="minorHAnsi"/>
          <w:sz w:val="24"/>
          <w:szCs w:val="24"/>
        </w:rPr>
        <w:t xml:space="preserve">was held in Sydney on Thursday, </w:t>
      </w:r>
      <w:r>
        <w:rPr>
          <w:rFonts w:cstheme="minorHAnsi"/>
          <w:sz w:val="24"/>
          <w:szCs w:val="24"/>
        </w:rPr>
        <w:t>29</w:t>
      </w:r>
      <w:r w:rsidRPr="00003987">
        <w:rPr>
          <w:rFonts w:cstheme="minorHAnsi"/>
          <w:sz w:val="24"/>
          <w:szCs w:val="24"/>
        </w:rPr>
        <w:t xml:space="preserve"> August 2019, with an agenda focussed on key prostheses reform activities. Attendees included members (or their proxies), Departmental staff and a number of invited observers. </w:t>
      </w:r>
      <w:r w:rsidRPr="00EB0E18">
        <w:rPr>
          <w:rFonts w:cstheme="minorHAnsi"/>
          <w:sz w:val="24"/>
          <w:szCs w:val="24"/>
        </w:rPr>
        <w:t>Emeritus</w:t>
      </w:r>
      <w:r>
        <w:rPr>
          <w:rFonts w:cstheme="minorHAnsi"/>
          <w:sz w:val="24"/>
          <w:szCs w:val="24"/>
        </w:rPr>
        <w:t> Professor </w:t>
      </w:r>
      <w:r w:rsidR="002A1E6C">
        <w:rPr>
          <w:rFonts w:cstheme="minorHAnsi"/>
          <w:sz w:val="24"/>
          <w:szCs w:val="24"/>
        </w:rPr>
        <w:t>Terry </w:t>
      </w:r>
      <w:r w:rsidRPr="00EB0E18">
        <w:rPr>
          <w:rFonts w:cstheme="minorHAnsi"/>
          <w:sz w:val="24"/>
          <w:szCs w:val="24"/>
        </w:rPr>
        <w:t>Campbell</w:t>
      </w:r>
      <w:r w:rsidR="002A1E6C">
        <w:rPr>
          <w:rFonts w:cstheme="minorHAnsi"/>
          <w:sz w:val="24"/>
          <w:szCs w:val="24"/>
        </w:rPr>
        <w:t> </w:t>
      </w:r>
      <w:r w:rsidRPr="00EB0E18">
        <w:rPr>
          <w:rFonts w:cstheme="minorHAnsi"/>
          <w:sz w:val="24"/>
          <w:szCs w:val="24"/>
        </w:rPr>
        <w:t>AM</w:t>
      </w:r>
      <w:r w:rsidR="002A1E6C">
        <w:rPr>
          <w:rFonts w:cstheme="minorHAnsi"/>
          <w:sz w:val="24"/>
          <w:szCs w:val="24"/>
        </w:rPr>
        <w:t xml:space="preserve"> chaired this meeting</w:t>
      </w:r>
      <w:r w:rsidRPr="00003987">
        <w:rPr>
          <w:rFonts w:cstheme="minorHAnsi"/>
          <w:sz w:val="24"/>
          <w:szCs w:val="24"/>
        </w:rPr>
        <w:t>.</w:t>
      </w:r>
    </w:p>
    <w:p w:rsidR="00EB053D" w:rsidRPr="00003987" w:rsidRDefault="00EB053D" w:rsidP="00EB053D">
      <w:pPr>
        <w:tabs>
          <w:tab w:val="left" w:pos="381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03987">
        <w:rPr>
          <w:rFonts w:cstheme="minorHAnsi"/>
          <w:sz w:val="24"/>
          <w:szCs w:val="24"/>
        </w:rPr>
        <w:tab/>
      </w:r>
    </w:p>
    <w:p w:rsidR="00EB053D" w:rsidRPr="00003987" w:rsidRDefault="00EB053D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3987">
        <w:rPr>
          <w:rFonts w:cstheme="minorHAnsi"/>
          <w:sz w:val="24"/>
          <w:szCs w:val="24"/>
        </w:rPr>
        <w:t xml:space="preserve">During this meeting, </w:t>
      </w:r>
      <w:r w:rsidR="002A1E6C">
        <w:rPr>
          <w:rFonts w:cstheme="minorHAnsi"/>
          <w:sz w:val="24"/>
          <w:szCs w:val="24"/>
        </w:rPr>
        <w:t xml:space="preserve">BSR </w:t>
      </w:r>
      <w:r w:rsidRPr="00003987">
        <w:rPr>
          <w:rFonts w:cstheme="minorHAnsi"/>
          <w:sz w:val="24"/>
          <w:szCs w:val="24"/>
        </w:rPr>
        <w:t>discussed:</w:t>
      </w:r>
    </w:p>
    <w:p w:rsidR="002A1E6C" w:rsidRDefault="002A1E6C" w:rsidP="000D60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options for listing devices on the Prostheses List that do not currently meet the criteria for listing, with a particular focus on single-use diagnostic devices and non</w:t>
      </w:r>
      <w:r>
        <w:rPr>
          <w:rFonts w:cstheme="minorHAnsi"/>
          <w:sz w:val="24"/>
          <w:szCs w:val="24"/>
        </w:rPr>
        <w:noBreakHyphen/>
        <w:t>permanently implantable devices,</w:t>
      </w:r>
    </w:p>
    <w:p w:rsidR="00EB053D" w:rsidRPr="00003987" w:rsidRDefault="00EB053D" w:rsidP="000D60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03987">
        <w:rPr>
          <w:rFonts w:cstheme="minorHAnsi"/>
          <w:sz w:val="24"/>
          <w:szCs w:val="24"/>
        </w:rPr>
        <w:t xml:space="preserve">fit for purpose assessment pathways, in particular </w:t>
      </w:r>
      <w:r w:rsidR="002A1E6C">
        <w:rPr>
          <w:rFonts w:cstheme="minorHAnsi"/>
          <w:sz w:val="24"/>
          <w:szCs w:val="24"/>
        </w:rPr>
        <w:t>details of what assessments would be required for a ‘focussed HTA’ pathway,</w:t>
      </w:r>
    </w:p>
    <w:p w:rsidR="002A1E6C" w:rsidRDefault="002A1E6C" w:rsidP="000D60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superior clinical performance, and whether the previous premium should be reinstated and/or be made available to additional groups of products,</w:t>
      </w:r>
    </w:p>
    <w:p w:rsidR="002A1E6C" w:rsidRDefault="002A1E6C" w:rsidP="000D60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proposed </w:t>
      </w:r>
      <w:r w:rsidR="003059EE">
        <w:rPr>
          <w:rFonts w:cstheme="minorHAnsi"/>
          <w:sz w:val="24"/>
          <w:szCs w:val="24"/>
        </w:rPr>
        <w:t>Prostheses List review</w:t>
      </w:r>
      <w:r>
        <w:rPr>
          <w:rFonts w:cstheme="minorHAnsi"/>
          <w:sz w:val="24"/>
          <w:szCs w:val="24"/>
        </w:rPr>
        <w:t xml:space="preserve"> framework, and</w:t>
      </w:r>
    </w:p>
    <w:p w:rsidR="00EB053D" w:rsidRPr="002A1E6C" w:rsidRDefault="002A1E6C" w:rsidP="000D60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whether</w:t>
      </w:r>
      <w:proofErr w:type="gramEnd"/>
      <w:r>
        <w:rPr>
          <w:rFonts w:cstheme="minorHAnsi"/>
          <w:sz w:val="24"/>
          <w:szCs w:val="24"/>
        </w:rPr>
        <w:t xml:space="preserve"> risk sharing or price/volume a</w:t>
      </w:r>
      <w:r w:rsidR="00843691">
        <w:rPr>
          <w:rFonts w:cstheme="minorHAnsi"/>
          <w:sz w:val="24"/>
          <w:szCs w:val="24"/>
        </w:rPr>
        <w:t>greements</w:t>
      </w:r>
      <w:r>
        <w:rPr>
          <w:rFonts w:cstheme="minorHAnsi"/>
          <w:sz w:val="24"/>
          <w:szCs w:val="24"/>
        </w:rPr>
        <w:t xml:space="preserve"> could be applied to the Prostheses List.</w:t>
      </w:r>
    </w:p>
    <w:p w:rsidR="00EB053D" w:rsidRPr="00003987" w:rsidRDefault="00EB053D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59EE" w:rsidRDefault="00EB053D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3987">
        <w:rPr>
          <w:rFonts w:cstheme="minorHAnsi"/>
          <w:sz w:val="24"/>
          <w:szCs w:val="24"/>
        </w:rPr>
        <w:t xml:space="preserve">These items will continue to be addressed through the Prostheses List Advisory Committee, and the Industry Working Groups (IWGs) tasked with prostheses reform activities. </w:t>
      </w:r>
    </w:p>
    <w:p w:rsidR="002A1E6C" w:rsidRDefault="002A1E6C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combined BSR and Quality of Information and Guidance IWG meeting is being planned for October 2019. </w:t>
      </w:r>
    </w:p>
    <w:p w:rsidR="002A1E6C" w:rsidRDefault="002A1E6C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053D" w:rsidRPr="00003987" w:rsidRDefault="00EB053D" w:rsidP="002A1E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3987">
        <w:rPr>
          <w:rFonts w:cstheme="minorHAnsi"/>
          <w:sz w:val="24"/>
          <w:szCs w:val="24"/>
        </w:rPr>
        <w:t xml:space="preserve">More information on prostheses reform and the IWGs is available on the </w:t>
      </w:r>
      <w:hyperlink r:id="rId7" w:history="1">
        <w:r w:rsidRPr="00003987">
          <w:rPr>
            <w:rStyle w:val="Hyperlink"/>
            <w:rFonts w:cstheme="minorHAnsi"/>
            <w:sz w:val="24"/>
            <w:szCs w:val="24"/>
          </w:rPr>
          <w:t>Department of Health website</w:t>
        </w:r>
      </w:hyperlink>
      <w:r w:rsidRPr="00003987">
        <w:rPr>
          <w:rFonts w:cstheme="minorHAnsi"/>
          <w:sz w:val="24"/>
          <w:szCs w:val="24"/>
        </w:rPr>
        <w:t>.</w:t>
      </w:r>
      <w:r w:rsidR="002A1E6C">
        <w:rPr>
          <w:rFonts w:cstheme="minorHAnsi"/>
          <w:sz w:val="24"/>
          <w:szCs w:val="24"/>
        </w:rPr>
        <w:t xml:space="preserve"> </w:t>
      </w:r>
      <w:r w:rsidRPr="00003987">
        <w:rPr>
          <w:rFonts w:cstheme="minorHAnsi"/>
          <w:sz w:val="24"/>
          <w:szCs w:val="24"/>
        </w:rPr>
        <w:t xml:space="preserve">Any queries relating to </w:t>
      </w:r>
      <w:r w:rsidR="002A1E6C">
        <w:rPr>
          <w:rFonts w:cstheme="minorHAnsi"/>
          <w:sz w:val="24"/>
          <w:szCs w:val="24"/>
        </w:rPr>
        <w:t xml:space="preserve">BSR </w:t>
      </w:r>
      <w:r w:rsidRPr="00003987">
        <w:rPr>
          <w:rFonts w:cstheme="minorHAnsi"/>
          <w:sz w:val="24"/>
          <w:szCs w:val="24"/>
        </w:rPr>
        <w:t xml:space="preserve">or prostheses reform activities can be emailed to </w:t>
      </w:r>
      <w:hyperlink r:id="rId8" w:history="1">
        <w:r w:rsidRPr="00003987">
          <w:rPr>
            <w:rStyle w:val="Hyperlink"/>
            <w:rFonts w:cstheme="minorHAnsi"/>
            <w:sz w:val="24"/>
            <w:szCs w:val="24"/>
          </w:rPr>
          <w:t>prosthesesreform@health.gov.au</w:t>
        </w:r>
      </w:hyperlink>
      <w:r w:rsidRPr="00003987">
        <w:rPr>
          <w:rFonts w:cstheme="minorHAnsi"/>
          <w:sz w:val="24"/>
          <w:szCs w:val="24"/>
        </w:rPr>
        <w:t xml:space="preserve">. </w:t>
      </w:r>
    </w:p>
    <w:p w:rsidR="00280050" w:rsidRDefault="00280050"/>
    <w:sectPr w:rsidR="002800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D" w:rsidRDefault="00EB053D" w:rsidP="00EB053D">
      <w:pPr>
        <w:spacing w:after="0" w:line="240" w:lineRule="auto"/>
      </w:pPr>
      <w:r>
        <w:separator/>
      </w:r>
    </w:p>
  </w:endnote>
  <w:endnote w:type="continuationSeparator" w:id="0">
    <w:p w:rsidR="00EB053D" w:rsidRDefault="00EB053D" w:rsidP="00EB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D" w:rsidRDefault="00EB053D" w:rsidP="00EB053D">
      <w:pPr>
        <w:spacing w:after="0" w:line="240" w:lineRule="auto"/>
      </w:pPr>
      <w:r>
        <w:separator/>
      </w:r>
    </w:p>
  </w:footnote>
  <w:footnote w:type="continuationSeparator" w:id="0">
    <w:p w:rsidR="00EB053D" w:rsidRDefault="00EB053D" w:rsidP="00EB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3D" w:rsidRDefault="00EB053D" w:rsidP="00EB053D">
    <w:pPr>
      <w:pStyle w:val="Header"/>
      <w:jc w:val="center"/>
    </w:pPr>
    <w:r w:rsidRPr="00596C35">
      <w:rPr>
        <w:noProof/>
        <w:lang w:eastAsia="en-AU"/>
      </w:rPr>
      <w:drawing>
        <wp:inline distT="0" distB="0" distL="0" distR="0" wp14:anchorId="45A951CC" wp14:editId="0BB3E7F0">
          <wp:extent cx="1368000" cy="907139"/>
          <wp:effectExtent l="0" t="0" r="3810" b="7620"/>
          <wp:docPr id="1" name="Picture 1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079" cy="9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77299"/>
    <w:multiLevelType w:val="hybridMultilevel"/>
    <w:tmpl w:val="78F23C9E"/>
    <w:lvl w:ilvl="0" w:tplc="5D1206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D"/>
    <w:rsid w:val="00083426"/>
    <w:rsid w:val="000D60F5"/>
    <w:rsid w:val="00225DE5"/>
    <w:rsid w:val="002322CE"/>
    <w:rsid w:val="00280050"/>
    <w:rsid w:val="002A1E6C"/>
    <w:rsid w:val="003059EE"/>
    <w:rsid w:val="00843691"/>
    <w:rsid w:val="00EB053D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B02C-D260-4008-8817-4F6B23F0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3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3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3D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6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thesesreform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health-privatehealth-prostheses-re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Benefit Setting and Review Framework Industry Working Group 29 August 2019 communique</dc:title>
  <dc:subject/>
  <dc:creator>Australian Government Department of Health</dc:creator>
  <cp:keywords/>
  <dc:description/>
  <cp:revision>7</cp:revision>
  <cp:lastPrinted>2019-09-02T04:13:00Z</cp:lastPrinted>
  <dcterms:created xsi:type="dcterms:W3CDTF">2019-09-02T03:52:00Z</dcterms:created>
  <dcterms:modified xsi:type="dcterms:W3CDTF">2020-02-18T22:51:00Z</dcterms:modified>
</cp:coreProperties>
</file>